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15"/>
      </w:tblGrid>
      <w:tr w:rsidR="00975ED3" w:rsidRPr="00975ED3" w14:paraId="07D4DBDD" w14:textId="77777777" w:rsidTr="002C3D04">
        <w:trPr>
          <w:trHeight w:hRule="exact" w:val="1369"/>
        </w:trPr>
        <w:tc>
          <w:tcPr>
            <w:tcW w:w="7715" w:type="dxa"/>
            <w:vAlign w:val="center"/>
          </w:tcPr>
          <w:p w14:paraId="35728B3D" w14:textId="77777777" w:rsidR="00B77A81" w:rsidRDefault="00370686" w:rsidP="009B1003">
            <w:pPr>
              <w:pStyle w:val="Title"/>
            </w:pPr>
            <w:r>
              <w:t>Land Use Victoria</w:t>
            </w:r>
          </w:p>
          <w:p w14:paraId="0654603B" w14:textId="77777777" w:rsidR="00B77A81" w:rsidRDefault="00370686" w:rsidP="009B1003">
            <w:pPr>
              <w:pStyle w:val="Title"/>
            </w:pPr>
            <w:r>
              <w:t xml:space="preserve">Customer Information Bulletin 187 </w:t>
            </w:r>
          </w:p>
          <w:p w14:paraId="6DFC6C55" w14:textId="77777777" w:rsidR="009B1003" w:rsidRPr="009B1003" w:rsidRDefault="00370686" w:rsidP="009B1003">
            <w:pPr>
              <w:pStyle w:val="Title"/>
            </w:pPr>
            <w:r>
              <w:t>May 2019</w:t>
            </w:r>
          </w:p>
        </w:tc>
      </w:tr>
      <w:tr w:rsidR="00975ED3" w14:paraId="78592DDF" w14:textId="77777777" w:rsidTr="002C3D04">
        <w:trPr>
          <w:trHeight w:val="1204"/>
        </w:trPr>
        <w:tc>
          <w:tcPr>
            <w:tcW w:w="7715" w:type="dxa"/>
            <w:vAlign w:val="center"/>
          </w:tcPr>
          <w:p w14:paraId="0C035ED1" w14:textId="77777777" w:rsidR="009B1003" w:rsidRPr="009B1003" w:rsidRDefault="009B1003" w:rsidP="009B1003">
            <w:pPr>
              <w:pStyle w:val="Subtitle"/>
            </w:pPr>
          </w:p>
        </w:tc>
      </w:tr>
    </w:tbl>
    <w:p w14:paraId="1041BBD3" w14:textId="77777777" w:rsidR="00806AB6" w:rsidRDefault="00806AB6" w:rsidP="00307C36"/>
    <w:p w14:paraId="44CF5236" w14:textId="77777777" w:rsidR="00806AB6" w:rsidRDefault="00806AB6" w:rsidP="00806AB6">
      <w:pPr>
        <w:pStyle w:val="BodyText"/>
        <w:sectPr w:rsidR="00806AB6" w:rsidSect="0033793B">
          <w:headerReference w:type="even" r:id="rId8"/>
          <w:headerReference w:type="default" r:id="rId9"/>
          <w:footerReference w:type="even" r:id="rId10"/>
          <w:headerReference w:type="first" r:id="rId11"/>
          <w:footerReference w:type="first" r:id="rId12"/>
          <w:pgSz w:w="11907" w:h="16840" w:code="9"/>
          <w:pgMar w:top="2211" w:right="737" w:bottom="1758" w:left="851" w:header="284" w:footer="284" w:gutter="0"/>
          <w:cols w:space="284"/>
          <w:titlePg/>
          <w:docGrid w:linePitch="360"/>
        </w:sectPr>
      </w:pPr>
    </w:p>
    <w:p w14:paraId="6091C32C" w14:textId="77777777" w:rsidR="00B77A81" w:rsidRPr="00B77A81" w:rsidRDefault="00B77A81" w:rsidP="002C3D04">
      <w:pPr>
        <w:pStyle w:val="Heading1"/>
        <w:numPr>
          <w:ilvl w:val="0"/>
          <w:numId w:val="0"/>
        </w:numPr>
        <w:rPr>
          <w:rStyle w:val="Hyperlink"/>
          <w:rFonts w:eastAsia="Tahoma"/>
          <w:color w:val="B3272F" w:themeColor="text2"/>
          <w:u w:val="none"/>
        </w:rPr>
      </w:pPr>
      <w:bookmarkStart w:id="0" w:name="Here"/>
      <w:bookmarkEnd w:id="0"/>
      <w:r w:rsidRPr="00B77A81">
        <w:rPr>
          <w:rStyle w:val="Hyperlink"/>
          <w:rFonts w:eastAsia="Tahoma"/>
          <w:color w:val="B3272F" w:themeColor="text2"/>
          <w:u w:val="none"/>
        </w:rPr>
        <w:t>1 August 2019 – lodging electronically</w:t>
      </w:r>
    </w:p>
    <w:p w14:paraId="52F95BDB" w14:textId="77777777" w:rsidR="00B77A81" w:rsidRPr="00B77A81" w:rsidRDefault="00B77A81" w:rsidP="00B77A81">
      <w:pPr>
        <w:pStyle w:val="BodyText"/>
        <w:rPr>
          <w:rStyle w:val="Hyperlink"/>
          <w:rFonts w:ascii="Arial" w:eastAsia="Tahoma" w:hAnsi="Arial"/>
          <w:u w:val="none"/>
        </w:rPr>
      </w:pPr>
      <w:r w:rsidRPr="00B77A81">
        <w:rPr>
          <w:rStyle w:val="Hyperlink"/>
          <w:rFonts w:ascii="Arial" w:eastAsia="Tahoma" w:hAnsi="Arial"/>
          <w:u w:val="none"/>
        </w:rPr>
        <w:t xml:space="preserve">From 1 August 2019, for conveyancers, lawyers, authorised deposit-taking institutions (ADIs) and other subscribers to an Electronic </w:t>
      </w:r>
      <w:proofErr w:type="spellStart"/>
      <w:r w:rsidRPr="00B77A81">
        <w:rPr>
          <w:rStyle w:val="Hyperlink"/>
          <w:rFonts w:ascii="Arial" w:eastAsia="Tahoma" w:hAnsi="Arial"/>
          <w:u w:val="none"/>
        </w:rPr>
        <w:t>Lodgment</w:t>
      </w:r>
      <w:proofErr w:type="spellEnd"/>
      <w:r w:rsidRPr="00B77A81">
        <w:rPr>
          <w:rStyle w:val="Hyperlink"/>
          <w:rFonts w:ascii="Arial" w:eastAsia="Tahoma" w:hAnsi="Arial"/>
          <w:u w:val="none"/>
        </w:rPr>
        <w:t xml:space="preserve"> Network (ELN), all Instruments (including residual documents) available in an ELN will be required to be lodged using an ELN. </w:t>
      </w:r>
    </w:p>
    <w:p w14:paraId="4345B77A" w14:textId="77777777" w:rsidR="00B77A81" w:rsidRPr="00B77A81" w:rsidRDefault="00B77A81" w:rsidP="00B77A81">
      <w:pPr>
        <w:pStyle w:val="BodyText"/>
        <w:rPr>
          <w:rStyle w:val="Hyperlink"/>
          <w:rFonts w:ascii="Arial" w:eastAsia="Tahoma" w:hAnsi="Arial"/>
          <w:u w:val="none"/>
        </w:rPr>
      </w:pPr>
      <w:r w:rsidRPr="00B77A81">
        <w:rPr>
          <w:rStyle w:val="Hyperlink"/>
          <w:rFonts w:ascii="Arial" w:eastAsia="Tahoma" w:hAnsi="Arial"/>
          <w:u w:val="none"/>
        </w:rPr>
        <w:t xml:space="preserve">This is another significant step in achieving 100% electronic </w:t>
      </w:r>
      <w:proofErr w:type="spellStart"/>
      <w:r w:rsidRPr="00B77A81">
        <w:rPr>
          <w:rStyle w:val="Hyperlink"/>
          <w:rFonts w:ascii="Arial" w:eastAsia="Tahoma" w:hAnsi="Arial"/>
          <w:u w:val="none"/>
        </w:rPr>
        <w:t>lodgment</w:t>
      </w:r>
      <w:proofErr w:type="spellEnd"/>
      <w:r w:rsidRPr="00B77A81">
        <w:rPr>
          <w:rStyle w:val="Hyperlink"/>
          <w:rFonts w:ascii="Arial" w:eastAsia="Tahoma" w:hAnsi="Arial"/>
          <w:u w:val="none"/>
        </w:rPr>
        <w:t xml:space="preserve"> of Instruments in the Register.</w:t>
      </w:r>
    </w:p>
    <w:p w14:paraId="240090F2" w14:textId="77777777" w:rsidR="000D0021" w:rsidRDefault="00B77A81" w:rsidP="00D554B1">
      <w:pPr>
        <w:pStyle w:val="BodyText"/>
        <w:spacing w:after="60"/>
        <w:rPr>
          <w:rStyle w:val="Hyperlink"/>
          <w:rFonts w:ascii="Arial" w:eastAsia="Tahoma" w:hAnsi="Arial"/>
          <w:u w:val="none"/>
        </w:rPr>
        <w:sectPr w:rsidR="000D0021" w:rsidSect="000D0021">
          <w:type w:val="continuous"/>
          <w:pgSz w:w="11907" w:h="16840" w:code="9"/>
          <w:pgMar w:top="2211" w:right="851" w:bottom="1758" w:left="851" w:header="284" w:footer="284" w:gutter="0"/>
          <w:cols w:space="284"/>
          <w:docGrid w:linePitch="360"/>
        </w:sectPr>
      </w:pPr>
      <w:r w:rsidRPr="00B77A81">
        <w:rPr>
          <w:rStyle w:val="Hyperlink"/>
          <w:rFonts w:ascii="Arial" w:eastAsia="Tahoma" w:hAnsi="Arial"/>
          <w:u w:val="none"/>
        </w:rPr>
        <w:t xml:space="preserve">The Registrar will not accept paper </w:t>
      </w:r>
      <w:proofErr w:type="spellStart"/>
      <w:r w:rsidRPr="00B77A81">
        <w:rPr>
          <w:rStyle w:val="Hyperlink"/>
          <w:rFonts w:ascii="Arial" w:eastAsia="Tahoma" w:hAnsi="Arial"/>
          <w:u w:val="none"/>
        </w:rPr>
        <w:t>lodgment</w:t>
      </w:r>
      <w:proofErr w:type="spellEnd"/>
      <w:r w:rsidRPr="00B77A81">
        <w:rPr>
          <w:rStyle w:val="Hyperlink"/>
          <w:rFonts w:ascii="Arial" w:eastAsia="Tahoma" w:hAnsi="Arial"/>
          <w:u w:val="none"/>
        </w:rPr>
        <w:t xml:space="preserve"> of any such instruments except in cases where the instrument(s) cannot be lodged using an ELN for reason(s) set out in the Request to accept paper </w:t>
      </w:r>
      <w:proofErr w:type="spellStart"/>
      <w:r w:rsidRPr="00B77A81">
        <w:rPr>
          <w:rStyle w:val="Hyperlink"/>
          <w:rFonts w:ascii="Arial" w:eastAsia="Tahoma" w:hAnsi="Arial"/>
          <w:u w:val="none"/>
        </w:rPr>
        <w:t>lodgment</w:t>
      </w:r>
      <w:proofErr w:type="spellEnd"/>
      <w:r w:rsidRPr="00B77A81">
        <w:rPr>
          <w:rStyle w:val="Hyperlink"/>
          <w:rFonts w:ascii="Arial" w:eastAsia="Tahoma" w:hAnsi="Arial"/>
          <w:u w:val="none"/>
        </w:rPr>
        <w:t xml:space="preserve"> form available at </w:t>
      </w:r>
    </w:p>
    <w:p w14:paraId="649C91C5" w14:textId="17C7E6C6" w:rsidR="00B77A81" w:rsidRPr="00B77A81" w:rsidRDefault="006B5D98" w:rsidP="00D554B1">
      <w:pPr>
        <w:pStyle w:val="BodyText"/>
        <w:spacing w:after="0"/>
        <w:rPr>
          <w:rStyle w:val="Hyperlink"/>
          <w:rFonts w:ascii="Arial" w:eastAsia="Tahoma" w:hAnsi="Arial"/>
          <w:u w:val="none"/>
        </w:rPr>
      </w:pPr>
      <w:hyperlink r:id="rId13" w:history="1">
        <w:r w:rsidR="00B77A81" w:rsidRPr="00B77A81">
          <w:rPr>
            <w:rStyle w:val="Hyperlink"/>
            <w:rFonts w:ascii="Arial" w:eastAsia="Tahoma" w:hAnsi="Arial"/>
            <w:u w:val="none"/>
          </w:rPr>
          <w:t>www.propertyandlandtitles.vic.gov.au/forms-guides-and-fees/title-management</w:t>
        </w:r>
      </w:hyperlink>
      <w:r w:rsidR="00B77A81" w:rsidRPr="00B77A81">
        <w:rPr>
          <w:rStyle w:val="Hyperlink"/>
          <w:rFonts w:ascii="Arial" w:eastAsia="Tahoma" w:hAnsi="Arial"/>
          <w:u w:val="none"/>
        </w:rPr>
        <w:t>.</w:t>
      </w:r>
    </w:p>
    <w:p w14:paraId="099B57B0" w14:textId="5A59EB91" w:rsidR="00B77A81" w:rsidRPr="00B77A81" w:rsidRDefault="00B77A81" w:rsidP="0068242C">
      <w:pPr>
        <w:pStyle w:val="Heading1"/>
        <w:numPr>
          <w:ilvl w:val="0"/>
          <w:numId w:val="43"/>
        </w:numPr>
        <w:rPr>
          <w:rStyle w:val="Hyperlink"/>
          <w:rFonts w:ascii="Arial" w:eastAsia="Tahoma" w:hAnsi="Arial"/>
          <w:u w:val="none"/>
        </w:rPr>
      </w:pPr>
      <w:r w:rsidRPr="00B77A81">
        <w:rPr>
          <w:rStyle w:val="Hyperlink"/>
          <w:rFonts w:eastAsia="Tahoma"/>
          <w:color w:val="B3272F" w:themeColor="text2"/>
          <w:u w:val="none"/>
        </w:rPr>
        <w:t xml:space="preserve">New functionality in </w:t>
      </w:r>
      <w:r w:rsidR="009A5616">
        <w:rPr>
          <w:rStyle w:val="Hyperlink"/>
          <w:rFonts w:eastAsia="Tahoma"/>
          <w:color w:val="B3272F" w:themeColor="text2"/>
          <w:u w:val="none"/>
        </w:rPr>
        <w:t>S</w:t>
      </w:r>
      <w:r w:rsidRPr="00B77A81">
        <w:rPr>
          <w:rStyle w:val="Hyperlink"/>
          <w:rFonts w:eastAsia="Tahoma"/>
          <w:color w:val="B3272F" w:themeColor="text2"/>
          <w:u w:val="none"/>
        </w:rPr>
        <w:t>RO</w:t>
      </w:r>
      <w:r w:rsidR="009A5616">
        <w:rPr>
          <w:rStyle w:val="Hyperlink"/>
          <w:rFonts w:eastAsia="Tahoma"/>
          <w:color w:val="B3272F" w:themeColor="text2"/>
          <w:u w:val="none"/>
        </w:rPr>
        <w:t xml:space="preserve"> and </w:t>
      </w:r>
      <w:r w:rsidR="009A5616" w:rsidRPr="00B77A81">
        <w:rPr>
          <w:rStyle w:val="Hyperlink"/>
          <w:rFonts w:eastAsia="Tahoma"/>
          <w:color w:val="B3272F" w:themeColor="text2"/>
          <w:u w:val="none"/>
        </w:rPr>
        <w:t>PEXA ELN</w:t>
      </w:r>
    </w:p>
    <w:p w14:paraId="277FB695" w14:textId="212888C1" w:rsidR="00B77A81" w:rsidRDefault="00B77A81" w:rsidP="00B77A81">
      <w:pPr>
        <w:pStyle w:val="BodyText100ThemeColour"/>
        <w:rPr>
          <w:rStyle w:val="Hyperlink"/>
          <w:rFonts w:ascii="Arial" w:eastAsia="Tahoma" w:hAnsi="Arial"/>
          <w:u w:val="none"/>
        </w:rPr>
      </w:pPr>
      <w:r w:rsidRPr="00B77A81">
        <w:rPr>
          <w:rStyle w:val="Hyperlink"/>
          <w:rFonts w:ascii="Arial" w:eastAsia="Tahoma" w:hAnsi="Arial"/>
          <w:u w:val="none"/>
        </w:rPr>
        <w:t>Land Use Victoria, the State Revenue Office and PEXA Ltd have been working to increase functionality in the PEXA ELN</w:t>
      </w:r>
      <w:r w:rsidR="006B5D98">
        <w:rPr>
          <w:rStyle w:val="Hyperlink"/>
          <w:rFonts w:ascii="Arial" w:eastAsia="Tahoma" w:hAnsi="Arial"/>
          <w:u w:val="none"/>
        </w:rPr>
        <w:t xml:space="preserve">.  This is another significant step in achieving 100% electronic </w:t>
      </w:r>
      <w:proofErr w:type="spellStart"/>
      <w:r w:rsidR="006B5D98">
        <w:rPr>
          <w:rStyle w:val="Hyperlink"/>
          <w:rFonts w:ascii="Arial" w:eastAsia="Tahoma" w:hAnsi="Arial"/>
          <w:u w:val="none"/>
        </w:rPr>
        <w:t>lodgment</w:t>
      </w:r>
      <w:proofErr w:type="spellEnd"/>
      <w:r w:rsidR="006B5D98">
        <w:rPr>
          <w:rStyle w:val="Hyperlink"/>
          <w:rFonts w:ascii="Arial" w:eastAsia="Tahoma" w:hAnsi="Arial"/>
          <w:u w:val="none"/>
        </w:rPr>
        <w:t xml:space="preserve"> of instruments.</w:t>
      </w:r>
    </w:p>
    <w:p w14:paraId="698C3C15" w14:textId="77777777" w:rsidR="00B77A81" w:rsidRPr="00B77A81" w:rsidRDefault="00B77A81" w:rsidP="00B77A81">
      <w:pPr>
        <w:pStyle w:val="Heading2"/>
        <w:rPr>
          <w:rStyle w:val="Hyperlink"/>
          <w:rFonts w:eastAsia="Tahoma"/>
          <w:color w:val="B3272F" w:themeColor="text2"/>
          <w:u w:val="none"/>
        </w:rPr>
      </w:pPr>
      <w:r w:rsidRPr="00B77A81">
        <w:rPr>
          <w:rStyle w:val="Hyperlink"/>
          <w:rFonts w:eastAsia="Tahoma"/>
          <w:color w:val="B3272F" w:themeColor="text2"/>
          <w:u w:val="none"/>
        </w:rPr>
        <w:t>Duties Online</w:t>
      </w:r>
    </w:p>
    <w:p w14:paraId="43E9D62F" w14:textId="68F0C0DF" w:rsidR="00B77A81" w:rsidRPr="00B77A81" w:rsidRDefault="00B77A81" w:rsidP="00B77A81">
      <w:pPr>
        <w:pStyle w:val="BodyText100ThemeColour"/>
        <w:rPr>
          <w:rStyle w:val="Hyperlink"/>
          <w:rFonts w:ascii="Arial" w:eastAsia="Tahoma" w:hAnsi="Arial"/>
          <w:u w:val="none"/>
        </w:rPr>
      </w:pPr>
      <w:r w:rsidRPr="00B77A81">
        <w:rPr>
          <w:rStyle w:val="Hyperlink"/>
          <w:rFonts w:ascii="Arial" w:eastAsia="Tahoma" w:hAnsi="Arial"/>
          <w:u w:val="none"/>
        </w:rPr>
        <w:t xml:space="preserve">The State Revenue Office is enhancing </w:t>
      </w:r>
      <w:hyperlink r:id="rId14" w:history="1">
        <w:r w:rsidRPr="00B77A81">
          <w:rPr>
            <w:rStyle w:val="Hyperlink"/>
            <w:rFonts w:ascii="Arial" w:hAnsi="Arial"/>
            <w:u w:val="none"/>
            <w:lang w:val="en"/>
          </w:rPr>
          <w:t>Duties Online</w:t>
        </w:r>
      </w:hyperlink>
      <w:r w:rsidRPr="00B77A81">
        <w:rPr>
          <w:rFonts w:ascii="Arial" w:hAnsi="Arial" w:cs="Arial"/>
          <w:lang w:val="en"/>
        </w:rPr>
        <w:t xml:space="preserve"> </w:t>
      </w:r>
      <w:r w:rsidRPr="00B77A81">
        <w:rPr>
          <w:rFonts w:ascii="Arial" w:hAnsi="Arial" w:cs="Arial"/>
          <w:color w:val="auto"/>
          <w:lang w:val="en"/>
        </w:rPr>
        <w:t>so that complex transactions can be assessed and settled electronically. The enhancements are scheduled to take effect from 17 June 2019</w:t>
      </w:r>
      <w:r w:rsidR="00895B65">
        <w:rPr>
          <w:rFonts w:ascii="Arial" w:hAnsi="Arial" w:cs="Arial"/>
          <w:color w:val="auto"/>
          <w:lang w:val="en"/>
        </w:rPr>
        <w:t>.</w:t>
      </w:r>
      <w:r w:rsidRPr="00B77A81">
        <w:rPr>
          <w:rFonts w:ascii="Arial" w:hAnsi="Arial" w:cs="Arial"/>
          <w:color w:val="auto"/>
          <w:lang w:val="en"/>
        </w:rPr>
        <w:t xml:space="preserve"> </w:t>
      </w:r>
      <w:r w:rsidR="00895B65">
        <w:rPr>
          <w:rFonts w:ascii="Arial" w:hAnsi="Arial" w:cs="Arial"/>
          <w:color w:val="auto"/>
          <w:lang w:val="en"/>
        </w:rPr>
        <w:t>F</w:t>
      </w:r>
      <w:r w:rsidRPr="00B77A81">
        <w:rPr>
          <w:rFonts w:ascii="Arial" w:hAnsi="Arial" w:cs="Arial"/>
          <w:color w:val="auto"/>
          <w:lang w:val="en"/>
        </w:rPr>
        <w:t xml:space="preserve">or more information </w:t>
      </w:r>
      <w:r w:rsidR="00895B65">
        <w:rPr>
          <w:rFonts w:ascii="Arial" w:hAnsi="Arial" w:cs="Arial"/>
          <w:color w:val="auto"/>
          <w:lang w:val="en"/>
        </w:rPr>
        <w:t xml:space="preserve">visit </w:t>
      </w:r>
      <w:r w:rsidR="00895B65" w:rsidRPr="00895B65">
        <w:rPr>
          <w:rFonts w:ascii="Arial" w:hAnsi="Arial" w:cs="Arial"/>
          <w:color w:val="auto"/>
          <w:lang w:val="en"/>
        </w:rPr>
        <w:t>https://www.sro.vic.gov.au/duties-online</w:t>
      </w:r>
      <w:r w:rsidR="00895B65">
        <w:rPr>
          <w:rFonts w:ascii="Arial" w:hAnsi="Arial" w:cs="Arial"/>
          <w:color w:val="auto"/>
          <w:lang w:val="en"/>
        </w:rPr>
        <w:t>.</w:t>
      </w:r>
    </w:p>
    <w:p w14:paraId="7CCA99C5" w14:textId="77777777" w:rsidR="00B77A81" w:rsidRPr="00893F5A" w:rsidRDefault="00B77A81" w:rsidP="00B77A81">
      <w:pPr>
        <w:pStyle w:val="Heading2"/>
      </w:pPr>
      <w:r w:rsidRPr="00893F5A">
        <w:t>Residual documents</w:t>
      </w:r>
    </w:p>
    <w:p w14:paraId="037A0C76" w14:textId="77777777" w:rsidR="00B77A81" w:rsidRPr="00D554B1" w:rsidRDefault="00B77A81" w:rsidP="00B77A81">
      <w:pPr>
        <w:pStyle w:val="BodyText"/>
        <w:rPr>
          <w:rStyle w:val="Hyperlink"/>
          <w:rFonts w:ascii="Arial" w:eastAsia="Tahoma" w:hAnsi="Arial"/>
        </w:rPr>
      </w:pPr>
      <w:r w:rsidRPr="00D554B1">
        <w:rPr>
          <w:rFonts w:ascii="Arial" w:hAnsi="Arial" w:cs="Arial"/>
          <w:color w:val="auto"/>
        </w:rPr>
        <w:t>T</w:t>
      </w:r>
      <w:r w:rsidRPr="00D554B1">
        <w:rPr>
          <w:rFonts w:ascii="Arial" w:eastAsiaTheme="minorHAnsi" w:hAnsi="Arial" w:cs="Arial"/>
          <w:color w:val="auto"/>
        </w:rPr>
        <w:t>he remaining instrument types (residual documents) will be required to be lodged electronically by conveyancers, lawyers, ADIs and other subscribers to an ELN from 1 August 2019.  The first residual document</w:t>
      </w:r>
      <w:r w:rsidRPr="00D554B1">
        <w:rPr>
          <w:rFonts w:ascii="Arial" w:hAnsi="Arial" w:cs="Arial"/>
          <w:color w:val="auto"/>
        </w:rPr>
        <w:t>,</w:t>
      </w:r>
      <w:r w:rsidRPr="00D554B1">
        <w:rPr>
          <w:rFonts w:ascii="Arial" w:eastAsiaTheme="minorHAnsi" w:hAnsi="Arial" w:cs="Arial"/>
          <w:color w:val="auto"/>
        </w:rPr>
        <w:t xml:space="preserve"> Application to record a section 173 of the </w:t>
      </w:r>
      <w:r w:rsidRPr="00D554B1">
        <w:rPr>
          <w:rFonts w:ascii="Arial" w:eastAsiaTheme="minorHAnsi" w:hAnsi="Arial" w:cs="Arial"/>
          <w:i/>
          <w:color w:val="auto"/>
        </w:rPr>
        <w:t>Planning and Environment Act 1987</w:t>
      </w:r>
      <w:r w:rsidRPr="00D554B1">
        <w:rPr>
          <w:rFonts w:ascii="Arial" w:eastAsiaTheme="minorHAnsi" w:hAnsi="Arial" w:cs="Arial"/>
          <w:color w:val="auto"/>
        </w:rPr>
        <w:t xml:space="preserve"> agreement</w:t>
      </w:r>
      <w:r w:rsidRPr="00D554B1">
        <w:rPr>
          <w:rFonts w:ascii="Arial" w:hAnsi="Arial" w:cs="Arial"/>
          <w:color w:val="auto"/>
        </w:rPr>
        <w:t>, became available in the PEXA ELN on</w:t>
      </w:r>
      <w:r w:rsidRPr="00D554B1">
        <w:rPr>
          <w:rFonts w:ascii="Arial" w:eastAsiaTheme="minorHAnsi" w:hAnsi="Arial" w:cs="Arial"/>
          <w:color w:val="auto"/>
        </w:rPr>
        <w:t xml:space="preserve"> 4 March 2019. </w:t>
      </w:r>
    </w:p>
    <w:p w14:paraId="7C3CC1F0" w14:textId="11C32558" w:rsidR="00B77A81" w:rsidRPr="00D554B1" w:rsidRDefault="00B77A81" w:rsidP="00B77A81">
      <w:pPr>
        <w:pStyle w:val="BodyText"/>
        <w:rPr>
          <w:rStyle w:val="Hyperlink"/>
          <w:rFonts w:ascii="Arial" w:eastAsia="Tahoma" w:hAnsi="Arial" w:cs="Arial"/>
          <w:u w:val="none"/>
        </w:rPr>
      </w:pPr>
      <w:r w:rsidRPr="00D554B1">
        <w:rPr>
          <w:rStyle w:val="Hyperlink"/>
          <w:rFonts w:ascii="Arial" w:eastAsia="Tahoma" w:hAnsi="Arial" w:cs="Arial"/>
          <w:u w:val="none"/>
        </w:rPr>
        <w:t xml:space="preserve">PEXA Ltd has also recently introduced </w:t>
      </w:r>
      <w:r w:rsidR="00895B65" w:rsidRPr="00D554B1">
        <w:rPr>
          <w:rStyle w:val="Hyperlink"/>
          <w:rFonts w:ascii="Arial" w:eastAsia="Tahoma" w:hAnsi="Arial" w:cs="Arial"/>
          <w:u w:val="none"/>
        </w:rPr>
        <w:t>several</w:t>
      </w:r>
      <w:r w:rsidRPr="00D554B1">
        <w:rPr>
          <w:rStyle w:val="Hyperlink"/>
          <w:rFonts w:ascii="Arial" w:eastAsia="Tahoma" w:hAnsi="Arial" w:cs="Arial"/>
          <w:u w:val="none"/>
        </w:rPr>
        <w:t xml:space="preserve"> new </w:t>
      </w:r>
      <w:r w:rsidR="00AE2E33" w:rsidRPr="00D554B1">
        <w:rPr>
          <w:rStyle w:val="Hyperlink"/>
          <w:rFonts w:ascii="Arial" w:eastAsia="Tahoma" w:hAnsi="Arial" w:cs="Arial"/>
          <w:u w:val="none"/>
        </w:rPr>
        <w:t>i</w:t>
      </w:r>
      <w:r w:rsidRPr="00D554B1">
        <w:rPr>
          <w:rStyle w:val="Hyperlink"/>
          <w:rFonts w:ascii="Arial" w:eastAsia="Tahoma" w:hAnsi="Arial" w:cs="Arial"/>
          <w:u w:val="none"/>
        </w:rPr>
        <w:t xml:space="preserve">nstrument types under Residual Documents.  The more common </w:t>
      </w:r>
      <w:r w:rsidR="00AE2E33" w:rsidRPr="00D554B1">
        <w:rPr>
          <w:rStyle w:val="Hyperlink"/>
          <w:rFonts w:ascii="Arial" w:eastAsia="Tahoma" w:hAnsi="Arial" w:cs="Arial"/>
          <w:u w:val="none"/>
        </w:rPr>
        <w:t>i</w:t>
      </w:r>
      <w:r w:rsidRPr="00D554B1">
        <w:rPr>
          <w:rStyle w:val="Hyperlink"/>
          <w:rFonts w:ascii="Arial" w:eastAsia="Tahoma" w:hAnsi="Arial" w:cs="Arial"/>
          <w:u w:val="none"/>
        </w:rPr>
        <w:t xml:space="preserve">nstruments available now are: </w:t>
      </w:r>
    </w:p>
    <w:p w14:paraId="41E9016F" w14:textId="77777777" w:rsidR="00B77A81" w:rsidRPr="00D554B1" w:rsidRDefault="00B77A81" w:rsidP="00B77A81">
      <w:pPr>
        <w:pStyle w:val="Bullet"/>
        <w:rPr>
          <w:rFonts w:ascii="Arial" w:hAnsi="Arial" w:cs="Arial"/>
          <w:color w:val="auto"/>
          <w:szCs w:val="20"/>
        </w:rPr>
      </w:pPr>
      <w:r w:rsidRPr="00D554B1">
        <w:rPr>
          <w:rFonts w:ascii="Arial" w:hAnsi="Arial" w:cs="Arial"/>
          <w:color w:val="auto"/>
          <w:szCs w:val="20"/>
        </w:rPr>
        <w:t>AGREEMENT - SECTION 173 - Planning &amp; Environment Act - section 173</w:t>
      </w:r>
    </w:p>
    <w:p w14:paraId="22E8D2DF" w14:textId="77777777" w:rsidR="00B77A81" w:rsidRPr="00D554B1" w:rsidRDefault="00B77A81" w:rsidP="00B77A81">
      <w:pPr>
        <w:pStyle w:val="Bullet"/>
        <w:rPr>
          <w:rFonts w:ascii="Arial" w:hAnsi="Arial" w:cs="Arial"/>
          <w:color w:val="auto"/>
          <w:szCs w:val="20"/>
        </w:rPr>
      </w:pPr>
      <w:r w:rsidRPr="00D554B1">
        <w:rPr>
          <w:rFonts w:ascii="Arial" w:hAnsi="Arial" w:cs="Arial"/>
          <w:color w:val="auto"/>
          <w:szCs w:val="20"/>
        </w:rPr>
        <w:t>NOTICE - GAIC - Planning &amp; Environment Act - section 201UB</w:t>
      </w:r>
    </w:p>
    <w:p w14:paraId="58EE7CCB" w14:textId="77777777" w:rsidR="00B77A81" w:rsidRPr="00D554B1" w:rsidRDefault="00B77A81" w:rsidP="00B77A81">
      <w:pPr>
        <w:pStyle w:val="Bullet"/>
        <w:rPr>
          <w:rFonts w:ascii="Arial" w:hAnsi="Arial" w:cs="Arial"/>
          <w:color w:val="auto"/>
          <w:szCs w:val="20"/>
        </w:rPr>
      </w:pPr>
      <w:r w:rsidRPr="00D554B1">
        <w:rPr>
          <w:rFonts w:ascii="Arial" w:hAnsi="Arial" w:cs="Arial"/>
          <w:color w:val="auto"/>
          <w:szCs w:val="20"/>
        </w:rPr>
        <w:t>AGREEMENT - Planning and Environment Act - section 201SLB</w:t>
      </w:r>
    </w:p>
    <w:p w14:paraId="50365209" w14:textId="77777777" w:rsidR="00B77A81" w:rsidRPr="00D554B1" w:rsidRDefault="00B77A81" w:rsidP="00A711A5">
      <w:pPr>
        <w:pStyle w:val="Bullet"/>
        <w:rPr>
          <w:rFonts w:ascii="Arial" w:hAnsi="Arial" w:cs="Arial"/>
          <w:color w:val="auto"/>
          <w:szCs w:val="20"/>
        </w:rPr>
      </w:pPr>
      <w:r w:rsidRPr="00D554B1">
        <w:rPr>
          <w:rFonts w:ascii="Arial" w:hAnsi="Arial" w:cs="Arial"/>
          <w:color w:val="auto"/>
          <w:szCs w:val="20"/>
        </w:rPr>
        <w:t>APPLICATION - AMENDMENT BY COURT/VCAT ORDER - Transfer of Land Act - section 103</w:t>
      </w:r>
    </w:p>
    <w:p w14:paraId="4EF5F863" w14:textId="77777777" w:rsidR="00B77A81" w:rsidRPr="00D554B1" w:rsidRDefault="00B77A81" w:rsidP="00B77A81">
      <w:pPr>
        <w:pStyle w:val="Bullet"/>
        <w:rPr>
          <w:rFonts w:ascii="Arial" w:hAnsi="Arial" w:cs="Arial"/>
          <w:color w:val="auto"/>
          <w:szCs w:val="20"/>
        </w:rPr>
      </w:pPr>
      <w:r w:rsidRPr="00D554B1">
        <w:rPr>
          <w:rFonts w:ascii="Arial" w:hAnsi="Arial" w:cs="Arial"/>
          <w:color w:val="auto"/>
          <w:szCs w:val="20"/>
        </w:rPr>
        <w:t>NOTICE - Retirement Villages Act - section 9</w:t>
      </w:r>
    </w:p>
    <w:p w14:paraId="4D46D4FE" w14:textId="4CCD5B5D" w:rsidR="00B77A81" w:rsidRPr="00D554B1" w:rsidRDefault="00B77A81" w:rsidP="00B77A81">
      <w:pPr>
        <w:pStyle w:val="Bullet"/>
        <w:numPr>
          <w:ilvl w:val="0"/>
          <w:numId w:val="0"/>
        </w:numPr>
        <w:rPr>
          <w:rFonts w:ascii="Arial" w:hAnsi="Arial" w:cs="Arial"/>
          <w:color w:val="auto"/>
          <w:szCs w:val="20"/>
        </w:rPr>
      </w:pPr>
      <w:r w:rsidRPr="00D554B1">
        <w:rPr>
          <w:rFonts w:ascii="Arial" w:hAnsi="Arial" w:cs="Arial"/>
          <w:color w:val="auto"/>
          <w:szCs w:val="20"/>
        </w:rPr>
        <w:t xml:space="preserve">A guide outlining the requirements for this application (and other residual documents) has been published at </w:t>
      </w:r>
      <w:hyperlink r:id="rId15" w:history="1">
        <w:r w:rsidRPr="00D554B1">
          <w:rPr>
            <w:rStyle w:val="Hyperlink"/>
            <w:rFonts w:ascii="Arial" w:hAnsi="Arial" w:cs="Arial"/>
            <w:szCs w:val="20"/>
            <w:u w:val="none"/>
          </w:rPr>
          <w:t>www.propertyandlandtitles.vic.gov.au/forms-guides-and-fees</w:t>
        </w:r>
      </w:hyperlink>
      <w:r w:rsidRPr="00D554B1">
        <w:rPr>
          <w:rStyle w:val="Hyperlink"/>
          <w:rFonts w:ascii="Arial" w:hAnsi="Arial" w:cs="Arial"/>
          <w:szCs w:val="20"/>
          <w:u w:val="none"/>
        </w:rPr>
        <w:t xml:space="preserve"> u</w:t>
      </w:r>
      <w:r w:rsidRPr="00D554B1">
        <w:rPr>
          <w:rFonts w:ascii="Arial" w:hAnsi="Arial" w:cs="Arial"/>
          <w:color w:val="auto"/>
          <w:szCs w:val="20"/>
        </w:rPr>
        <w:t>nder the sub-heading ‘Residual documents</w:t>
      </w:r>
      <w:r w:rsidR="00895B65" w:rsidRPr="00D554B1">
        <w:rPr>
          <w:rFonts w:ascii="Arial" w:hAnsi="Arial" w:cs="Arial"/>
          <w:color w:val="auto"/>
          <w:szCs w:val="20"/>
        </w:rPr>
        <w:t>’</w:t>
      </w:r>
      <w:r w:rsidRPr="00D554B1">
        <w:rPr>
          <w:rFonts w:ascii="Arial" w:hAnsi="Arial" w:cs="Arial"/>
          <w:color w:val="auto"/>
          <w:szCs w:val="20"/>
        </w:rPr>
        <w:t>.  This guide will be updated as other residual documents are made available.</w:t>
      </w:r>
    </w:p>
    <w:p w14:paraId="3165E4BF" w14:textId="6AECFBCA" w:rsidR="00B77A81" w:rsidRPr="00D554B1" w:rsidRDefault="00B77A81" w:rsidP="00B77A81">
      <w:pPr>
        <w:pStyle w:val="BodyText"/>
        <w:rPr>
          <w:rStyle w:val="Hyperlink"/>
          <w:rFonts w:ascii="Arial" w:eastAsia="Tahoma" w:hAnsi="Arial"/>
          <w:u w:val="none"/>
        </w:rPr>
      </w:pPr>
      <w:r w:rsidRPr="00D554B1">
        <w:rPr>
          <w:rStyle w:val="Hyperlink"/>
          <w:rFonts w:ascii="Arial" w:eastAsia="Tahoma" w:hAnsi="Arial"/>
          <w:u w:val="none"/>
        </w:rPr>
        <w:t xml:space="preserve">For a full list and more information please </w:t>
      </w:r>
      <w:r w:rsidR="00895B65" w:rsidRPr="00D554B1">
        <w:rPr>
          <w:rStyle w:val="Hyperlink"/>
          <w:rFonts w:ascii="Arial" w:eastAsia="Tahoma" w:hAnsi="Arial"/>
          <w:u w:val="none"/>
        </w:rPr>
        <w:t>visit https://community.pexa.com.au/.</w:t>
      </w:r>
    </w:p>
    <w:p w14:paraId="452D0D2E" w14:textId="5288064C" w:rsidR="00B77A81" w:rsidRDefault="00B77A81" w:rsidP="00B77A81">
      <w:pPr>
        <w:pStyle w:val="Heading1"/>
        <w:numPr>
          <w:ilvl w:val="0"/>
          <w:numId w:val="0"/>
        </w:numPr>
      </w:pPr>
      <w:bookmarkStart w:id="1" w:name="_GoBack"/>
      <w:bookmarkEnd w:id="1"/>
      <w:r>
        <w:lastRenderedPageBreak/>
        <w:t xml:space="preserve">Removal of warnings on </w:t>
      </w:r>
      <w:r w:rsidR="009A5616">
        <w:t>p</w:t>
      </w:r>
      <w:r>
        <w:t>rovisional folios after 15 years</w:t>
      </w:r>
    </w:p>
    <w:p w14:paraId="6C5F6856" w14:textId="5D56104F" w:rsidR="00B77A81" w:rsidRPr="00D554B1" w:rsidRDefault="00B77A81" w:rsidP="00B77A81">
      <w:pPr>
        <w:pStyle w:val="BodyText"/>
        <w:rPr>
          <w:rFonts w:ascii="Arial" w:hAnsi="Arial" w:cs="Arial"/>
          <w:color w:val="auto"/>
        </w:rPr>
      </w:pPr>
      <w:r w:rsidRPr="00D554B1">
        <w:rPr>
          <w:rFonts w:ascii="Arial" w:hAnsi="Arial" w:cs="Arial"/>
          <w:color w:val="auto"/>
        </w:rPr>
        <w:t xml:space="preserve">The </w:t>
      </w:r>
      <w:r w:rsidRPr="00D554B1">
        <w:rPr>
          <w:rFonts w:ascii="Arial" w:hAnsi="Arial" w:cs="Arial"/>
          <w:i/>
          <w:color w:val="auto"/>
        </w:rPr>
        <w:t>Transfer of Land Act 1958</w:t>
      </w:r>
      <w:r w:rsidRPr="00D554B1">
        <w:rPr>
          <w:rFonts w:ascii="Arial" w:hAnsi="Arial" w:cs="Arial"/>
          <w:color w:val="auto"/>
        </w:rPr>
        <w:t xml:space="preserve"> (TLA) was amended by the </w:t>
      </w:r>
      <w:r w:rsidRPr="00D554B1">
        <w:rPr>
          <w:rFonts w:ascii="Arial" w:hAnsi="Arial" w:cs="Arial"/>
          <w:i/>
          <w:color w:val="auto"/>
        </w:rPr>
        <w:t>Land Legislation Amendment Act 2017</w:t>
      </w:r>
      <w:r w:rsidRPr="00D554B1">
        <w:rPr>
          <w:rFonts w:ascii="Arial" w:hAnsi="Arial" w:cs="Arial"/>
          <w:color w:val="auto"/>
        </w:rPr>
        <w:t xml:space="preserve"> to include new section 26Y.  This section provides that a provisional folio created from a conversion of general law land becomes an ordinary folio (unless an ordinary folio has been created already) 15</w:t>
      </w:r>
      <w:r w:rsidR="00C22907" w:rsidRPr="00D554B1">
        <w:rPr>
          <w:rFonts w:ascii="Arial" w:hAnsi="Arial" w:cs="Arial"/>
          <w:color w:val="auto"/>
        </w:rPr>
        <w:t xml:space="preserve"> </w:t>
      </w:r>
      <w:r w:rsidRPr="00D554B1">
        <w:rPr>
          <w:rFonts w:ascii="Arial" w:hAnsi="Arial" w:cs="Arial"/>
          <w:color w:val="auto"/>
        </w:rPr>
        <w:t>years after the creation of the provisional folio.</w:t>
      </w:r>
    </w:p>
    <w:p w14:paraId="2332A826" w14:textId="31B483CC" w:rsidR="00CE5C69" w:rsidRPr="00D554B1" w:rsidRDefault="00B77A81" w:rsidP="00B77A81">
      <w:pPr>
        <w:pStyle w:val="BodyText"/>
        <w:rPr>
          <w:rFonts w:ascii="Arial" w:hAnsi="Arial" w:cs="Arial"/>
          <w:color w:val="auto"/>
        </w:rPr>
      </w:pPr>
      <w:r w:rsidRPr="00D554B1">
        <w:rPr>
          <w:rFonts w:ascii="Arial" w:hAnsi="Arial" w:cs="Arial"/>
          <w:color w:val="auto"/>
        </w:rPr>
        <w:t>Section 26Y has the effect that any warnings on a provisional folio (</w:t>
      </w:r>
      <w:r w:rsidR="001227C3" w:rsidRPr="00D554B1">
        <w:rPr>
          <w:rFonts w:ascii="Arial" w:hAnsi="Arial" w:cs="Arial"/>
          <w:color w:val="auto"/>
        </w:rPr>
        <w:t>’</w:t>
      </w:r>
      <w:r w:rsidRPr="00D554B1">
        <w:rPr>
          <w:rFonts w:ascii="Arial" w:hAnsi="Arial" w:cs="Arial"/>
          <w:color w:val="auto"/>
        </w:rPr>
        <w:t>Warning as to Title</w:t>
      </w:r>
      <w:r w:rsidR="001227C3" w:rsidRPr="00D554B1">
        <w:rPr>
          <w:rFonts w:ascii="Arial" w:hAnsi="Arial" w:cs="Arial"/>
          <w:color w:val="auto"/>
        </w:rPr>
        <w:t>’</w:t>
      </w:r>
      <w:r w:rsidRPr="00D554B1">
        <w:rPr>
          <w:rFonts w:ascii="Arial" w:hAnsi="Arial" w:cs="Arial"/>
          <w:color w:val="auto"/>
        </w:rPr>
        <w:t xml:space="preserve">, </w:t>
      </w:r>
      <w:r w:rsidR="001227C3" w:rsidRPr="00D554B1">
        <w:rPr>
          <w:rFonts w:ascii="Arial" w:hAnsi="Arial" w:cs="Arial"/>
          <w:color w:val="auto"/>
        </w:rPr>
        <w:t>‘</w:t>
      </w:r>
      <w:r w:rsidRPr="00D554B1">
        <w:rPr>
          <w:rFonts w:ascii="Arial" w:hAnsi="Arial" w:cs="Arial"/>
          <w:color w:val="auto"/>
        </w:rPr>
        <w:t>Warning as to Dimensions</w:t>
      </w:r>
      <w:r w:rsidR="001227C3" w:rsidRPr="00D554B1">
        <w:rPr>
          <w:rFonts w:ascii="Arial" w:hAnsi="Arial" w:cs="Arial"/>
          <w:color w:val="auto"/>
        </w:rPr>
        <w:t>’</w:t>
      </w:r>
      <w:r w:rsidRPr="00D554B1">
        <w:rPr>
          <w:rFonts w:ascii="Arial" w:hAnsi="Arial" w:cs="Arial"/>
          <w:color w:val="auto"/>
        </w:rPr>
        <w:t xml:space="preserve"> and </w:t>
      </w:r>
      <w:r w:rsidR="001227C3" w:rsidRPr="00D554B1">
        <w:rPr>
          <w:rFonts w:ascii="Arial" w:hAnsi="Arial" w:cs="Arial"/>
          <w:color w:val="auto"/>
        </w:rPr>
        <w:t>’</w:t>
      </w:r>
      <w:r w:rsidRPr="00D554B1">
        <w:rPr>
          <w:rFonts w:ascii="Arial" w:hAnsi="Arial" w:cs="Arial"/>
          <w:color w:val="auto"/>
        </w:rPr>
        <w:t>Warning as to subsisting interests</w:t>
      </w:r>
      <w:r w:rsidR="001227C3" w:rsidRPr="00D554B1">
        <w:rPr>
          <w:rFonts w:ascii="Arial" w:hAnsi="Arial" w:cs="Arial"/>
          <w:color w:val="auto"/>
        </w:rPr>
        <w:t>’</w:t>
      </w:r>
      <w:r w:rsidRPr="00D554B1">
        <w:rPr>
          <w:rFonts w:ascii="Arial" w:hAnsi="Arial" w:cs="Arial"/>
          <w:color w:val="auto"/>
        </w:rPr>
        <w:t xml:space="preserve">) are removed. </w:t>
      </w:r>
    </w:p>
    <w:p w14:paraId="69698BD9" w14:textId="19198DAC" w:rsidR="00B77A81" w:rsidRPr="00D554B1" w:rsidRDefault="00B77A81" w:rsidP="00B77A81">
      <w:pPr>
        <w:pStyle w:val="BodyText"/>
        <w:rPr>
          <w:rFonts w:ascii="Arial" w:hAnsi="Arial" w:cs="Arial"/>
          <w:color w:val="auto"/>
        </w:rPr>
      </w:pPr>
      <w:r w:rsidRPr="00D554B1">
        <w:rPr>
          <w:rFonts w:ascii="Arial" w:hAnsi="Arial" w:cs="Arial"/>
          <w:color w:val="auto"/>
        </w:rPr>
        <w:t xml:space="preserve">The Registrar </w:t>
      </w:r>
      <w:r w:rsidR="001227C3" w:rsidRPr="00D554B1">
        <w:rPr>
          <w:rFonts w:ascii="Arial" w:hAnsi="Arial" w:cs="Arial"/>
          <w:color w:val="auto"/>
        </w:rPr>
        <w:t xml:space="preserve">has started the process of removing warnings from folios more than 15 years old, but this will take some time. Warnings that continue to appear on these folios and diagrams no longer have any effect. </w:t>
      </w:r>
    </w:p>
    <w:p w14:paraId="11270011" w14:textId="47D4B48B" w:rsidR="00B77A81" w:rsidRPr="00D554B1" w:rsidRDefault="00B77A81" w:rsidP="00B77A81">
      <w:pPr>
        <w:pStyle w:val="BodyText"/>
        <w:rPr>
          <w:rFonts w:ascii="Arial" w:hAnsi="Arial" w:cs="Arial"/>
          <w:i/>
          <w:color w:val="auto"/>
        </w:rPr>
      </w:pPr>
      <w:r w:rsidRPr="00D554B1">
        <w:rPr>
          <w:rFonts w:ascii="Arial" w:hAnsi="Arial" w:cs="Arial"/>
          <w:color w:val="auto"/>
        </w:rPr>
        <w:t xml:space="preserve">Warnings will remain on the diagram source (plan) except for provisional folios created after May 2019, where no warning will be put on the plan. Where no warnings </w:t>
      </w:r>
      <w:r w:rsidR="001227C3" w:rsidRPr="00D554B1">
        <w:rPr>
          <w:rFonts w:ascii="Arial" w:hAnsi="Arial" w:cs="Arial"/>
          <w:color w:val="auto"/>
        </w:rPr>
        <w:t>show</w:t>
      </w:r>
      <w:r w:rsidRPr="00D554B1">
        <w:rPr>
          <w:rFonts w:ascii="Arial" w:hAnsi="Arial" w:cs="Arial"/>
          <w:color w:val="auto"/>
        </w:rPr>
        <w:t xml:space="preserve"> on a folio, </w:t>
      </w:r>
      <w:r w:rsidR="001227C3" w:rsidRPr="00D554B1">
        <w:rPr>
          <w:rFonts w:ascii="Arial" w:hAnsi="Arial" w:cs="Arial"/>
          <w:color w:val="auto"/>
        </w:rPr>
        <w:t xml:space="preserve">the notation on the plan should be considered as historical information. </w:t>
      </w:r>
    </w:p>
    <w:p w14:paraId="203A45CC" w14:textId="77777777" w:rsidR="00B77A81" w:rsidRPr="007C49E3" w:rsidRDefault="00B77A81" w:rsidP="00CE5C69">
      <w:pPr>
        <w:pStyle w:val="Heading2"/>
      </w:pPr>
      <w:r w:rsidRPr="007C49E3">
        <w:t xml:space="preserve">Effect of </w:t>
      </w:r>
      <w:r>
        <w:t>s</w:t>
      </w:r>
      <w:r w:rsidRPr="007C49E3">
        <w:t>ection 26Y on Application</w:t>
      </w:r>
      <w:r>
        <w:t>s</w:t>
      </w:r>
      <w:r w:rsidRPr="007C49E3">
        <w:t xml:space="preserve"> for deletion of warning relating to title dimensions</w:t>
      </w:r>
      <w:r>
        <w:t xml:space="preserve"> (s</w:t>
      </w:r>
      <w:r w:rsidRPr="007C49E3">
        <w:t>ection 26P</w:t>
      </w:r>
      <w:r>
        <w:t>)</w:t>
      </w:r>
    </w:p>
    <w:p w14:paraId="769470BB" w14:textId="5330E096" w:rsidR="00B77A81" w:rsidRPr="00D554B1" w:rsidRDefault="00B77A81" w:rsidP="00B77A81">
      <w:pPr>
        <w:pStyle w:val="BodyText"/>
        <w:rPr>
          <w:rFonts w:ascii="Arial" w:hAnsi="Arial" w:cs="Arial"/>
          <w:color w:val="auto"/>
        </w:rPr>
      </w:pPr>
      <w:r w:rsidRPr="00D554B1">
        <w:rPr>
          <w:rFonts w:ascii="Arial" w:hAnsi="Arial" w:cs="Arial"/>
          <w:color w:val="auto"/>
        </w:rPr>
        <w:t xml:space="preserve">Section 26Y affects applications under section 26P of the TLA (Application for deletion of warning relating to title dimensions), as a folio showing a warning as to dimensions may no longer be subject to the warning.  A section 26P application affecting a folio where 15 years has elapsed will not be accepted for </w:t>
      </w:r>
      <w:proofErr w:type="spellStart"/>
      <w:r w:rsidRPr="00D554B1">
        <w:rPr>
          <w:rFonts w:ascii="Arial" w:hAnsi="Arial" w:cs="Arial"/>
          <w:color w:val="auto"/>
        </w:rPr>
        <w:t>lodgment</w:t>
      </w:r>
      <w:proofErr w:type="spellEnd"/>
      <w:r w:rsidRPr="00D554B1">
        <w:rPr>
          <w:rFonts w:ascii="Arial" w:hAnsi="Arial" w:cs="Arial"/>
          <w:color w:val="auto"/>
        </w:rPr>
        <w:t xml:space="preserve"> </w:t>
      </w:r>
      <w:r w:rsidR="006B7018" w:rsidRPr="00D554B1">
        <w:rPr>
          <w:rFonts w:ascii="Arial" w:hAnsi="Arial" w:cs="Arial"/>
          <w:color w:val="auto"/>
        </w:rPr>
        <w:t>or processing</w:t>
      </w:r>
      <w:r w:rsidRPr="00D554B1">
        <w:rPr>
          <w:rFonts w:ascii="Arial" w:hAnsi="Arial" w:cs="Arial"/>
          <w:color w:val="auto"/>
        </w:rPr>
        <w:t xml:space="preserve"> </w:t>
      </w:r>
      <w:r w:rsidRPr="00D554B1">
        <w:rPr>
          <w:rFonts w:ascii="Arial" w:hAnsi="Arial" w:cs="Arial"/>
          <w:i/>
          <w:color w:val="auto"/>
        </w:rPr>
        <w:t>regardless of whether the folio or diagram source still shows a warning as to dimensions.</w:t>
      </w:r>
      <w:r w:rsidRPr="00D554B1">
        <w:rPr>
          <w:rFonts w:ascii="Arial" w:hAnsi="Arial" w:cs="Arial"/>
          <w:color w:val="auto"/>
        </w:rPr>
        <w:t xml:space="preserve">  The checklist supporting the preparation of section 26P applications (available on the DELWP website) will be updated.</w:t>
      </w:r>
    </w:p>
    <w:p w14:paraId="37B5BD08" w14:textId="17AF8CCF" w:rsidR="00B77A81" w:rsidRPr="00D554B1" w:rsidRDefault="00B77A81" w:rsidP="00B77A81">
      <w:pPr>
        <w:pStyle w:val="BodyText"/>
        <w:rPr>
          <w:rFonts w:ascii="Arial" w:hAnsi="Arial" w:cs="Arial"/>
          <w:color w:val="auto"/>
        </w:rPr>
      </w:pPr>
      <w:r w:rsidRPr="00D554B1">
        <w:rPr>
          <w:rFonts w:ascii="Arial" w:hAnsi="Arial" w:cs="Arial"/>
          <w:color w:val="auto"/>
        </w:rPr>
        <w:t>Lodging parties preparing an application under section 26P must undertake a folio search to determine if 15 years has elapsed since the creation of the provisional folio.</w:t>
      </w:r>
      <w:r w:rsidRPr="00D554B1">
        <w:rPr>
          <w:rFonts w:ascii="Arial" w:hAnsi="Arial" w:cs="Arial"/>
          <w:i/>
          <w:color w:val="auto"/>
        </w:rPr>
        <w:t xml:space="preserve">  </w:t>
      </w:r>
    </w:p>
    <w:p w14:paraId="1E55FBAA" w14:textId="77777777" w:rsidR="002C3D04" w:rsidRDefault="00B77A81" w:rsidP="002C3D04">
      <w:pPr>
        <w:pStyle w:val="BodyText"/>
        <w:rPr>
          <w:rFonts w:ascii="Arial" w:hAnsi="Arial" w:cs="Arial"/>
          <w:i/>
          <w:color w:val="auto"/>
          <w:lang w:eastAsia="en-AU"/>
        </w:rPr>
      </w:pPr>
      <w:r w:rsidRPr="00D554B1">
        <w:rPr>
          <w:rFonts w:ascii="Arial" w:hAnsi="Arial" w:cs="Arial"/>
          <w:color w:val="auto"/>
          <w:lang w:eastAsia="en-AU"/>
        </w:rPr>
        <w:t xml:space="preserve">Any existing applications under section 26P of the TLA (including applications which have been created in SPEAR but not yet lodged) where the </w:t>
      </w:r>
      <w:r w:rsidR="00120819" w:rsidRPr="00D554B1">
        <w:rPr>
          <w:rFonts w:ascii="Arial" w:hAnsi="Arial" w:cs="Arial"/>
          <w:color w:val="auto"/>
          <w:lang w:eastAsia="en-AU"/>
        </w:rPr>
        <w:t>15-year</w:t>
      </w:r>
      <w:r w:rsidRPr="00D554B1">
        <w:rPr>
          <w:rFonts w:ascii="Arial" w:hAnsi="Arial" w:cs="Arial"/>
          <w:color w:val="auto"/>
          <w:lang w:eastAsia="en-AU"/>
        </w:rPr>
        <w:t xml:space="preserve"> period has elapsed will need to be altered to an appropriate alternate boundary amendment application (e.g. sections 60, 99, 103, or 15 of the TLA) before they can proceed</w:t>
      </w:r>
      <w:r w:rsidRPr="00D554B1">
        <w:rPr>
          <w:rFonts w:ascii="Arial" w:hAnsi="Arial" w:cs="Arial"/>
          <w:i/>
          <w:color w:val="auto"/>
          <w:lang w:eastAsia="en-AU"/>
        </w:rPr>
        <w:t>.</w:t>
      </w:r>
      <w:bookmarkStart w:id="2" w:name="_Hlk7790471"/>
    </w:p>
    <w:p w14:paraId="6F66532A" w14:textId="5C23ACB9" w:rsidR="00B77A81" w:rsidRPr="007C49E3" w:rsidRDefault="00B77A81" w:rsidP="00EC0355">
      <w:pPr>
        <w:pStyle w:val="Heading1"/>
      </w:pPr>
      <w:proofErr w:type="spellStart"/>
      <w:r w:rsidRPr="007C49E3">
        <w:t>Caveator’s</w:t>
      </w:r>
      <w:proofErr w:type="spellEnd"/>
      <w:r w:rsidRPr="007C49E3">
        <w:t xml:space="preserve"> consent - </w:t>
      </w:r>
      <w:r w:rsidRPr="00EC0355">
        <w:t>change</w:t>
      </w:r>
      <w:r w:rsidRPr="007C49E3">
        <w:t xml:space="preserve"> to requirement to produce consent to Registrar</w:t>
      </w:r>
    </w:p>
    <w:bookmarkEnd w:id="2"/>
    <w:p w14:paraId="43915ED4" w14:textId="14CA7AB1" w:rsidR="00B77A81" w:rsidRDefault="00B77A81" w:rsidP="00B77A81">
      <w:pPr>
        <w:rPr>
          <w:rFonts w:cs="Calibri"/>
          <w:color w:val="auto"/>
        </w:rPr>
      </w:pPr>
      <w:r>
        <w:t xml:space="preserve">Currently, when lodging an electronic dealing over a folio affected by a caveat, the subscriber has the option to select a dealing requirement indicating that the subscriber holds the consent of the </w:t>
      </w:r>
      <w:proofErr w:type="spellStart"/>
      <w:r>
        <w:t>caveator</w:t>
      </w:r>
      <w:proofErr w:type="spellEnd"/>
      <w:r>
        <w:t xml:space="preserve"> to the lodging of the dealing.  If it is not selected, then the dealing, when lodged, is held unregistered while notice is given to the </w:t>
      </w:r>
      <w:proofErr w:type="spellStart"/>
      <w:r>
        <w:t>caveator</w:t>
      </w:r>
      <w:proofErr w:type="spellEnd"/>
      <w:r>
        <w:t xml:space="preserve"> under section 90(1) </w:t>
      </w:r>
      <w:r w:rsidR="009A5616">
        <w:t xml:space="preserve">of the </w:t>
      </w:r>
      <w:r>
        <w:t>TLA.</w:t>
      </w:r>
    </w:p>
    <w:p w14:paraId="3AEFCC7F" w14:textId="77777777" w:rsidR="00B77A81" w:rsidRDefault="00B77A81" w:rsidP="00B77A81"/>
    <w:p w14:paraId="1C850A0B" w14:textId="77777777" w:rsidR="00B77A81" w:rsidRDefault="00B77A81" w:rsidP="00B77A81">
      <w:r>
        <w:t xml:space="preserve">If the dealing requirement is selected, the dealing, when lodged, is currently held unregistered, awaiting the physical delivery to the Registrar of the consent of the </w:t>
      </w:r>
      <w:proofErr w:type="spellStart"/>
      <w:r>
        <w:t>caveator</w:t>
      </w:r>
      <w:proofErr w:type="spellEnd"/>
      <w:r>
        <w:t xml:space="preserve">.  When the consent is received, the dealing is </w:t>
      </w:r>
      <w:r w:rsidR="00CE5C69">
        <w:t>registered,</w:t>
      </w:r>
      <w:r>
        <w:t xml:space="preserve"> and the caveat remains on title.</w:t>
      </w:r>
    </w:p>
    <w:p w14:paraId="36DEFCAC" w14:textId="77777777" w:rsidR="00B77A81" w:rsidRDefault="00B77A81" w:rsidP="00B77A81"/>
    <w:p w14:paraId="23902090" w14:textId="77777777" w:rsidR="00B77A81" w:rsidRDefault="00B77A81" w:rsidP="00B77A81">
      <w:r>
        <w:t xml:space="preserve">From 15 June, the requirement for the physical delivery to the Registrar of the consent of the </w:t>
      </w:r>
      <w:proofErr w:type="spellStart"/>
      <w:r>
        <w:t>caveator</w:t>
      </w:r>
      <w:proofErr w:type="spellEnd"/>
      <w:r>
        <w:t xml:space="preserve"> will be removed.  Instead, the Registrar will be relying on the dealing requirement being selected, along with the standard certifications on the dealing, as being evidence that the consent of the </w:t>
      </w:r>
      <w:proofErr w:type="spellStart"/>
      <w:r>
        <w:t>caveator</w:t>
      </w:r>
      <w:proofErr w:type="spellEnd"/>
      <w:r>
        <w:t xml:space="preserve"> is held by the ELN subscriber.  The dealing, when received, will be registered.  Again, the caveat remains on title.</w:t>
      </w:r>
    </w:p>
    <w:p w14:paraId="6B3DF220" w14:textId="77777777" w:rsidR="00B77A81" w:rsidRDefault="00B77A81" w:rsidP="00B77A81"/>
    <w:p w14:paraId="427EB035" w14:textId="77777777" w:rsidR="00B77A81" w:rsidRDefault="00B77A81" w:rsidP="00B77A81">
      <w:r>
        <w:lastRenderedPageBreak/>
        <w:t xml:space="preserve">The change does not remove the requirement on the subscriber to obtain the consent of the </w:t>
      </w:r>
      <w:proofErr w:type="spellStart"/>
      <w:r>
        <w:t>caveator</w:t>
      </w:r>
      <w:proofErr w:type="spellEnd"/>
      <w:r>
        <w:t xml:space="preserve">.  It simply removes the requirement to physically produce that consent to the Registrar. In a compliance examination, the subscriber will be required to produce the consent held.  </w:t>
      </w:r>
    </w:p>
    <w:p w14:paraId="113AC164" w14:textId="77777777" w:rsidR="00B77A81" w:rsidRDefault="00B77A81" w:rsidP="00B77A81"/>
    <w:p w14:paraId="1619CE88" w14:textId="77777777" w:rsidR="00B77A81" w:rsidRDefault="00B77A81" w:rsidP="00B77A81">
      <w:r>
        <w:t>This change is being made to ensure more efficient processing of electronic dealings, by eliminating the delay currently experienced while the physical consent is produced to the Registrar</w:t>
      </w:r>
      <w:r w:rsidR="00CE5C69">
        <w:t>.</w:t>
      </w:r>
    </w:p>
    <w:p w14:paraId="7714E988" w14:textId="00F73616" w:rsidR="00B77A81" w:rsidRPr="002C3D04" w:rsidRDefault="00B77A81" w:rsidP="00B77A81">
      <w:pPr>
        <w:pStyle w:val="BodyText"/>
        <w:rPr>
          <w:rFonts w:ascii="Arial" w:hAnsi="Arial" w:cs="Arial"/>
          <w:i/>
          <w:color w:val="auto"/>
          <w:sz w:val="18"/>
          <w:szCs w:val="18"/>
          <w:lang w:eastAsia="en-AU"/>
        </w:rPr>
      </w:pPr>
      <w:r w:rsidRPr="002C3D04">
        <w:rPr>
          <w:rFonts w:ascii="Arial" w:hAnsi="Arial" w:cs="Arial"/>
          <w:i/>
          <w:color w:val="auto"/>
          <w:sz w:val="18"/>
          <w:szCs w:val="18"/>
          <w:lang w:eastAsia="en-AU"/>
        </w:rPr>
        <w:t>N</w:t>
      </w:r>
      <w:r w:rsidR="00F1229D" w:rsidRPr="002C3D04">
        <w:rPr>
          <w:rFonts w:ascii="Arial" w:hAnsi="Arial" w:cs="Arial"/>
          <w:i/>
          <w:color w:val="auto"/>
          <w:sz w:val="18"/>
          <w:szCs w:val="18"/>
          <w:lang w:eastAsia="en-AU"/>
        </w:rPr>
        <w:t>ote</w:t>
      </w:r>
      <w:r w:rsidRPr="002C3D04">
        <w:rPr>
          <w:rFonts w:ascii="Arial" w:hAnsi="Arial" w:cs="Arial"/>
          <w:i/>
          <w:color w:val="auto"/>
          <w:sz w:val="18"/>
          <w:szCs w:val="18"/>
          <w:lang w:eastAsia="en-AU"/>
        </w:rPr>
        <w:t xml:space="preserve">: This change does not apply to dealings lodged in paper, where consent of the </w:t>
      </w:r>
      <w:proofErr w:type="spellStart"/>
      <w:r w:rsidRPr="002C3D04">
        <w:rPr>
          <w:rFonts w:ascii="Arial" w:hAnsi="Arial" w:cs="Arial"/>
          <w:i/>
          <w:color w:val="auto"/>
          <w:sz w:val="18"/>
          <w:szCs w:val="18"/>
          <w:lang w:eastAsia="en-AU"/>
        </w:rPr>
        <w:t>caveator</w:t>
      </w:r>
      <w:proofErr w:type="spellEnd"/>
      <w:r w:rsidRPr="002C3D04">
        <w:rPr>
          <w:rFonts w:ascii="Arial" w:hAnsi="Arial" w:cs="Arial"/>
          <w:i/>
          <w:color w:val="auto"/>
          <w:sz w:val="18"/>
          <w:szCs w:val="18"/>
          <w:lang w:eastAsia="en-AU"/>
        </w:rPr>
        <w:t xml:space="preserve"> is still required to be produced.</w:t>
      </w:r>
    </w:p>
    <w:p w14:paraId="784FF419" w14:textId="65AEDF4D" w:rsidR="00B77A81" w:rsidRDefault="00B77A81" w:rsidP="00B77A81">
      <w:pPr>
        <w:pStyle w:val="Heading1"/>
        <w:numPr>
          <w:ilvl w:val="0"/>
          <w:numId w:val="0"/>
        </w:numPr>
        <w:spacing w:after="240"/>
      </w:pPr>
      <w:r>
        <w:t>Subscribe</w:t>
      </w:r>
    </w:p>
    <w:p w14:paraId="2E54604A" w14:textId="2BD6140B" w:rsidR="00B77A81" w:rsidRDefault="00B77A81" w:rsidP="00B77A81">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5CF55655" w14:textId="77777777" w:rsidR="002C3D04" w:rsidRDefault="002C3D04" w:rsidP="002C3D04">
      <w:pPr>
        <w:pStyle w:val="Heading1"/>
        <w:numPr>
          <w:ilvl w:val="0"/>
          <w:numId w:val="0"/>
        </w:numPr>
        <w:spacing w:after="240"/>
        <w:rPr>
          <w:rFonts w:eastAsiaTheme="minorHAnsi"/>
          <w:lang w:eastAsia="en-US"/>
        </w:rPr>
      </w:pPr>
      <w:r>
        <w:rPr>
          <w:rFonts w:eastAsiaTheme="minorHAnsi"/>
          <w:lang w:eastAsia="en-US"/>
        </w:rPr>
        <w:t>Contact us</w:t>
      </w:r>
    </w:p>
    <w:p w14:paraId="28DDDBD1" w14:textId="69C9288B" w:rsidR="00CC5AFA" w:rsidRPr="00CC5AFA" w:rsidRDefault="002C3D04" w:rsidP="002C3D04">
      <w:pPr>
        <w:pStyle w:val="BodyText"/>
        <w:rPr>
          <w:rFonts w:eastAsiaTheme="minorHAnsi" w:cs="Calibri"/>
          <w:color w:val="000000"/>
          <w:szCs w:val="22"/>
          <w:u w:val="single"/>
        </w:rPr>
      </w:pPr>
      <w:r>
        <w:rPr>
          <w:rFonts w:eastAsiaTheme="minorHAnsi" w:cs="Calibri"/>
          <w:color w:val="000000"/>
          <w:szCs w:val="22"/>
        </w:rPr>
        <w:t xml:space="preserve">For </w:t>
      </w:r>
      <w:hyperlink r:id="rId16"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7" w:history="1">
        <w:r>
          <w:rPr>
            <w:rStyle w:val="Hyperlink"/>
            <w:rFonts w:eastAsiaTheme="minorHAnsi" w:cs="Calibri"/>
            <w:color w:val="000000"/>
            <w:szCs w:val="22"/>
          </w:rPr>
          <w:t>www.propertyandlandtitles.vic.gov.au/contact-us</w:t>
        </w:r>
      </w:hyperlink>
    </w:p>
    <w:tbl>
      <w:tblPr>
        <w:tblpPr w:leftFromText="181" w:rightFromText="181" w:topFromText="113" w:vertAnchor="page" w:horzAnchor="margin" w:tblpY="119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C3D04" w14:paraId="44052991" w14:textId="77777777" w:rsidTr="00CC5AFA">
        <w:trPr>
          <w:trHeight w:val="2608"/>
        </w:trPr>
        <w:tc>
          <w:tcPr>
            <w:tcW w:w="5216" w:type="dxa"/>
            <w:shd w:val="clear" w:color="auto" w:fill="auto"/>
          </w:tcPr>
          <w:p w14:paraId="1D99584F" w14:textId="335B51FA" w:rsidR="002C3D04" w:rsidRDefault="002C3D04" w:rsidP="00CC5AFA">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6B5D98">
              <w:rPr>
                <w:noProof/>
              </w:rPr>
              <w:t>2019</w:t>
            </w:r>
            <w:r>
              <w:fldChar w:fldCharType="end"/>
            </w:r>
          </w:p>
          <w:p w14:paraId="1EDD7FC8" w14:textId="77777777" w:rsidR="002C3D04" w:rsidRDefault="002C3D04" w:rsidP="00CC5AFA">
            <w:pPr>
              <w:pStyle w:val="SmallBodyText"/>
            </w:pPr>
            <w:r>
              <w:rPr>
                <w:noProof/>
              </w:rPr>
              <w:drawing>
                <wp:anchor distT="0" distB="0" distL="114300" distR="36195" simplePos="0" relativeHeight="251659264" behindDoc="0" locked="1" layoutInCell="1" allowOverlap="1" wp14:anchorId="15188A9A" wp14:editId="6989F123">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27BCE29" w14:textId="77777777" w:rsidR="002C3D04" w:rsidRPr="008F559C" w:rsidRDefault="002C3D04" w:rsidP="00CC5AFA">
            <w:pPr>
              <w:pStyle w:val="SmallHeading"/>
            </w:pPr>
            <w:r w:rsidRPr="00C255C2">
              <w:t>Disclaimer</w:t>
            </w:r>
          </w:p>
          <w:p w14:paraId="52A0BEB4" w14:textId="77777777" w:rsidR="002C3D04" w:rsidRDefault="002C3D04" w:rsidP="00CC5AFA">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BC0E7FD" w14:textId="77777777" w:rsidR="002C3D04" w:rsidRPr="00E97294" w:rsidRDefault="002C3D04" w:rsidP="00CC5AFA">
            <w:pPr>
              <w:pStyle w:val="xAccessibilityHeading"/>
            </w:pPr>
            <w:bookmarkStart w:id="4" w:name="_Accessibility"/>
            <w:bookmarkEnd w:id="4"/>
            <w:r w:rsidRPr="00E97294">
              <w:t>Accessibility</w:t>
            </w:r>
          </w:p>
          <w:p w14:paraId="3290C4A1" w14:textId="77777777" w:rsidR="002C3D04" w:rsidRDefault="002C3D04" w:rsidP="00CC5AFA">
            <w:pPr>
              <w:pStyle w:val="xAccessibilityText"/>
            </w:pPr>
            <w:r>
              <w:t>If you would like to receive this publication in an alternative format, please telephone the DELWP Customer Service Centre on 136186, email </w:t>
            </w:r>
            <w:hyperlink r:id="rId19" w:history="1">
              <w:r w:rsidRPr="003C5C56">
                <w:t>customer.service@delwp.vic.gov.au</w:t>
              </w:r>
            </w:hyperlink>
            <w:r>
              <w:t xml:space="preserve"> or via the National Relay Service on 133 677 </w:t>
            </w:r>
            <w:hyperlink r:id="rId20" w:history="1">
              <w:r w:rsidRPr="00046598">
                <w:rPr>
                  <w:rStyle w:val="Hyperlink"/>
                </w:rPr>
                <w:t>www.relayservice.com.au</w:t>
              </w:r>
            </w:hyperlink>
            <w:r>
              <w:t xml:space="preserve">. This document is also available on the internet at </w:t>
            </w:r>
            <w:hyperlink r:id="rId21" w:history="1">
              <w:r w:rsidRPr="00AE3298">
                <w:t>www.delwp.vic.gov.au</w:t>
              </w:r>
            </w:hyperlink>
            <w:r>
              <w:t xml:space="preserve">. </w:t>
            </w:r>
          </w:p>
          <w:p w14:paraId="76D427BB" w14:textId="77777777" w:rsidR="002C3D04" w:rsidRDefault="002C3D04" w:rsidP="00CC5AFA">
            <w:pPr>
              <w:pStyle w:val="SmallBodyText"/>
            </w:pPr>
          </w:p>
        </w:tc>
      </w:tr>
    </w:tbl>
    <w:p w14:paraId="51940114" w14:textId="4476F510" w:rsidR="006E1C8D" w:rsidRDefault="006E1C8D" w:rsidP="002C3D04">
      <w:pPr>
        <w:pStyle w:val="BodyText"/>
      </w:pPr>
    </w:p>
    <w:sectPr w:rsidR="006E1C8D" w:rsidSect="00CC5AFA">
      <w:type w:val="continuous"/>
      <w:pgSz w:w="11907" w:h="16840" w:code="9"/>
      <w:pgMar w:top="2211" w:right="851" w:bottom="1758" w:left="851" w:header="284" w:footer="28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A1F67" w14:textId="77777777" w:rsidR="00945AB7" w:rsidRDefault="00945AB7">
      <w:r>
        <w:separator/>
      </w:r>
    </w:p>
    <w:p w14:paraId="27939EEA" w14:textId="77777777" w:rsidR="00945AB7" w:rsidRDefault="00945AB7"/>
    <w:p w14:paraId="65445172" w14:textId="77777777" w:rsidR="00945AB7" w:rsidRDefault="00945AB7"/>
  </w:endnote>
  <w:endnote w:type="continuationSeparator" w:id="0">
    <w:p w14:paraId="49428B61" w14:textId="77777777" w:rsidR="00945AB7" w:rsidRDefault="00945AB7">
      <w:r>
        <w:continuationSeparator/>
      </w:r>
    </w:p>
    <w:p w14:paraId="18E9D977" w14:textId="77777777" w:rsidR="00945AB7" w:rsidRDefault="00945AB7"/>
    <w:p w14:paraId="5E4859CF" w14:textId="77777777" w:rsidR="00945AB7" w:rsidRDefault="00945A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E0C0"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5981A8FD" wp14:editId="5E3CCB3A">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DDDBF"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1A8FD"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4A5DDDBF"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38A51" w14:textId="77777777" w:rsidR="00B40C2E" w:rsidRDefault="00B40C2E" w:rsidP="00BF3066">
    <w:pPr>
      <w:pStyle w:val="Footer"/>
      <w:spacing w:before="1600"/>
    </w:pPr>
    <w:r>
      <w:rPr>
        <w:noProof/>
      </w:rPr>
      <w:drawing>
        <wp:anchor distT="0" distB="0" distL="114300" distR="114300" simplePos="0" relativeHeight="251668480" behindDoc="1" locked="1" layoutInCell="1" allowOverlap="1" wp14:anchorId="1694537E" wp14:editId="5353BB46">
          <wp:simplePos x="0" y="0"/>
          <wp:positionH relativeFrom="page">
            <wp:align>right</wp:align>
          </wp:positionH>
          <wp:positionV relativeFrom="page">
            <wp:align>bottom</wp:align>
          </wp:positionV>
          <wp:extent cx="2408753" cy="1085850"/>
          <wp:effectExtent l="0" t="0" r="0" b="0"/>
          <wp:wrapNone/>
          <wp:docPr id="2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73600" behindDoc="0" locked="1" layoutInCell="1" allowOverlap="1" wp14:anchorId="4E44569A" wp14:editId="2EBB3A8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AA61A"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4569A" id="_x0000_t202" coordsize="21600,21600" o:spt="202" path="m,l,21600r21600,l21600,xe">
              <v:stroke joinstyle="miter"/>
              <v:path gradientshapeok="t" o:connecttype="rect"/>
            </v:shapetype>
            <v:shape id="WebAddress" o:spid="_x0000_s1027" type="#_x0000_t202" style="position:absolute;margin-left:0;margin-top:0;width:303pt;height:56.7pt;z-index:251673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739AA61A"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5FC1D636" wp14:editId="2A43CF27">
          <wp:simplePos x="0" y="0"/>
          <wp:positionH relativeFrom="page">
            <wp:align>right</wp:align>
          </wp:positionH>
          <wp:positionV relativeFrom="page">
            <wp:align>bottom</wp:align>
          </wp:positionV>
          <wp:extent cx="2422800" cy="1083600"/>
          <wp:effectExtent l="0" t="0" r="0" b="0"/>
          <wp:wrapNone/>
          <wp:docPr id="2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F1FC2" w14:textId="77777777" w:rsidR="00945AB7" w:rsidRPr="008F5280" w:rsidRDefault="00945AB7" w:rsidP="008F5280">
      <w:pPr>
        <w:pStyle w:val="FootnoteSeparator"/>
      </w:pPr>
    </w:p>
    <w:p w14:paraId="1A824CC4" w14:textId="77777777" w:rsidR="00945AB7" w:rsidRDefault="00945AB7"/>
  </w:footnote>
  <w:footnote w:type="continuationSeparator" w:id="0">
    <w:p w14:paraId="6F820F80" w14:textId="77777777" w:rsidR="00945AB7" w:rsidRDefault="00945AB7" w:rsidP="008F5280">
      <w:pPr>
        <w:pStyle w:val="FootnoteSeparator"/>
      </w:pPr>
    </w:p>
    <w:p w14:paraId="6B998FDE" w14:textId="77777777" w:rsidR="00945AB7" w:rsidRDefault="00945AB7"/>
    <w:p w14:paraId="7D3126EA" w14:textId="77777777" w:rsidR="00945AB7" w:rsidRDefault="00945AB7"/>
  </w:footnote>
  <w:footnote w:type="continuationNotice" w:id="1">
    <w:p w14:paraId="0B34BDB2" w14:textId="77777777" w:rsidR="00945AB7" w:rsidRDefault="00945AB7" w:rsidP="00D55628"/>
    <w:p w14:paraId="015E1ECC" w14:textId="77777777" w:rsidR="00945AB7" w:rsidRDefault="00945AB7"/>
    <w:p w14:paraId="12D03661" w14:textId="77777777" w:rsidR="00945AB7" w:rsidRDefault="00945A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37B2D97" w14:textId="77777777" w:rsidTr="00B40C2E">
      <w:trPr>
        <w:trHeight w:hRule="exact" w:val="1418"/>
      </w:trPr>
      <w:tc>
        <w:tcPr>
          <w:tcW w:w="7761" w:type="dxa"/>
          <w:vAlign w:val="center"/>
        </w:tcPr>
        <w:p w14:paraId="56923EAC" w14:textId="3FDAF9BB"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6B5D98">
            <w:rPr>
              <w:noProof/>
            </w:rPr>
            <w:t>May 2019</w:t>
          </w:r>
          <w:r>
            <w:rPr>
              <w:noProof/>
            </w:rPr>
            <w:fldChar w:fldCharType="end"/>
          </w:r>
        </w:p>
      </w:tc>
    </w:tr>
  </w:tbl>
  <w:p w14:paraId="6790E347"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625F66C0" wp14:editId="00F5B59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E7646B"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D44DDB0" wp14:editId="05F995B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2D628"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52F228C9" wp14:editId="2F13788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FCD8D6"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C6C0A70"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4ACBDC5" w14:textId="77777777" w:rsidTr="00B40C2E">
      <w:trPr>
        <w:trHeight w:hRule="exact" w:val="1418"/>
      </w:trPr>
      <w:tc>
        <w:tcPr>
          <w:tcW w:w="7761" w:type="dxa"/>
          <w:vAlign w:val="center"/>
        </w:tcPr>
        <w:p w14:paraId="031B9842" w14:textId="07711EC0"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6B5D98">
            <w:rPr>
              <w:noProof/>
            </w:rPr>
            <w:t>May 2019</w:t>
          </w:r>
          <w:r>
            <w:rPr>
              <w:noProof/>
            </w:rPr>
            <w:fldChar w:fldCharType="end"/>
          </w:r>
        </w:p>
      </w:tc>
    </w:tr>
  </w:tbl>
  <w:p w14:paraId="01F90557"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90437F4" wp14:editId="51E33BB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787E4"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1577D965" wp14:editId="31DBA45A">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5FED2"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23CCE10" wp14:editId="01BA0C9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C226EBF"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494E8BC2"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7F9CA"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4326015D" wp14:editId="240F311E">
          <wp:simplePos x="0" y="0"/>
          <wp:positionH relativeFrom="page">
            <wp:posOffset>720090</wp:posOffset>
          </wp:positionH>
          <wp:positionV relativeFrom="page">
            <wp:posOffset>1188085</wp:posOffset>
          </wp:positionV>
          <wp:extent cx="860400" cy="896400"/>
          <wp:effectExtent l="0" t="0" r="0" b="0"/>
          <wp:wrapNone/>
          <wp:docPr id="2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5DC07B0" wp14:editId="151FE932">
          <wp:simplePos x="0" y="0"/>
          <wp:positionH relativeFrom="page">
            <wp:posOffset>720090</wp:posOffset>
          </wp:positionH>
          <wp:positionV relativeFrom="page">
            <wp:posOffset>1188085</wp:posOffset>
          </wp:positionV>
          <wp:extent cx="864000" cy="896400"/>
          <wp:effectExtent l="0" t="0" r="0" b="0"/>
          <wp:wrapNone/>
          <wp:docPr id="2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0441D931" wp14:editId="6D35DEDA">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ED50B1"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46B337EC" wp14:editId="647533C5">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40C7C0"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O3wIAAOMGAAAOAAAAZHJzL2Uyb0RvYy54bWysVV1v0zAUfUfiP1h+RGJJ2q5bq6UTbBpC&#10;GjBp5Qe4jtNEOL7GdpuOX79rO+nSso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7F500100" wp14:editId="3B43678B">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03A55"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23E813CB" wp14:editId="194C137D">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48A0D2"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F87EB6AC"/>
    <w:lvl w:ilvl="0" w:tplc="E244F3CE">
      <w:start w:val="1"/>
      <w:numFmt w:val="bullet"/>
      <w:pStyle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1E1440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3"/>
  </w:num>
  <w:num w:numId="7">
    <w:abstractNumId w:val="12"/>
  </w:num>
  <w:num w:numId="8">
    <w:abstractNumId w:val="10"/>
  </w:num>
  <w:num w:numId="9">
    <w:abstractNumId w:val="29"/>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843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2"/>
    <w:docVar w:name="WebAddress" w:val="True"/>
  </w:docVars>
  <w:rsids>
    <w:rsidRoot w:val="00945AB7"/>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D51"/>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02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819"/>
    <w:rsid w:val="0012093F"/>
    <w:rsid w:val="001210F1"/>
    <w:rsid w:val="00121248"/>
    <w:rsid w:val="00121266"/>
    <w:rsid w:val="00121268"/>
    <w:rsid w:val="001217C3"/>
    <w:rsid w:val="001219CD"/>
    <w:rsid w:val="00121E66"/>
    <w:rsid w:val="00122355"/>
    <w:rsid w:val="00122358"/>
    <w:rsid w:val="001226AD"/>
    <w:rsid w:val="001227C3"/>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D04"/>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686"/>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292"/>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5D98"/>
    <w:rsid w:val="006B62DD"/>
    <w:rsid w:val="006B62E9"/>
    <w:rsid w:val="006B65FF"/>
    <w:rsid w:val="006B6D7C"/>
    <w:rsid w:val="006B7018"/>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B65"/>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5E12"/>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AB7"/>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616"/>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E33"/>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A81"/>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907"/>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AFA"/>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C69"/>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4B1"/>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0B"/>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355"/>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29D"/>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page;mso-position-vertical-relative:page" stroke="f">
      <v:stroke on="f"/>
      <o:colormru v:ext="edit" colors="white"/>
    </o:shapedefaults>
    <o:shapelayout v:ext="edit">
      <o:idmap v:ext="edit" data="1"/>
    </o:shapelayout>
  </w:shapeDefaults>
  <w:decimalSymbol w:val="."/>
  <w:listSeparator w:val=","/>
  <w14:docId w14:val="795FC10C"/>
  <w15:docId w15:val="{1283605E-8682-4E77-9A5B-15EA5EC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945AB7"/>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77A81"/>
    <w:pPr>
      <w:spacing w:after="113"/>
    </w:pPr>
    <w:rPr>
      <w:rFonts w:ascii="Calibri" w:hAnsi="Calibri"/>
      <w:color w:val="auto"/>
      <w:sz w:val="22"/>
      <w:szCs w:val="24"/>
      <w:lang w:eastAsia="en-US"/>
    </w:rPr>
  </w:style>
  <w:style w:type="character" w:customStyle="1" w:styleId="BulletChar">
    <w:name w:val="_Bullet Char"/>
    <w:link w:val="Bullet"/>
    <w:locked/>
    <w:rsid w:val="00B77A81"/>
    <w:rPr>
      <w:rFonts w:ascii="Calibri" w:hAnsi="Calibri" w:cs="Calibri"/>
      <w:szCs w:val="24"/>
    </w:rPr>
  </w:style>
  <w:style w:type="paragraph" w:customStyle="1" w:styleId="Bullet">
    <w:name w:val="_Bullet"/>
    <w:link w:val="BulletChar"/>
    <w:qFormat/>
    <w:rsid w:val="00B77A81"/>
    <w:pPr>
      <w:numPr>
        <w:numId w:val="44"/>
      </w:numPr>
      <w:spacing w:after="113" w:line="220" w:lineRule="atLeast"/>
    </w:pPr>
    <w:rPr>
      <w:rFonts w:ascii="Calibri" w:hAnsi="Calibri" w:cs="Calibri"/>
      <w:szCs w:val="24"/>
    </w:rPr>
  </w:style>
  <w:style w:type="character" w:styleId="UnresolvedMention">
    <w:name w:val="Unresolved Mention"/>
    <w:basedOn w:val="DefaultParagraphFont"/>
    <w:uiPriority w:val="99"/>
    <w:semiHidden/>
    <w:unhideWhenUsed/>
    <w:rsid w:val="00122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ropertyandlandtitles.vic.gov.au/forms-guides-and-fees/title-management"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http://www.delwp.vic.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ropertyandlandtitles.vic.gov.au/contact-us" TargetMode="External"/><Relationship Id="rId2" Type="http://schemas.openxmlformats.org/officeDocument/2006/relationships/numbering" Target="numbering.xml"/><Relationship Id="rId16" Type="http://schemas.openxmlformats.org/officeDocument/2006/relationships/hyperlink" Target="http://www.dtpli.vic.gov.au/property-and-land-titles/contact-us" TargetMode="External"/><Relationship Id="rId20"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ropertyandlandtitles.vic.gov.au/forms-guides-and-fees"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ro.vic.gov.au/dutiesonline"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F4D30-A2C8-4271-B59A-4EED9954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29</TotalTime>
  <Pages>3</Pages>
  <Words>1232</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Amy C Walker (DELWP)</cp:lastModifiedBy>
  <cp:revision>4</cp:revision>
  <cp:lastPrinted>2016-09-08T07:20:00Z</cp:lastPrinted>
  <dcterms:created xsi:type="dcterms:W3CDTF">2019-05-27T23:06:00Z</dcterms:created>
  <dcterms:modified xsi:type="dcterms:W3CDTF">2019-05-29T00:05:00Z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