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0C3275" w:rsidP="009B1003">
            <w:pPr>
              <w:pStyle w:val="Title"/>
            </w:pPr>
            <w:r>
              <w:t>Land Use Victoria</w:t>
            </w:r>
            <w:r w:rsidR="0096054F">
              <w:br/>
            </w:r>
            <w:r>
              <w:t>Customer Information Bulletin 173, December 2017</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0C3275" w:rsidRPr="00386B9D" w:rsidRDefault="000C3275" w:rsidP="000C3275">
      <w:pPr>
        <w:pStyle w:val="Heading1"/>
        <w:rPr>
          <w:sz w:val="24"/>
          <w:szCs w:val="24"/>
        </w:rPr>
      </w:pPr>
      <w:bookmarkStart w:id="0" w:name="Here"/>
      <w:r>
        <w:t xml:space="preserve">Christmas and new year </w:t>
      </w:r>
      <w:r w:rsidRPr="00386B9D">
        <w:t>closure</w:t>
      </w:r>
      <w:r w:rsidRPr="00386B9D">
        <w:rPr>
          <w:sz w:val="24"/>
          <w:szCs w:val="24"/>
        </w:rPr>
        <w:t xml:space="preserve"> </w:t>
      </w:r>
    </w:p>
    <w:p w:rsidR="000C3275" w:rsidRPr="00386B9D" w:rsidRDefault="000C3275" w:rsidP="00440217">
      <w:pPr>
        <w:pStyle w:val="Body"/>
      </w:pPr>
      <w:r w:rsidRPr="00386B9D">
        <w:t xml:space="preserve">Land Registry Services at </w:t>
      </w:r>
      <w:r>
        <w:t>2 Lonsdale</w:t>
      </w:r>
      <w:r w:rsidRPr="00386B9D">
        <w:t xml:space="preserve"> Street, Melbourne </w:t>
      </w:r>
      <w:r w:rsidRPr="00440217">
        <w:t>and 57 Cherry Lane, Laverton</w:t>
      </w:r>
      <w:r w:rsidRPr="00386B9D">
        <w:rPr>
          <w:i/>
        </w:rPr>
        <w:t xml:space="preserve"> </w:t>
      </w:r>
      <w:r w:rsidRPr="00386B9D">
        <w:t xml:space="preserve">will close at 4.00 </w:t>
      </w:r>
      <w:r w:rsidR="002C4A85">
        <w:t>pm</w:t>
      </w:r>
      <w:r w:rsidR="002C4A85" w:rsidRPr="00386B9D">
        <w:t xml:space="preserve"> </w:t>
      </w:r>
      <w:r w:rsidRPr="00386B9D">
        <w:t xml:space="preserve">on 22 December 2017 and reopen at 8.30 </w:t>
      </w:r>
      <w:r w:rsidR="002C4A85">
        <w:t>am</w:t>
      </w:r>
      <w:r w:rsidR="002C4A85" w:rsidRPr="00386B9D">
        <w:t xml:space="preserve"> </w:t>
      </w:r>
      <w:r w:rsidRPr="00386B9D">
        <w:t>on Tuesday 2 January 201</w:t>
      </w:r>
      <w:r>
        <w:t>8</w:t>
      </w:r>
      <w:r w:rsidRPr="00386B9D">
        <w:t>.</w:t>
      </w:r>
    </w:p>
    <w:p w:rsidR="000C3275" w:rsidRDefault="000C3275" w:rsidP="00440217">
      <w:pPr>
        <w:pStyle w:val="Body"/>
      </w:pPr>
      <w:r w:rsidRPr="00036BC3">
        <w:t>Online services (LANDATA</w:t>
      </w:r>
      <w:r w:rsidR="002C4A85">
        <w:t>®</w:t>
      </w:r>
      <w:r w:rsidR="00C62F88">
        <w:t xml:space="preserve"> and electronic lodgement through PEXA</w:t>
      </w:r>
      <w:r w:rsidRPr="00036BC3">
        <w:t>) will continue to be available during this period.</w:t>
      </w:r>
    </w:p>
    <w:p w:rsidR="00C62F88" w:rsidRPr="00036BC3" w:rsidRDefault="00C62F88" w:rsidP="00440217">
      <w:pPr>
        <w:pStyle w:val="Body"/>
      </w:pPr>
      <w:r>
        <w:t>Customers with bulk lodgements or bulk payments will be offered access to the bulk baskets by Level 1 Security personnel.</w:t>
      </w:r>
    </w:p>
    <w:p w:rsidR="000C3275" w:rsidRPr="00386B9D" w:rsidRDefault="000C3275" w:rsidP="00440217">
      <w:pPr>
        <w:pStyle w:val="Body"/>
        <w:rPr>
          <w:i/>
        </w:rPr>
      </w:pPr>
      <w:r w:rsidRPr="00036BC3">
        <w:t>Customer queries (telephone message or email) will be responded to when the office reopens on 2 January 2018</w:t>
      </w:r>
      <w:r w:rsidRPr="00386B9D">
        <w:rPr>
          <w:i/>
        </w:rPr>
        <w:t>.</w:t>
      </w:r>
    </w:p>
    <w:p w:rsidR="000C3275" w:rsidRPr="00440217" w:rsidRDefault="002C4A85" w:rsidP="00440217">
      <w:pPr>
        <w:pStyle w:val="Heading1"/>
        <w:spacing w:after="240"/>
        <w:rPr>
          <w:rFonts w:eastAsia="Calibri"/>
        </w:rPr>
      </w:pPr>
      <w:r>
        <w:rPr>
          <w:rFonts w:eastAsia="Calibri"/>
        </w:rPr>
        <w:t>T</w:t>
      </w:r>
      <w:r w:rsidR="000C3275" w:rsidRPr="00440217">
        <w:rPr>
          <w:rFonts w:eastAsia="Calibri"/>
        </w:rPr>
        <w:t xml:space="preserve">ransition period </w:t>
      </w:r>
      <w:r>
        <w:rPr>
          <w:rFonts w:eastAsia="Calibri"/>
        </w:rPr>
        <w:t xml:space="preserve">ends </w:t>
      </w:r>
      <w:r w:rsidR="000C3275" w:rsidRPr="00440217">
        <w:rPr>
          <w:rFonts w:eastAsia="Calibri"/>
        </w:rPr>
        <w:t>for use of 'old style' forms</w:t>
      </w:r>
      <w:r>
        <w:rPr>
          <w:rFonts w:eastAsia="Calibri"/>
        </w:rPr>
        <w:t xml:space="preserve"> </w:t>
      </w:r>
    </w:p>
    <w:p w:rsidR="00A7661C" w:rsidRDefault="000C3275" w:rsidP="000C3275">
      <w:pPr>
        <w:autoSpaceDE w:val="0"/>
        <w:autoSpaceDN w:val="0"/>
        <w:adjustRightInd w:val="0"/>
        <w:spacing w:after="120" w:line="240" w:lineRule="auto"/>
        <w:rPr>
          <w:rFonts w:ascii="Calibri" w:hAnsi="Calibri" w:cs="Helv"/>
          <w:sz w:val="22"/>
          <w:szCs w:val="22"/>
        </w:rPr>
      </w:pPr>
      <w:r w:rsidRPr="00036BC3">
        <w:rPr>
          <w:rFonts w:ascii="Calibri" w:hAnsi="Calibri" w:cs="Helv"/>
          <w:sz w:val="22"/>
          <w:szCs w:val="22"/>
        </w:rPr>
        <w:t>The transition period for accepting forms not containing certifications ends on 31 December 2017.</w:t>
      </w:r>
      <w:r w:rsidR="002C4A85">
        <w:rPr>
          <w:rFonts w:ascii="Calibri" w:hAnsi="Calibri" w:cs="Helv"/>
          <w:sz w:val="22"/>
          <w:szCs w:val="22"/>
        </w:rPr>
        <w:t xml:space="preserve"> </w:t>
      </w:r>
      <w:r w:rsidRPr="00036BC3">
        <w:rPr>
          <w:rFonts w:ascii="Calibri" w:hAnsi="Calibri" w:cs="Helv"/>
          <w:sz w:val="22"/>
          <w:szCs w:val="22"/>
        </w:rPr>
        <w:t>All forms in paper signed on or after 1 January 2018 lodged for registration must be in the new form</w:t>
      </w:r>
      <w:r w:rsidR="00A7661C">
        <w:rPr>
          <w:rFonts w:ascii="Calibri" w:hAnsi="Calibri" w:cs="Helv"/>
          <w:sz w:val="22"/>
          <w:szCs w:val="22"/>
        </w:rPr>
        <w:t xml:space="preserve"> and n</w:t>
      </w:r>
      <w:r w:rsidR="00A7661C" w:rsidRPr="00036BC3">
        <w:rPr>
          <w:rFonts w:ascii="Calibri" w:hAnsi="Calibri" w:cs="Helv"/>
          <w:sz w:val="22"/>
          <w:szCs w:val="22"/>
        </w:rPr>
        <w:t xml:space="preserve">on-compliant forms will not be accepted. </w:t>
      </w:r>
    </w:p>
    <w:p w:rsidR="000C3275" w:rsidRPr="00036BC3" w:rsidRDefault="002C4A85" w:rsidP="000C3275">
      <w:pPr>
        <w:autoSpaceDE w:val="0"/>
        <w:autoSpaceDN w:val="0"/>
        <w:adjustRightInd w:val="0"/>
        <w:spacing w:after="120" w:line="240" w:lineRule="auto"/>
        <w:rPr>
          <w:rFonts w:ascii="Calibri" w:hAnsi="Calibri" w:cs="Helv"/>
          <w:sz w:val="22"/>
          <w:szCs w:val="22"/>
        </w:rPr>
      </w:pPr>
      <w:r w:rsidRPr="00036BC3">
        <w:rPr>
          <w:rFonts w:ascii="Calibri" w:hAnsi="Calibri" w:cs="Helv"/>
          <w:sz w:val="22"/>
          <w:szCs w:val="22"/>
        </w:rPr>
        <w:t>Whe</w:t>
      </w:r>
      <w:r>
        <w:rPr>
          <w:rFonts w:ascii="Calibri" w:hAnsi="Calibri" w:cs="Helv"/>
          <w:sz w:val="22"/>
          <w:szCs w:val="22"/>
        </w:rPr>
        <w:t>n</w:t>
      </w:r>
      <w:r w:rsidRPr="00036BC3">
        <w:rPr>
          <w:rFonts w:ascii="Calibri" w:hAnsi="Calibri" w:cs="Helv"/>
          <w:sz w:val="22"/>
          <w:szCs w:val="22"/>
        </w:rPr>
        <w:t xml:space="preserve"> </w:t>
      </w:r>
      <w:r w:rsidR="000C3275" w:rsidRPr="00036BC3">
        <w:rPr>
          <w:rFonts w:ascii="Calibri" w:hAnsi="Calibri" w:cs="Helv"/>
          <w:sz w:val="22"/>
          <w:szCs w:val="22"/>
        </w:rPr>
        <w:t>a conveyancer or lawyer represents a party in the transaction, the form must:</w:t>
      </w:r>
    </w:p>
    <w:p w:rsidR="000C3275" w:rsidRPr="00036BC3" w:rsidRDefault="000C3275" w:rsidP="000C3275">
      <w:pPr>
        <w:pStyle w:val="ListParagraph"/>
        <w:numPr>
          <w:ilvl w:val="0"/>
          <w:numId w:val="45"/>
        </w:numPr>
        <w:autoSpaceDE w:val="0"/>
        <w:autoSpaceDN w:val="0"/>
        <w:adjustRightInd w:val="0"/>
        <w:spacing w:after="120" w:line="240" w:lineRule="auto"/>
        <w:rPr>
          <w:rFonts w:ascii="Calibri" w:hAnsi="Calibri" w:cs="Helv"/>
          <w:sz w:val="22"/>
          <w:szCs w:val="22"/>
        </w:rPr>
      </w:pPr>
      <w:r w:rsidRPr="00036BC3">
        <w:rPr>
          <w:rFonts w:ascii="Calibri" w:hAnsi="Calibri" w:cs="Helv"/>
          <w:sz w:val="22"/>
          <w:szCs w:val="22"/>
        </w:rPr>
        <w:t>be signed on behalf of the party by the conveyancer or lawyer</w:t>
      </w:r>
    </w:p>
    <w:p w:rsidR="000C3275" w:rsidRPr="00036BC3" w:rsidRDefault="000C3275" w:rsidP="000C3275">
      <w:pPr>
        <w:pStyle w:val="ListParagraph"/>
        <w:numPr>
          <w:ilvl w:val="0"/>
          <w:numId w:val="45"/>
        </w:numPr>
        <w:autoSpaceDE w:val="0"/>
        <w:autoSpaceDN w:val="0"/>
        <w:adjustRightInd w:val="0"/>
        <w:spacing w:after="120" w:line="240" w:lineRule="auto"/>
        <w:rPr>
          <w:rFonts w:ascii="Calibri" w:hAnsi="Calibri" w:cs="Helv"/>
          <w:sz w:val="22"/>
          <w:szCs w:val="22"/>
        </w:rPr>
      </w:pPr>
      <w:r w:rsidRPr="00036BC3">
        <w:rPr>
          <w:rFonts w:ascii="Calibri" w:hAnsi="Calibri" w:cs="Helv"/>
          <w:sz w:val="22"/>
          <w:szCs w:val="22"/>
        </w:rPr>
        <w:t>contain the certifications required by the Registrar’s requirements for paper conveyancing transactions.</w:t>
      </w:r>
    </w:p>
    <w:p w:rsidR="000C3275" w:rsidRPr="00036BC3" w:rsidRDefault="000C3275" w:rsidP="000C3275">
      <w:pPr>
        <w:autoSpaceDE w:val="0"/>
        <w:autoSpaceDN w:val="0"/>
        <w:adjustRightInd w:val="0"/>
        <w:spacing w:after="120" w:line="240" w:lineRule="auto"/>
        <w:ind w:left="45"/>
        <w:rPr>
          <w:rFonts w:ascii="Calibri" w:hAnsi="Calibri" w:cs="Helv"/>
          <w:sz w:val="22"/>
          <w:szCs w:val="22"/>
        </w:rPr>
      </w:pPr>
      <w:r w:rsidRPr="00036BC3">
        <w:rPr>
          <w:rFonts w:ascii="Calibri" w:hAnsi="Calibri" w:cs="Helv"/>
          <w:sz w:val="22"/>
          <w:szCs w:val="22"/>
        </w:rPr>
        <w:t>When a PEXA Subscriber is signing the form, it must contain the relevant certifications.</w:t>
      </w:r>
    </w:p>
    <w:p w:rsidR="000C3275" w:rsidRPr="00036BC3" w:rsidRDefault="000C3275" w:rsidP="000C3275">
      <w:pPr>
        <w:autoSpaceDE w:val="0"/>
        <w:autoSpaceDN w:val="0"/>
        <w:adjustRightInd w:val="0"/>
        <w:spacing w:after="120" w:line="240" w:lineRule="auto"/>
        <w:ind w:left="45"/>
        <w:rPr>
          <w:rFonts w:ascii="Calibri" w:hAnsi="Calibri" w:cs="Helv"/>
          <w:sz w:val="22"/>
          <w:szCs w:val="22"/>
        </w:rPr>
      </w:pPr>
      <w:r w:rsidRPr="00036BC3">
        <w:rPr>
          <w:rFonts w:ascii="Calibri" w:hAnsi="Calibri" w:cs="Helv"/>
          <w:sz w:val="22"/>
          <w:szCs w:val="22"/>
        </w:rPr>
        <w:t xml:space="preserve">Detailed information regarding the Registrar’s requirements for Client Authorisations and certifications is in </w:t>
      </w:r>
      <w:r w:rsidRPr="00036BC3">
        <w:rPr>
          <w:rFonts w:ascii="Calibri" w:hAnsi="Calibri" w:cs="Helv"/>
          <w:i/>
          <w:sz w:val="22"/>
          <w:szCs w:val="22"/>
        </w:rPr>
        <w:t>Customer Information Bulletin 163</w:t>
      </w:r>
      <w:r w:rsidRPr="00036BC3">
        <w:rPr>
          <w:rFonts w:ascii="Calibri" w:hAnsi="Calibri" w:cs="Helv"/>
          <w:sz w:val="22"/>
          <w:szCs w:val="22"/>
        </w:rPr>
        <w:t xml:space="preserve">. </w:t>
      </w:r>
    </w:p>
    <w:p w:rsidR="000C3275" w:rsidRPr="00440217" w:rsidRDefault="000C3275" w:rsidP="00440217">
      <w:pPr>
        <w:pStyle w:val="Heading1"/>
        <w:numPr>
          <w:ilvl w:val="0"/>
          <w:numId w:val="0"/>
        </w:numPr>
        <w:spacing w:after="240"/>
        <w:rPr>
          <w:rFonts w:eastAsia="Calibri"/>
        </w:rPr>
      </w:pPr>
      <w:r w:rsidRPr="00440217">
        <w:rPr>
          <w:rFonts w:eastAsia="Calibri"/>
        </w:rPr>
        <w:t xml:space="preserve">Registrar’s requirements for paper conveyancing transactions </w:t>
      </w:r>
    </w:p>
    <w:p w:rsidR="000C3275" w:rsidRDefault="000C3275" w:rsidP="000C3275">
      <w:pPr>
        <w:pStyle w:val="Body"/>
      </w:pPr>
      <w:r w:rsidRPr="00250D25">
        <w:t>The Registrar o</w:t>
      </w:r>
      <w:r>
        <w:t>f Titles has determined version 4</w:t>
      </w:r>
      <w:r w:rsidRPr="00250D25">
        <w:t xml:space="preserve"> of the </w:t>
      </w:r>
      <w:r w:rsidRPr="00250D25">
        <w:rPr>
          <w:i/>
        </w:rPr>
        <w:t xml:space="preserve">Registrar’s Requirements for Paper Conveyancing </w:t>
      </w:r>
      <w:r>
        <w:rPr>
          <w:i/>
        </w:rPr>
        <w:t xml:space="preserve">Transactions </w:t>
      </w:r>
      <w:r>
        <w:rPr>
          <w:bCs/>
        </w:rPr>
        <w:t xml:space="preserve">under section </w:t>
      </w:r>
      <w:r w:rsidRPr="00250D25">
        <w:rPr>
          <w:bCs/>
        </w:rPr>
        <w:t xml:space="preserve">106A of the </w:t>
      </w:r>
      <w:r w:rsidRPr="005D0F68">
        <w:rPr>
          <w:i/>
          <w:iCs/>
          <w:color w:val="000000"/>
          <w:lang w:eastAsia="en-AU"/>
        </w:rPr>
        <w:t>Transfer of Land Act 1958</w:t>
      </w:r>
      <w:r w:rsidRPr="00250D25">
        <w:rPr>
          <w:bCs/>
          <w:iCs/>
        </w:rPr>
        <w:t>.</w:t>
      </w:r>
      <w:r>
        <w:rPr>
          <w:bCs/>
        </w:rPr>
        <w:t xml:space="preserve"> </w:t>
      </w:r>
      <w:r w:rsidRPr="00A50BDF">
        <w:t>Version</w:t>
      </w:r>
      <w:r>
        <w:t xml:space="preserve"> 4</w:t>
      </w:r>
      <w:r w:rsidRPr="00A50BDF">
        <w:t xml:space="preserve"> of the </w:t>
      </w:r>
      <w:r w:rsidRPr="00E27D40">
        <w:t xml:space="preserve">Registrar’s </w:t>
      </w:r>
      <w:r>
        <w:t>R</w:t>
      </w:r>
      <w:r w:rsidRPr="00E27D40">
        <w:t>equirements</w:t>
      </w:r>
      <w:r>
        <w:t xml:space="preserve"> comes into operation on 14 December 2017 and </w:t>
      </w:r>
      <w:r w:rsidRPr="00A50BDF">
        <w:t>take</w:t>
      </w:r>
      <w:r>
        <w:t>s</w:t>
      </w:r>
      <w:r w:rsidRPr="00A50BDF">
        <w:t xml:space="preserve"> effect </w:t>
      </w:r>
      <w:r>
        <w:t xml:space="preserve">as set out in the </w:t>
      </w:r>
      <w:r w:rsidRPr="00E27D40">
        <w:t xml:space="preserve">Registrar’s </w:t>
      </w:r>
      <w:r>
        <w:t>R</w:t>
      </w:r>
      <w:r w:rsidRPr="00E27D40">
        <w:t>equirements</w:t>
      </w:r>
      <w:r w:rsidRPr="00A50BDF">
        <w:t>.</w:t>
      </w:r>
    </w:p>
    <w:p w:rsidR="000C3275" w:rsidRDefault="000C3275" w:rsidP="000C3275">
      <w:pPr>
        <w:pStyle w:val="Body"/>
      </w:pPr>
      <w:r>
        <w:rPr>
          <w:bCs/>
        </w:rPr>
        <w:t xml:space="preserve">The </w:t>
      </w:r>
      <w:r w:rsidRPr="00250D25">
        <w:rPr>
          <w:i/>
        </w:rPr>
        <w:t>Registrar’s Requirements for Paper Conveyancing</w:t>
      </w:r>
      <w:r>
        <w:rPr>
          <w:i/>
        </w:rPr>
        <w:t xml:space="preserve"> Transactions </w:t>
      </w:r>
      <w:r>
        <w:t>have been amended to incorporate updates:</w:t>
      </w:r>
    </w:p>
    <w:p w:rsidR="000C3275" w:rsidRPr="00C366E0" w:rsidRDefault="000C3275" w:rsidP="000C3275">
      <w:pPr>
        <w:pStyle w:val="Bullet"/>
        <w:autoSpaceDE w:val="0"/>
        <w:autoSpaceDN w:val="0"/>
        <w:adjustRightInd w:val="0"/>
        <w:spacing w:line="240" w:lineRule="auto"/>
        <w:jc w:val="both"/>
        <w:rPr>
          <w:rFonts w:cs="Tahoma"/>
          <w:b/>
          <w:bCs/>
        </w:rPr>
      </w:pPr>
      <w:r>
        <w:t xml:space="preserve">reflecting more of the timelines for the transition to 100% digital lodgment </w:t>
      </w:r>
    </w:p>
    <w:p w:rsidR="000C3275" w:rsidRPr="00C366E0" w:rsidRDefault="000C3275" w:rsidP="000C3275">
      <w:pPr>
        <w:pStyle w:val="Bullet"/>
        <w:autoSpaceDE w:val="0"/>
        <w:autoSpaceDN w:val="0"/>
        <w:adjustRightInd w:val="0"/>
        <w:spacing w:line="240" w:lineRule="auto"/>
        <w:jc w:val="both"/>
        <w:rPr>
          <w:rFonts w:cs="Tahoma"/>
          <w:b/>
          <w:bCs/>
        </w:rPr>
      </w:pPr>
      <w:r>
        <w:t>to include the new requirements for creating restrictive covenants in transfers and restrictions in plans</w:t>
      </w:r>
    </w:p>
    <w:p w:rsidR="000C3275" w:rsidRPr="00C366E0" w:rsidRDefault="000C3275" w:rsidP="000C3275">
      <w:pPr>
        <w:pStyle w:val="Bullet"/>
        <w:autoSpaceDE w:val="0"/>
        <w:autoSpaceDN w:val="0"/>
        <w:adjustRightInd w:val="0"/>
        <w:spacing w:line="240" w:lineRule="auto"/>
        <w:jc w:val="both"/>
        <w:rPr>
          <w:rFonts w:cs="Tahoma"/>
          <w:b/>
          <w:bCs/>
        </w:rPr>
      </w:pPr>
      <w:r>
        <w:t xml:space="preserve"> adding required definitions of terms </w:t>
      </w:r>
    </w:p>
    <w:p w:rsidR="000C3275" w:rsidRPr="00DA6F60" w:rsidRDefault="000C3275" w:rsidP="00C62F88">
      <w:pPr>
        <w:pStyle w:val="Body"/>
        <w:rPr>
          <w:rFonts w:eastAsia="Calibri"/>
        </w:rPr>
      </w:pPr>
      <w:r>
        <w:t xml:space="preserve">The </w:t>
      </w:r>
      <w:r w:rsidRPr="00713A26">
        <w:rPr>
          <w:i/>
        </w:rPr>
        <w:t>Registrar’s</w:t>
      </w:r>
      <w:r w:rsidRPr="00690119">
        <w:rPr>
          <w:i/>
        </w:rPr>
        <w:t xml:space="preserve"> Requirements for Paper Conveyancing </w:t>
      </w:r>
      <w:r>
        <w:rPr>
          <w:i/>
        </w:rPr>
        <w:t xml:space="preserve">Transactions </w:t>
      </w:r>
      <w:r>
        <w:t xml:space="preserve">– </w:t>
      </w:r>
      <w:r w:rsidRPr="006314D4">
        <w:rPr>
          <w:i/>
        </w:rPr>
        <w:t>V</w:t>
      </w:r>
      <w:r w:rsidRPr="00E27D40">
        <w:rPr>
          <w:i/>
        </w:rPr>
        <w:t xml:space="preserve">ersion </w:t>
      </w:r>
      <w:r>
        <w:rPr>
          <w:i/>
        </w:rPr>
        <w:t>4</w:t>
      </w:r>
      <w:r w:rsidRPr="00690119">
        <w:t xml:space="preserve"> </w:t>
      </w:r>
      <w:r>
        <w:t>has been published and is</w:t>
      </w:r>
      <w:r w:rsidRPr="00690119">
        <w:t xml:space="preserve"> available at </w:t>
      </w:r>
      <w:hyperlink r:id="rId14" w:history="1">
        <w:r w:rsidRPr="00690119">
          <w:rPr>
            <w:rStyle w:val="Hyperlink"/>
            <w:rFonts w:cs="Tahoma"/>
          </w:rPr>
          <w:t>www.delwp.vic.gov.au/publications</w:t>
        </w:r>
      </w:hyperlink>
      <w:r>
        <w:rPr>
          <w:rStyle w:val="Hyperlink"/>
          <w:rFonts w:cs="Tahoma"/>
        </w:rPr>
        <w:t>.</w:t>
      </w:r>
    </w:p>
    <w:p w:rsidR="000C3275" w:rsidRPr="00167E67" w:rsidRDefault="000C3275" w:rsidP="000C3275">
      <w:pPr>
        <w:pStyle w:val="Heading1"/>
      </w:pPr>
      <w:r w:rsidRPr="00167E67">
        <w:t>SPEAR Electronic Lodgment Network pilot update</w:t>
      </w:r>
    </w:p>
    <w:p w:rsidR="000C3275" w:rsidRPr="000C3275" w:rsidRDefault="000C3275" w:rsidP="000C3275">
      <w:pPr>
        <w:pStyle w:val="Body"/>
      </w:pPr>
      <w:r w:rsidRPr="000C3275">
        <w:t xml:space="preserve">The SPEAR Electronic Lodgment Network pilot program commenced in May 2017 following determination of Version 1 of the </w:t>
      </w:r>
      <w:r w:rsidRPr="00C62F88">
        <w:rPr>
          <w:i/>
        </w:rPr>
        <w:t>SPEAR Electronic Lodgment Network  Participation Rules</w:t>
      </w:r>
      <w:r w:rsidRPr="000C3275">
        <w:t xml:space="preserve"> by the Registrar of Titles in April.</w:t>
      </w:r>
    </w:p>
    <w:p w:rsidR="000C3275" w:rsidRPr="000C3275" w:rsidRDefault="000C3275" w:rsidP="000C3275">
      <w:pPr>
        <w:pStyle w:val="Body"/>
      </w:pPr>
      <w:r w:rsidRPr="000C3275">
        <w:t xml:space="preserve">Eight organisations – including solicitors, conveyancers and government bodies – registered for the pilot and have begun processing applications </w:t>
      </w:r>
      <w:r w:rsidR="00133E1C">
        <w:t xml:space="preserve">in SPEAR </w:t>
      </w:r>
      <w:r w:rsidRPr="000C3275">
        <w:t xml:space="preserve">for plans under the </w:t>
      </w:r>
      <w:r w:rsidRPr="00CE0104">
        <w:rPr>
          <w:i/>
        </w:rPr>
        <w:t>Subdivision Act</w:t>
      </w:r>
      <w:r w:rsidR="00CE0104" w:rsidRPr="00C62F88">
        <w:rPr>
          <w:i/>
        </w:rPr>
        <w:t xml:space="preserve"> 1988</w:t>
      </w:r>
      <w:r w:rsidR="00CE0104">
        <w:rPr>
          <w:i/>
        </w:rPr>
        <w:t xml:space="preserve"> –</w:t>
      </w:r>
      <w:r w:rsidRPr="000C3275">
        <w:t xml:space="preserve"> 34 </w:t>
      </w:r>
      <w:r w:rsidR="00CE0104" w:rsidRPr="000C3275">
        <w:t>hav</w:t>
      </w:r>
      <w:r w:rsidR="00CE0104">
        <w:t>e</w:t>
      </w:r>
      <w:r w:rsidR="00CE0104" w:rsidRPr="000C3275">
        <w:t xml:space="preserve"> </w:t>
      </w:r>
      <w:r w:rsidRPr="000C3275">
        <w:t>already been lodged.</w:t>
      </w:r>
    </w:p>
    <w:p w:rsidR="000C3275" w:rsidRPr="000C3275" w:rsidRDefault="00CE0104" w:rsidP="000C3275">
      <w:pPr>
        <w:pStyle w:val="Body"/>
      </w:pPr>
      <w:r>
        <w:t>S</w:t>
      </w:r>
      <w:r w:rsidR="000C3275" w:rsidRPr="000C3275">
        <w:t xml:space="preserve">ystem enhancements </w:t>
      </w:r>
      <w:r>
        <w:t>are</w:t>
      </w:r>
      <w:r w:rsidR="000C3275" w:rsidRPr="000C3275">
        <w:t xml:space="preserve"> planned in response to feedback from pilot participants. Land Use Victoria (LUV) </w:t>
      </w:r>
      <w:r>
        <w:t xml:space="preserve">plans to </w:t>
      </w:r>
      <w:r w:rsidR="000C3275" w:rsidRPr="000C3275">
        <w:t>expand the SPEAR ELN</w:t>
      </w:r>
      <w:r>
        <w:t xml:space="preserve"> </w:t>
      </w:r>
      <w:r w:rsidRPr="000C3275">
        <w:t>by the end of 2018</w:t>
      </w:r>
      <w:r w:rsidR="000C3275" w:rsidRPr="000C3275">
        <w:t xml:space="preserve"> to cater for electronic lodgment of survey-based applications under the </w:t>
      </w:r>
      <w:r w:rsidR="000C3275" w:rsidRPr="000C3275">
        <w:rPr>
          <w:i/>
        </w:rPr>
        <w:t>Transfer of Land Act</w:t>
      </w:r>
      <w:r w:rsidR="000C3275" w:rsidRPr="000C3275">
        <w:t xml:space="preserve"> </w:t>
      </w:r>
      <w:r w:rsidR="000C3275" w:rsidRPr="000C3275">
        <w:rPr>
          <w:i/>
        </w:rPr>
        <w:t>1958</w:t>
      </w:r>
      <w:r w:rsidR="000C3275" w:rsidRPr="000C3275">
        <w:t>.</w:t>
      </w:r>
    </w:p>
    <w:p w:rsidR="000C3275" w:rsidRPr="000C3275" w:rsidRDefault="000C3275" w:rsidP="000C3275">
      <w:pPr>
        <w:pStyle w:val="Body"/>
      </w:pPr>
      <w:r w:rsidRPr="000C3275">
        <w:t xml:space="preserve">The benefits </w:t>
      </w:r>
      <w:r w:rsidR="00CE0104">
        <w:t>to</w:t>
      </w:r>
      <w:r w:rsidR="00CE0104" w:rsidRPr="000C3275">
        <w:t xml:space="preserve"> </w:t>
      </w:r>
      <w:r w:rsidRPr="000C3275">
        <w:t>lodging parties using the SPEAR ELN include:</w:t>
      </w:r>
    </w:p>
    <w:p w:rsidR="000C3275" w:rsidRPr="000C3275" w:rsidRDefault="000C3275" w:rsidP="00C62F88">
      <w:pPr>
        <w:pStyle w:val="Bullet"/>
      </w:pPr>
      <w:r w:rsidRPr="000C3275">
        <w:t>the ability to electronically complete, validate and lodge application forms</w:t>
      </w:r>
    </w:p>
    <w:p w:rsidR="000C3275" w:rsidRPr="000C3275" w:rsidRDefault="000C3275" w:rsidP="00C62F88">
      <w:pPr>
        <w:pStyle w:val="Bullet"/>
      </w:pPr>
      <w:r w:rsidRPr="000C3275">
        <w:t>no need to attend LUV in person to lodge applications</w:t>
      </w:r>
    </w:p>
    <w:p w:rsidR="000C3275" w:rsidRPr="000C3275" w:rsidRDefault="000C3275" w:rsidP="00C62F88">
      <w:pPr>
        <w:pStyle w:val="Bullet"/>
      </w:pPr>
      <w:r w:rsidRPr="000C3275">
        <w:t>improved access to application documents and details of Land Use Victoria requisitions</w:t>
      </w:r>
    </w:p>
    <w:p w:rsidR="000C3275" w:rsidRPr="000C3275" w:rsidRDefault="000C3275" w:rsidP="00C62F88">
      <w:pPr>
        <w:pStyle w:val="Bullet"/>
      </w:pPr>
      <w:r w:rsidRPr="000C3275">
        <w:t xml:space="preserve">instant notification of new title allocations </w:t>
      </w:r>
      <w:r w:rsidR="00CE0104">
        <w:t>up</w:t>
      </w:r>
      <w:r w:rsidRPr="000C3275">
        <w:t xml:space="preserve">on registration. </w:t>
      </w:r>
    </w:p>
    <w:p w:rsidR="000C3275" w:rsidRPr="002B7BEB" w:rsidRDefault="000C3275" w:rsidP="00C62F88">
      <w:pPr>
        <w:pStyle w:val="Body"/>
        <w:rPr>
          <w:rFonts w:eastAsia="Calibri"/>
        </w:rPr>
      </w:pPr>
      <w:r w:rsidRPr="000C3275">
        <w:t>The pilot period will end on 31 December 2017</w:t>
      </w:r>
      <w:r w:rsidR="00CE0104">
        <w:t>.</w:t>
      </w:r>
      <w:r w:rsidRPr="000C3275">
        <w:t xml:space="preserve"> LU</w:t>
      </w:r>
      <w:r>
        <w:t>V</w:t>
      </w:r>
      <w:r w:rsidRPr="000C3275">
        <w:t xml:space="preserve"> will accept applications</w:t>
      </w:r>
      <w:r w:rsidR="00CE0104" w:rsidRPr="00CE0104">
        <w:t xml:space="preserve"> </w:t>
      </w:r>
      <w:r w:rsidR="00CE0104" w:rsidRPr="000C3275">
        <w:t>from all lodging parties</w:t>
      </w:r>
      <w:r w:rsidRPr="000C3275">
        <w:t xml:space="preserve"> to become a SPEAR ELN Subscriber from 2 January 2018.</w:t>
      </w:r>
      <w:r w:rsidR="002C4A85">
        <w:t xml:space="preserve"> </w:t>
      </w:r>
      <w:r w:rsidR="00CE0104">
        <w:t xml:space="preserve">Information </w:t>
      </w:r>
      <w:r w:rsidR="00133E1C">
        <w:t>about</w:t>
      </w:r>
      <w:r w:rsidR="00133E1C" w:rsidRPr="000C3275">
        <w:t xml:space="preserve"> registe</w:t>
      </w:r>
      <w:r w:rsidR="00133E1C">
        <w:t>ring</w:t>
      </w:r>
      <w:r w:rsidRPr="000C3275">
        <w:t xml:space="preserve"> will be published on the </w:t>
      </w:r>
      <w:hyperlink r:id="rId15" w:history="1">
        <w:r w:rsidRPr="00CE0104">
          <w:rPr>
            <w:rStyle w:val="Hyperlink"/>
          </w:rPr>
          <w:t>SPEAR</w:t>
        </w:r>
      </w:hyperlink>
      <w:r w:rsidRPr="000C3275">
        <w:t xml:space="preserve"> website </w:t>
      </w:r>
      <w:r w:rsidR="00036BC3">
        <w:t>(</w:t>
      </w:r>
      <w:r w:rsidR="00036BC3" w:rsidRPr="00C62F88">
        <w:t>www.spear.land.vic.gov.au</w:t>
      </w:r>
      <w:r w:rsidR="00036BC3">
        <w:t xml:space="preserve">) </w:t>
      </w:r>
      <w:r w:rsidRPr="000C3275">
        <w:t xml:space="preserve">at that time. </w:t>
      </w:r>
    </w:p>
    <w:p w:rsidR="000C3275" w:rsidRDefault="000C3275" w:rsidP="000C3275">
      <w:pPr>
        <w:pStyle w:val="Heading1"/>
        <w:spacing w:after="240"/>
        <w:rPr>
          <w:rFonts w:eastAsia="Calibri"/>
        </w:rPr>
      </w:pPr>
      <w:r>
        <w:rPr>
          <w:rFonts w:eastAsia="Calibri"/>
        </w:rPr>
        <w:t>Electronic service of c</w:t>
      </w:r>
      <w:r w:rsidRPr="00C366E0">
        <w:rPr>
          <w:rFonts w:eastAsia="Calibri"/>
        </w:rPr>
        <w:t xml:space="preserve">ourt </w:t>
      </w:r>
      <w:r>
        <w:rPr>
          <w:rFonts w:eastAsia="Calibri"/>
        </w:rPr>
        <w:t>documents</w:t>
      </w:r>
    </w:p>
    <w:p w:rsidR="000C3275" w:rsidRDefault="000C3275" w:rsidP="00C62F88">
      <w:pPr>
        <w:pStyle w:val="Body"/>
      </w:pPr>
      <w:r>
        <w:t>From 1 January 2018, the Registrar of Titles will accept service of court documents email</w:t>
      </w:r>
      <w:r w:rsidR="00C2435D">
        <w:t>ed to</w:t>
      </w:r>
      <w:r>
        <w:t xml:space="preserve"> lv.warrants@delwp.vic.gov.au</w:t>
      </w:r>
      <w:r w:rsidR="00C2435D">
        <w:t>.</w:t>
      </w:r>
    </w:p>
    <w:p w:rsidR="000C3275" w:rsidRDefault="00B602B7" w:rsidP="000C3275">
      <w:pPr>
        <w:pStyle w:val="Body"/>
      </w:pPr>
      <w:r>
        <w:t xml:space="preserve">The Warrants Officer will </w:t>
      </w:r>
      <w:r w:rsidR="004F315F">
        <w:t>then reply</w:t>
      </w:r>
      <w:r>
        <w:t xml:space="preserve"> </w:t>
      </w:r>
      <w:r w:rsidR="004F315F">
        <w:t xml:space="preserve">by </w:t>
      </w:r>
      <w:r>
        <w:t>email acknowledging their receipt</w:t>
      </w:r>
      <w:r w:rsidR="004F315F">
        <w:t>.</w:t>
      </w:r>
      <w:r>
        <w:t xml:space="preserve"> </w:t>
      </w:r>
    </w:p>
    <w:p w:rsidR="004F315F" w:rsidRDefault="004F315F" w:rsidP="000C3275">
      <w:pPr>
        <w:pStyle w:val="Body"/>
        <w:rPr>
          <w:szCs w:val="22"/>
        </w:rPr>
      </w:pPr>
      <w:r>
        <w:rPr>
          <w:szCs w:val="22"/>
        </w:rPr>
        <w:t>Any</w:t>
      </w:r>
      <w:r w:rsidR="000C3275" w:rsidRPr="00DA6F60">
        <w:rPr>
          <w:szCs w:val="22"/>
        </w:rPr>
        <w:t xml:space="preserve"> document required by a rule of court to be served upon the Registrar of Titles</w:t>
      </w:r>
      <w:r>
        <w:rPr>
          <w:szCs w:val="22"/>
        </w:rPr>
        <w:t xml:space="preserve"> will be accepted by email. This is</w:t>
      </w:r>
      <w:r w:rsidR="000C3275" w:rsidRPr="00DA6F60">
        <w:rPr>
          <w:szCs w:val="22"/>
        </w:rPr>
        <w:t xml:space="preserve"> irrespective of any mode of service that a rule of court might require. </w:t>
      </w:r>
    </w:p>
    <w:p w:rsidR="000C3275" w:rsidRPr="002B7BEB" w:rsidRDefault="000C3275" w:rsidP="000C3275">
      <w:pPr>
        <w:pStyle w:val="Body"/>
        <w:rPr>
          <w:szCs w:val="22"/>
        </w:rPr>
      </w:pPr>
      <w:r w:rsidRPr="00DA6F60">
        <w:rPr>
          <w:szCs w:val="22"/>
        </w:rPr>
        <w:t xml:space="preserve">For example, if a rule of court requires an originating process to be served personally on the Registrar of Titles, the Registrar of Titles will accept </w:t>
      </w:r>
      <w:r w:rsidR="004F315F">
        <w:rPr>
          <w:szCs w:val="22"/>
        </w:rPr>
        <w:t>it</w:t>
      </w:r>
      <w:r w:rsidRPr="00DA6F60">
        <w:rPr>
          <w:szCs w:val="22"/>
        </w:rPr>
        <w:t xml:space="preserve"> by email at the above address. For these purposes, a court is regarded as a court of competent jurisdiction and includes the Victorian Civil and Administrative Tribunal</w:t>
      </w:r>
      <w:r>
        <w:rPr>
          <w:szCs w:val="22"/>
        </w:rPr>
        <w:t>.</w:t>
      </w:r>
    </w:p>
    <w:p w:rsidR="000C3275" w:rsidRDefault="000C3275" w:rsidP="000C3275">
      <w:pPr>
        <w:pStyle w:val="BodyText"/>
        <w:rPr>
          <w:rFonts w:cs="Arial"/>
          <w:b/>
          <w:bCs/>
          <w:color w:val="B3272F" w:themeColor="text2"/>
          <w:kern w:val="32"/>
          <w:sz w:val="40"/>
          <w:szCs w:val="32"/>
          <w:lang w:eastAsia="en-AU"/>
        </w:rPr>
      </w:pPr>
      <w:r w:rsidRPr="00315439">
        <w:rPr>
          <w:rFonts w:cs="Arial"/>
          <w:b/>
          <w:bCs/>
          <w:color w:val="B3272F" w:themeColor="text2"/>
          <w:kern w:val="32"/>
          <w:sz w:val="40"/>
          <w:szCs w:val="32"/>
          <w:lang w:eastAsia="en-AU"/>
        </w:rPr>
        <w:t>Subscribe</w:t>
      </w:r>
    </w:p>
    <w:p w:rsidR="000C3275" w:rsidRDefault="000C3275" w:rsidP="000C3275">
      <w:pPr>
        <w:pStyle w:val="Body"/>
        <w:rPr>
          <w:rFonts w:eastAsia="Calibri"/>
        </w:rPr>
      </w:pPr>
      <w:r w:rsidRPr="00FF4197">
        <w:rPr>
          <w:rFonts w:eastAsia="Calibri"/>
        </w:rPr>
        <w:t xml:space="preserve">To receive </w:t>
      </w:r>
      <w:r>
        <w:rPr>
          <w:rFonts w:eastAsia="Calibri"/>
        </w:rPr>
        <w:t>notification when a</w:t>
      </w:r>
      <w:r w:rsidRPr="00FF4197">
        <w:rPr>
          <w:rFonts w:eastAsia="Calibri"/>
        </w:rPr>
        <w:t xml:space="preserve"> Customer Information Bulletin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rsidR="004F315F" w:rsidRDefault="004F315F" w:rsidP="004F315F">
      <w:pPr>
        <w:pStyle w:val="Heading1"/>
        <w:numPr>
          <w:ilvl w:val="0"/>
          <w:numId w:val="0"/>
        </w:numPr>
        <w:spacing w:after="240"/>
        <w:rPr>
          <w:rFonts w:eastAsiaTheme="minorHAnsi"/>
          <w:lang w:eastAsia="en-US"/>
        </w:rPr>
      </w:pPr>
      <w:r>
        <w:rPr>
          <w:rFonts w:eastAsiaTheme="minorHAnsi"/>
          <w:lang w:eastAsia="en-US"/>
        </w:rPr>
        <w:t>Contact us</w:t>
      </w:r>
    </w:p>
    <w:p w:rsidR="004F315F" w:rsidRDefault="004F315F" w:rsidP="004F315F">
      <w:pPr>
        <w:pStyle w:val="BodyText"/>
      </w:pPr>
      <w:r>
        <w:rPr>
          <w:rFonts w:eastAsiaTheme="minorHAnsi" w:cs="Calibri"/>
          <w:color w:val="000000"/>
          <w:szCs w:val="22"/>
        </w:rPr>
        <w:t xml:space="preserve">For </w:t>
      </w:r>
      <w:hyperlink r:id="rId16"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7"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rsidR="004F315F" w:rsidRDefault="004F315F" w:rsidP="004F315F">
      <w:pPr>
        <w:pStyle w:val="BodyText"/>
      </w:pPr>
    </w:p>
    <w:tbl>
      <w:tblPr>
        <w:tblpPr w:leftFromText="181" w:rightFromText="181" w:topFromText="113" w:vertAnchor="page" w:horzAnchor="page" w:tblpX="852" w:tblpY="12985"/>
        <w:tblOverlap w:val="never"/>
        <w:tblW w:w="1020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3"/>
        <w:gridCol w:w="4987"/>
      </w:tblGrid>
      <w:tr w:rsidR="004F315F" w:rsidTr="00A4500A">
        <w:trPr>
          <w:trHeight w:val="2608"/>
        </w:trPr>
        <w:tc>
          <w:tcPr>
            <w:tcW w:w="5216" w:type="dxa"/>
            <w:tcBorders>
              <w:top w:val="single" w:sz="2" w:space="0" w:color="00B2A9"/>
              <w:left w:val="nil"/>
              <w:bottom w:val="nil"/>
              <w:right w:val="nil"/>
            </w:tcBorders>
            <w:hideMark/>
          </w:tcPr>
          <w:p w:rsidR="004F315F" w:rsidRDefault="004F315F" w:rsidP="00A4500A">
            <w:pPr>
              <w:pStyle w:val="SmallBodyText"/>
            </w:pPr>
            <w:r>
              <w:t xml:space="preserve">© The State of Victoria Department of Environment, Land, Water and Planning </w:t>
            </w:r>
            <w:r>
              <w:fldChar w:fldCharType="begin"/>
            </w:r>
            <w:r>
              <w:instrText xml:space="preserve"> DATE  \@ "yyyy" \* MERGEFORMAT </w:instrText>
            </w:r>
            <w:r>
              <w:fldChar w:fldCharType="separate"/>
            </w:r>
            <w:r w:rsidR="009D764B">
              <w:rPr>
                <w:noProof/>
              </w:rPr>
              <w:t>2017</w:t>
            </w:r>
            <w:r>
              <w:fldChar w:fldCharType="end"/>
            </w:r>
          </w:p>
          <w:p w:rsidR="004F315F" w:rsidRDefault="004F315F" w:rsidP="00A4500A">
            <w:pPr>
              <w:pStyle w:val="SmallBodyText"/>
            </w:pPr>
            <w:r>
              <w:rPr>
                <w:noProof/>
              </w:rPr>
              <w:drawing>
                <wp:anchor distT="0" distB="0" distL="114300" distR="36195" simplePos="0" relativeHeight="251659776" behindDoc="0" locked="1" layoutInCell="1" allowOverlap="1" wp14:anchorId="08700446" wp14:editId="4C60B64A">
                  <wp:simplePos x="0" y="0"/>
                  <wp:positionH relativeFrom="column">
                    <wp:posOffset>0</wp:posOffset>
                  </wp:positionH>
                  <wp:positionV relativeFrom="paragraph">
                    <wp:posOffset>28575</wp:posOffset>
                  </wp:positionV>
                  <wp:extent cx="658495" cy="237490"/>
                  <wp:effectExtent l="0" t="0" r="8255" b="0"/>
                  <wp:wrapSquare wrapText="bothSides"/>
                  <wp:docPr id="16" name="Picture 16"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pic:spPr>
                      </pic:pic>
                    </a:graphicData>
                  </a:graphic>
                  <wp14:sizeRelH relativeFrom="page">
                    <wp14:pctWidth>0</wp14:pctWidth>
                  </wp14:sizeRelH>
                  <wp14:sizeRelV relativeFrom="page">
                    <wp14:pctHeight>0</wp14:pctHeight>
                  </wp14:sizeRelV>
                </wp:anchor>
              </w:drawing>
            </w:r>
            <w:bookmarkStart w:id="1" w:name="_ImprintPageOne"/>
            <w:bookmarkEnd w:id="1"/>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rsidR="004F315F" w:rsidRDefault="004F315F" w:rsidP="00A4500A">
            <w:pPr>
              <w:pStyle w:val="SmallHeading"/>
            </w:pPr>
            <w:r>
              <w:t>Disclaimer</w:t>
            </w:r>
          </w:p>
          <w:p w:rsidR="004F315F" w:rsidRDefault="004F315F" w:rsidP="00A4500A">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tcBorders>
              <w:top w:val="single" w:sz="2" w:space="0" w:color="00B2A9"/>
              <w:left w:val="nil"/>
              <w:bottom w:val="nil"/>
              <w:right w:val="nil"/>
            </w:tcBorders>
          </w:tcPr>
          <w:p w:rsidR="004F315F" w:rsidRDefault="004F315F" w:rsidP="00A4500A">
            <w:pPr>
              <w:pStyle w:val="xAccessibilityHeading"/>
            </w:pPr>
            <w:bookmarkStart w:id="2" w:name="_Accessibility"/>
            <w:bookmarkEnd w:id="2"/>
            <w:r>
              <w:t>Accessibility</w:t>
            </w:r>
          </w:p>
          <w:p w:rsidR="004F315F" w:rsidRDefault="004F315F" w:rsidP="00A4500A">
            <w:pPr>
              <w:pStyle w:val="xAccessibilityText"/>
            </w:pPr>
            <w:r>
              <w:t>If you would like to receive this publication in an alternative format, please telephone the DELWP Customer Service Centre on 136186, email </w:t>
            </w:r>
            <w:hyperlink r:id="rId19" w:history="1">
              <w:r>
                <w:rPr>
                  <w:rStyle w:val="Hyperlink"/>
                </w:rPr>
                <w:t>customer.service@delwp.vic.gov.au</w:t>
              </w:r>
            </w:hyperlink>
            <w:r>
              <w:t xml:space="preserve">, or via the National Relay Service on 133 677 </w:t>
            </w:r>
            <w:hyperlink r:id="rId20" w:history="1">
              <w:r>
                <w:rPr>
                  <w:rStyle w:val="Hyperlink"/>
                </w:rPr>
                <w:t>www.relayservice.com.au</w:t>
              </w:r>
            </w:hyperlink>
            <w:r>
              <w:t xml:space="preserve">. This document is also available on the internet at </w:t>
            </w:r>
            <w:hyperlink r:id="rId21" w:history="1">
              <w:r>
                <w:rPr>
                  <w:rStyle w:val="Hyperlink"/>
                </w:rPr>
                <w:t>www.delwp.vic.gov.au</w:t>
              </w:r>
            </w:hyperlink>
            <w:r>
              <w:t xml:space="preserve">. </w:t>
            </w:r>
          </w:p>
          <w:p w:rsidR="004F315F" w:rsidRDefault="004F315F" w:rsidP="00A4500A">
            <w:pPr>
              <w:pStyle w:val="SmallBodyText"/>
            </w:pPr>
          </w:p>
        </w:tc>
      </w:tr>
    </w:tbl>
    <w:p w:rsidR="004F315F" w:rsidRPr="00E9232B" w:rsidRDefault="004F315F" w:rsidP="004F315F">
      <w:pPr>
        <w:pStyle w:val="BodyText"/>
        <w:rPr>
          <w:rFonts w:ascii="Calibri" w:eastAsiaTheme="minorEastAsia" w:hAnsi="Calibri"/>
          <w:sz w:val="22"/>
          <w:szCs w:val="22"/>
        </w:rPr>
      </w:pPr>
    </w:p>
    <w:bookmarkEnd w:id="0"/>
    <w:p w:rsidR="006E1C8D" w:rsidRDefault="006E1C8D" w:rsidP="005D0B1C">
      <w:pPr>
        <w:pStyle w:val="BodyText"/>
      </w:pPr>
    </w:p>
    <w:sectPr w:rsidR="006E1C8D" w:rsidSect="000C327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C2" w:rsidRDefault="00D04AC2">
      <w:r>
        <w:separator/>
      </w:r>
    </w:p>
    <w:p w:rsidR="00D04AC2" w:rsidRDefault="00D04AC2"/>
    <w:p w:rsidR="00D04AC2" w:rsidRDefault="00D04AC2"/>
  </w:endnote>
  <w:endnote w:type="continuationSeparator" w:id="0">
    <w:p w:rsidR="00D04AC2" w:rsidRDefault="00D04AC2">
      <w:r>
        <w:continuationSeparator/>
      </w:r>
    </w:p>
    <w:p w:rsidR="00D04AC2" w:rsidRDefault="00D04AC2"/>
    <w:p w:rsidR="00D04AC2" w:rsidRDefault="00D0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01802"/>
      <w:docPartObj>
        <w:docPartGallery w:val="Page Numbers (Bottom of Page)"/>
        <w:docPartUnique/>
      </w:docPartObj>
    </w:sdtPr>
    <w:sdtEndPr>
      <w:rPr>
        <w:noProof/>
      </w:rPr>
    </w:sdtEndPr>
    <w:sdtContent>
      <w:p w:rsidR="00EF54F3" w:rsidRDefault="00EF54F3">
        <w:pPr>
          <w:pStyle w:val="Footer"/>
        </w:pPr>
        <w:r>
          <w:fldChar w:fldCharType="begin"/>
        </w:r>
        <w:r>
          <w:instrText xml:space="preserve"> PAGE   \* MERGEFORMAT </w:instrText>
        </w:r>
        <w:r>
          <w:fldChar w:fldCharType="separate"/>
        </w:r>
        <w:r w:rsidR="009D764B">
          <w:rPr>
            <w:noProof/>
          </w:rPr>
          <w:t>2</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33567"/>
      <w:docPartObj>
        <w:docPartGallery w:val="Page Numbers (Bottom of Page)"/>
        <w:docPartUnique/>
      </w:docPartObj>
    </w:sdtPr>
    <w:sdtEndPr>
      <w:rPr>
        <w:noProof/>
      </w:rPr>
    </w:sdtEndPr>
    <w:sdtContent>
      <w:p w:rsidR="00EF54F3" w:rsidRDefault="00EF54F3">
        <w:pPr>
          <w:pStyle w:val="Footer"/>
        </w:pPr>
        <w:r>
          <w:fldChar w:fldCharType="begin"/>
        </w:r>
        <w:r>
          <w:instrText xml:space="preserve"> PAGE   \* MERGEFORMAT </w:instrText>
        </w:r>
        <w:r>
          <w:fldChar w:fldCharType="separate"/>
        </w:r>
        <w:r w:rsidR="009D764B">
          <w:rPr>
            <w:noProof/>
          </w:rPr>
          <w:t>3</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1999409A" wp14:editId="275024F2">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48A618F4" wp14:editId="27181598">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618F4" id="_x0000_t202" coordsize="21600,21600" o:spt="202" path="m,l,21600r21600,l21600,xe">
              <v:stroke joinstyle="miter"/>
              <v:path gradientshapeok="t" o:connecttype="rect"/>
            </v:shapetype>
            <v:shape id="WebAddress" o:spid="_x0000_s1026"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2013099" wp14:editId="62B24941">
          <wp:simplePos x="0" y="0"/>
          <wp:positionH relativeFrom="page">
            <wp:align>right</wp:align>
          </wp:positionH>
          <wp:positionV relativeFrom="page">
            <wp:align>bottom</wp:align>
          </wp:positionV>
          <wp:extent cx="2422800" cy="1083600"/>
          <wp:effectExtent l="0" t="0" r="0" b="0"/>
          <wp:wrapNone/>
          <wp:docPr id="1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C2" w:rsidRPr="008F5280" w:rsidRDefault="00D04AC2" w:rsidP="008F5280">
      <w:pPr>
        <w:pStyle w:val="FootnoteSeparator"/>
      </w:pPr>
    </w:p>
    <w:p w:rsidR="00D04AC2" w:rsidRDefault="00D04AC2"/>
  </w:footnote>
  <w:footnote w:type="continuationSeparator" w:id="0">
    <w:p w:rsidR="00D04AC2" w:rsidRDefault="00D04AC2" w:rsidP="008F5280">
      <w:pPr>
        <w:pStyle w:val="FootnoteSeparator"/>
      </w:pPr>
    </w:p>
    <w:p w:rsidR="00D04AC2" w:rsidRDefault="00D04AC2"/>
    <w:p w:rsidR="00D04AC2" w:rsidRDefault="00D04AC2"/>
  </w:footnote>
  <w:footnote w:type="continuationNotice" w:id="1">
    <w:p w:rsidR="00D04AC2" w:rsidRDefault="00D04AC2" w:rsidP="00D55628"/>
    <w:p w:rsidR="00D04AC2" w:rsidRDefault="00D04AC2"/>
    <w:p w:rsidR="00D04AC2" w:rsidRDefault="00D0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D04AC2" w:rsidP="00AC028D">
          <w:pPr>
            <w:pStyle w:val="Header"/>
          </w:pPr>
          <w:r>
            <w:fldChar w:fldCharType="begin"/>
          </w:r>
          <w:r>
            <w:instrText xml:space="preserve"> STYLEREF  Title  \* MERGEFORMAT </w:instrText>
          </w:r>
          <w:r>
            <w:fldChar w:fldCharType="separate"/>
          </w:r>
          <w:r w:rsidR="009D764B">
            <w:rPr>
              <w:noProof/>
            </w:rPr>
            <w:t>Land Use Victoria</w:t>
          </w:r>
          <w:r w:rsidR="009D764B">
            <w:rPr>
              <w:noProof/>
            </w:rPr>
            <w:br/>
            <w:t>Customer Information Bulletin 173, December 2017</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3D1CE13B" wp14:editId="17F968C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C6407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6366E8B" wp14:editId="013B9DD2">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2063D"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722342A" wp14:editId="263815E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83288D"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D04AC2" w:rsidP="00AC028D">
          <w:pPr>
            <w:pStyle w:val="Header"/>
          </w:pPr>
          <w:r>
            <w:fldChar w:fldCharType="begin"/>
          </w:r>
          <w:r>
            <w:instrText xml:space="preserve"> STYLEREF  Title  \* MERGEFORMAT </w:instrText>
          </w:r>
          <w:r>
            <w:fldChar w:fldCharType="separate"/>
          </w:r>
          <w:r w:rsidR="009D764B">
            <w:rPr>
              <w:noProof/>
            </w:rPr>
            <w:t>Land Use Victoria</w:t>
          </w:r>
          <w:r w:rsidR="009D764B">
            <w:rPr>
              <w:noProof/>
            </w:rPr>
            <w:br/>
            <w:t>Customer Information Bulletin 173, December 2017</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0AD6B1A" wp14:editId="27F2AE0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14C3D"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240ACD09" wp14:editId="4D68963B">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345F2"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4058259B" wp14:editId="10A792C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C77DA"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6CC1B227" wp14:editId="5DDC851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9272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FE9C39A" wp14:editId="7601D06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23AA7"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3EA4B0CC" wp14:editId="4F1F50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65583"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F625E9A" wp14:editId="7BD4464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C47117"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617AA"/>
    <w:multiLevelType w:val="hybridMultilevel"/>
    <w:tmpl w:val="F31C0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35D6C27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A742B8A"/>
    <w:multiLevelType w:val="hybridMultilevel"/>
    <w:tmpl w:val="F666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6"/>
  </w:num>
  <w:num w:numId="4">
    <w:abstractNumId w:val="34"/>
  </w:num>
  <w:num w:numId="5">
    <w:abstractNumId w:val="17"/>
  </w:num>
  <w:num w:numId="6">
    <w:abstractNumId w:val="14"/>
  </w:num>
  <w:num w:numId="7">
    <w:abstractNumId w:val="13"/>
  </w:num>
  <w:num w:numId="8">
    <w:abstractNumId w:val="11"/>
  </w:num>
  <w:num w:numId="9">
    <w:abstractNumId w:val="31"/>
  </w:num>
  <w:num w:numId="10">
    <w:abstractNumId w:val="15"/>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29"/>
  </w:num>
  <w:num w:numId="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0C327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BC3"/>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275"/>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1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31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A85"/>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F59"/>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17"/>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BD5"/>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15F"/>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4CE"/>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54F"/>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64B"/>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1C"/>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2B7"/>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35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F88"/>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104"/>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AC2"/>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21D"/>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3BF"/>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86D"/>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4F3"/>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08"/>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A12"/>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300E26F"/>
  <w15:docId w15:val="{AF806AD4-C6AA-4C9C-A14D-6EEE5889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C327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0C3275"/>
    <w:pPr>
      <w:spacing w:after="113"/>
    </w:pPr>
    <w:rPr>
      <w:rFonts w:ascii="Calibri" w:hAnsi="Calibri"/>
      <w:color w:val="auto"/>
      <w:sz w:val="22"/>
      <w:szCs w:val="24"/>
      <w:lang w:eastAsia="en-US"/>
    </w:rPr>
  </w:style>
  <w:style w:type="paragraph" w:customStyle="1" w:styleId="Bullet">
    <w:name w:val="_Bullet"/>
    <w:link w:val="BulletChar"/>
    <w:qFormat/>
    <w:rsid w:val="000C3275"/>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0C3275"/>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036B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opertyandlandtitles.vic.gov.au/contact-us" TargetMode="External"/><Relationship Id="rId2" Type="http://schemas.openxmlformats.org/officeDocument/2006/relationships/numbering" Target="numbering.xml"/><Relationship Id="rId16" Type="http://schemas.openxmlformats.org/officeDocument/2006/relationships/hyperlink" Target="http://www.dtpli.vic.gov.au/property-and-land-titles/contact-us" TargetMode="External"/><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pear.land.vic.gov.au/spea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lwp.vic.gov.au/publications"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3967-7909-4354-ADE4-4680BF4F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Baker (DELWP)</dc:creator>
  <cp:keywords/>
  <dc:description/>
  <cp:lastModifiedBy>Annette S Binger (DELWP)</cp:lastModifiedBy>
  <cp:revision>2</cp:revision>
  <cp:lastPrinted>2017-12-13T01:15:00Z</cp:lastPrinted>
  <dcterms:created xsi:type="dcterms:W3CDTF">2017-12-13T01:15:00Z</dcterms:created>
  <dcterms:modified xsi:type="dcterms:W3CDTF">2017-12-13T01:15:00Z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