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D82D7" w14:textId="4375C606" w:rsidR="00531697" w:rsidRPr="00D91C8D" w:rsidRDefault="00023A82" w:rsidP="00531697">
      <w:pPr>
        <w:rPr>
          <w:sz w:val="22"/>
          <w:szCs w:val="22"/>
        </w:rPr>
      </w:pPr>
      <w:r w:rsidRPr="00D91C8D">
        <w:rPr>
          <w:sz w:val="22"/>
          <w:szCs w:val="22"/>
        </w:rPr>
        <w:t>13</w:t>
      </w:r>
      <w:r w:rsidR="00E15C31" w:rsidRPr="00D91C8D">
        <w:rPr>
          <w:sz w:val="22"/>
          <w:szCs w:val="22"/>
        </w:rPr>
        <w:t xml:space="preserve"> </w:t>
      </w:r>
      <w:r w:rsidR="005C46C3" w:rsidRPr="00D91C8D">
        <w:rPr>
          <w:sz w:val="22"/>
          <w:szCs w:val="22"/>
        </w:rPr>
        <w:t>October</w:t>
      </w:r>
      <w:r w:rsidR="00531697" w:rsidRPr="00D91C8D">
        <w:rPr>
          <w:sz w:val="22"/>
          <w:szCs w:val="22"/>
        </w:rPr>
        <w:t xml:space="preserve"> 2021</w:t>
      </w:r>
    </w:p>
    <w:p w14:paraId="3D077BEE" w14:textId="787B36A7" w:rsidR="006B066A" w:rsidRPr="00D91C8D" w:rsidRDefault="006B066A" w:rsidP="009F301B">
      <w:pPr>
        <w:rPr>
          <w:rStyle w:val="Heading2Char"/>
          <w:rFonts w:eastAsiaTheme="majorEastAsia"/>
          <w:sz w:val="28"/>
          <w:szCs w:val="28"/>
        </w:rPr>
      </w:pPr>
      <w:r w:rsidRPr="00D91C8D">
        <w:rPr>
          <w:noProof/>
          <w:sz w:val="28"/>
          <w:szCs w:val="28"/>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52A" w:rsidRPr="00D91C8D">
        <w:rPr>
          <w:rStyle w:val="Heading1Char"/>
          <w:sz w:val="28"/>
          <w:szCs w:val="28"/>
        </w:rPr>
        <w:t xml:space="preserve">Change advisory notice </w:t>
      </w:r>
      <w:r w:rsidR="007168EB" w:rsidRPr="00D91C8D">
        <w:rPr>
          <w:rStyle w:val="Heading1Char"/>
          <w:sz w:val="28"/>
          <w:szCs w:val="28"/>
        </w:rPr>
        <w:t>27</w:t>
      </w:r>
      <w:r w:rsidR="005108E5" w:rsidRPr="00D91C8D">
        <w:rPr>
          <w:rStyle w:val="Heading1Char"/>
          <w:sz w:val="28"/>
          <w:szCs w:val="28"/>
        </w:rPr>
        <w:t>7</w:t>
      </w:r>
      <w:r w:rsidR="00402365" w:rsidRPr="00D91C8D">
        <w:rPr>
          <w:rStyle w:val="Heading1Char"/>
          <w:sz w:val="28"/>
          <w:szCs w:val="28"/>
        </w:rPr>
        <w:t xml:space="preserve"> </w:t>
      </w:r>
      <w:r w:rsidR="00D02EA8" w:rsidRPr="00D91C8D">
        <w:rPr>
          <w:rStyle w:val="Heading1Char"/>
          <w:sz w:val="28"/>
          <w:szCs w:val="28"/>
        </w:rPr>
        <w:t xml:space="preserve">Introduction of </w:t>
      </w:r>
      <w:r w:rsidR="002B5641" w:rsidRPr="00D91C8D">
        <w:rPr>
          <w:rStyle w:val="Heading1Char"/>
          <w:sz w:val="28"/>
          <w:szCs w:val="28"/>
        </w:rPr>
        <w:t xml:space="preserve">Vicmap </w:t>
      </w:r>
      <w:r w:rsidR="00487ABA" w:rsidRPr="00D91C8D">
        <w:rPr>
          <w:rStyle w:val="Heading1Char"/>
          <w:sz w:val="28"/>
          <w:szCs w:val="28"/>
        </w:rPr>
        <w:t>Infr</w:t>
      </w:r>
      <w:r w:rsidR="00F93C1D" w:rsidRPr="00D91C8D">
        <w:rPr>
          <w:rStyle w:val="Heading1Char"/>
          <w:sz w:val="28"/>
          <w:szCs w:val="28"/>
        </w:rPr>
        <w:t xml:space="preserve">astructure </w:t>
      </w:r>
      <w:r w:rsidR="001B79AE" w:rsidRPr="00D91C8D">
        <w:rPr>
          <w:rStyle w:val="Heading1Char"/>
          <w:sz w:val="28"/>
          <w:szCs w:val="28"/>
        </w:rPr>
        <w:t>product</w:t>
      </w:r>
      <w:r w:rsidR="00F93C1D" w:rsidRPr="00D91C8D">
        <w:rPr>
          <w:rStyle w:val="Heading1Char"/>
          <w:sz w:val="28"/>
          <w:szCs w:val="28"/>
        </w:rPr>
        <w:t xml:space="preserve"> </w:t>
      </w:r>
      <w:r w:rsidR="00114774" w:rsidRPr="00D91C8D">
        <w:rPr>
          <w:rStyle w:val="Heading1Char"/>
          <w:sz w:val="28"/>
          <w:szCs w:val="28"/>
        </w:rPr>
        <w:t>-</w:t>
      </w:r>
      <w:r w:rsidR="00727C5F" w:rsidRPr="00D91C8D">
        <w:rPr>
          <w:rStyle w:val="Heading1Char"/>
          <w:sz w:val="28"/>
          <w:szCs w:val="28"/>
        </w:rPr>
        <w:t xml:space="preserve"> </w:t>
      </w:r>
      <w:r w:rsidR="005108E5" w:rsidRPr="00D91C8D">
        <w:rPr>
          <w:rStyle w:val="Heading1Char"/>
          <w:sz w:val="28"/>
          <w:szCs w:val="28"/>
        </w:rPr>
        <w:t xml:space="preserve">Powerline </w:t>
      </w:r>
      <w:r w:rsidR="000D14B3" w:rsidRPr="00D91C8D">
        <w:rPr>
          <w:rStyle w:val="Heading1Char"/>
          <w:sz w:val="28"/>
          <w:szCs w:val="28"/>
        </w:rPr>
        <w:t>dataset</w:t>
      </w:r>
    </w:p>
    <w:p w14:paraId="64DE5C22" w14:textId="7900902C" w:rsidR="000518CA" w:rsidRPr="00D91C8D" w:rsidRDefault="00B026A1" w:rsidP="00773AC8">
      <w:pPr>
        <w:pStyle w:val="Heading2"/>
        <w:rPr>
          <w:rStyle w:val="Heading2Char"/>
          <w:b/>
          <w:bCs/>
          <w:sz w:val="22"/>
          <w:szCs w:val="22"/>
        </w:rPr>
      </w:pPr>
      <w:r w:rsidRPr="00D91C8D">
        <w:rPr>
          <w:rStyle w:val="Heading2Char"/>
          <w:b/>
          <w:bCs/>
          <w:sz w:val="22"/>
          <w:szCs w:val="22"/>
        </w:rPr>
        <w:t>What is happening</w:t>
      </w:r>
    </w:p>
    <w:p w14:paraId="304D50EC" w14:textId="79DA9F15" w:rsidR="00571DED" w:rsidRPr="00D91C8D" w:rsidRDefault="00A83090" w:rsidP="00571DED">
      <w:pPr>
        <w:pStyle w:val="Body"/>
        <w:rPr>
          <w:rFonts w:ascii="Arial" w:eastAsia="Calibri" w:hAnsi="Arial" w:cs="Arial"/>
        </w:rPr>
      </w:pPr>
      <w:r w:rsidRPr="00D91C8D">
        <w:rPr>
          <w:rFonts w:ascii="Arial" w:eastAsia="Calibri" w:hAnsi="Arial" w:cs="Arial"/>
        </w:rPr>
        <w:t>T</w:t>
      </w:r>
      <w:r w:rsidR="001732D7" w:rsidRPr="00D91C8D">
        <w:rPr>
          <w:rFonts w:ascii="Arial" w:eastAsia="Calibri" w:hAnsi="Arial" w:cs="Arial"/>
        </w:rPr>
        <w:t>he Vicmap</w:t>
      </w:r>
      <w:r w:rsidR="00571DED" w:rsidRPr="00D91C8D">
        <w:rPr>
          <w:rFonts w:ascii="Arial" w:eastAsia="Calibri" w:hAnsi="Arial" w:cs="Arial"/>
        </w:rPr>
        <w:t xml:space="preserve"> Powerline dataset </w:t>
      </w:r>
      <w:r w:rsidR="00A63B90" w:rsidRPr="00D91C8D">
        <w:rPr>
          <w:rFonts w:ascii="Arial" w:eastAsia="Calibri" w:hAnsi="Arial" w:cs="Arial"/>
        </w:rPr>
        <w:t>has now</w:t>
      </w:r>
      <w:r w:rsidR="00641C8F" w:rsidRPr="00D91C8D">
        <w:rPr>
          <w:rFonts w:ascii="Arial" w:eastAsia="Calibri" w:hAnsi="Arial" w:cs="Arial"/>
        </w:rPr>
        <w:t xml:space="preserve"> be</w:t>
      </w:r>
      <w:r w:rsidR="00A63B90" w:rsidRPr="00D91C8D">
        <w:rPr>
          <w:rFonts w:ascii="Arial" w:eastAsia="Calibri" w:hAnsi="Arial" w:cs="Arial"/>
        </w:rPr>
        <w:t>en</w:t>
      </w:r>
      <w:r w:rsidR="00641C8F" w:rsidRPr="00D91C8D">
        <w:rPr>
          <w:rFonts w:ascii="Arial" w:eastAsia="Calibri" w:hAnsi="Arial" w:cs="Arial"/>
        </w:rPr>
        <w:t xml:space="preserve"> </w:t>
      </w:r>
      <w:r w:rsidR="00571DED" w:rsidRPr="00D91C8D">
        <w:rPr>
          <w:rFonts w:ascii="Arial" w:eastAsia="Calibri" w:hAnsi="Arial" w:cs="Arial"/>
        </w:rPr>
        <w:t xml:space="preserve">released and added as the first dataset in the Vicmap Infrastructure </w:t>
      </w:r>
      <w:r w:rsidR="009A1E88" w:rsidRPr="00D91C8D">
        <w:rPr>
          <w:rFonts w:ascii="Arial" w:eastAsia="Calibri" w:hAnsi="Arial" w:cs="Arial"/>
        </w:rPr>
        <w:t>product</w:t>
      </w:r>
      <w:r w:rsidR="00571DED" w:rsidRPr="00D91C8D">
        <w:rPr>
          <w:rFonts w:ascii="Arial" w:eastAsia="Calibri" w:hAnsi="Arial" w:cs="Arial"/>
        </w:rPr>
        <w:t>.</w:t>
      </w:r>
    </w:p>
    <w:p w14:paraId="21263ECF" w14:textId="0BCF0A6F" w:rsidR="00571DED" w:rsidRPr="00D91C8D" w:rsidRDefault="00571DED" w:rsidP="00571DED">
      <w:pPr>
        <w:pStyle w:val="Body"/>
        <w:rPr>
          <w:rFonts w:ascii="Arial" w:eastAsia="Calibri" w:hAnsi="Arial" w:cs="Arial"/>
        </w:rPr>
      </w:pPr>
      <w:r w:rsidRPr="00D91C8D">
        <w:rPr>
          <w:rFonts w:ascii="Arial" w:eastAsia="Calibri" w:hAnsi="Arial" w:cs="Arial"/>
        </w:rPr>
        <w:t xml:space="preserve">Powerline </w:t>
      </w:r>
      <w:r w:rsidR="003303AA" w:rsidRPr="00D91C8D">
        <w:rPr>
          <w:rFonts w:ascii="Arial" w:eastAsia="Calibri" w:hAnsi="Arial" w:cs="Arial"/>
        </w:rPr>
        <w:t xml:space="preserve">features </w:t>
      </w:r>
      <w:r w:rsidRPr="00D91C8D">
        <w:rPr>
          <w:rFonts w:ascii="Arial" w:eastAsia="Calibri" w:hAnsi="Arial" w:cs="Arial"/>
        </w:rPr>
        <w:t xml:space="preserve">will be retired from Vicmap Features of Interest </w:t>
      </w:r>
      <w:r w:rsidR="00B20810" w:rsidRPr="00D91C8D">
        <w:rPr>
          <w:rFonts w:ascii="Arial" w:eastAsia="Calibri" w:hAnsi="Arial" w:cs="Arial"/>
        </w:rPr>
        <w:t>from 17 January 2022.</w:t>
      </w:r>
    </w:p>
    <w:p w14:paraId="2067AB7E" w14:textId="58C179BB" w:rsidR="00D111C4" w:rsidRPr="00D91C8D" w:rsidRDefault="00571DED" w:rsidP="00571DED">
      <w:pPr>
        <w:rPr>
          <w:rFonts w:eastAsia="Arial"/>
          <w:sz w:val="20"/>
          <w:szCs w:val="20"/>
          <w:lang w:val="en-US"/>
        </w:rPr>
      </w:pPr>
      <w:r w:rsidRPr="00D91C8D">
        <w:rPr>
          <w:rFonts w:eastAsia="Arial"/>
          <w:sz w:val="20"/>
          <w:szCs w:val="20"/>
          <w:lang w:val="en-US"/>
        </w:rPr>
        <w:t xml:space="preserve">Improvements to feature </w:t>
      </w:r>
      <w:r w:rsidR="00C32045" w:rsidRPr="00D91C8D">
        <w:rPr>
          <w:rFonts w:eastAsia="Arial"/>
          <w:sz w:val="20"/>
          <w:szCs w:val="20"/>
          <w:lang w:val="en-US"/>
        </w:rPr>
        <w:t>terminology</w:t>
      </w:r>
      <w:r w:rsidR="006D2F43" w:rsidRPr="00D91C8D">
        <w:rPr>
          <w:rFonts w:eastAsia="Arial"/>
          <w:sz w:val="20"/>
          <w:szCs w:val="20"/>
          <w:lang w:val="en-US"/>
        </w:rPr>
        <w:t xml:space="preserve"> </w:t>
      </w:r>
      <w:r w:rsidRPr="00D91C8D">
        <w:rPr>
          <w:rFonts w:eastAsia="Arial"/>
          <w:sz w:val="20"/>
          <w:szCs w:val="20"/>
          <w:lang w:val="en-US"/>
        </w:rPr>
        <w:t>are being made within VMRETAB Feature Catalogue</w:t>
      </w:r>
      <w:r w:rsidR="00D111C4" w:rsidRPr="00D91C8D">
        <w:rPr>
          <w:rFonts w:eastAsia="Arial"/>
          <w:sz w:val="20"/>
          <w:szCs w:val="20"/>
          <w:lang w:val="en-US"/>
        </w:rPr>
        <w:t>.</w:t>
      </w:r>
    </w:p>
    <w:p w14:paraId="41A07568" w14:textId="77777777" w:rsidR="00D5300E" w:rsidRPr="00D91C8D" w:rsidRDefault="00D5300E" w:rsidP="00DC1CA4">
      <w:pPr>
        <w:rPr>
          <w:rFonts w:eastAsia="Arial"/>
          <w:sz w:val="20"/>
          <w:szCs w:val="20"/>
        </w:rPr>
      </w:pPr>
      <w:r w:rsidRPr="00D91C8D">
        <w:rPr>
          <w:rFonts w:eastAsia="Arial"/>
          <w:sz w:val="20"/>
          <w:szCs w:val="20"/>
          <w:lang w:val="en-US"/>
        </w:rPr>
        <w:t>The Vicmap feature catalogue (VMREFTAB.FEATURE_CATALOGUE) holds feature terminology utilised by Vicmap.</w:t>
      </w:r>
    </w:p>
    <w:p w14:paraId="2FB16AB8" w14:textId="437EDF06" w:rsidR="00D5300E" w:rsidRPr="00D91C8D" w:rsidRDefault="00D5300E" w:rsidP="00571DED">
      <w:pPr>
        <w:rPr>
          <w:rFonts w:eastAsia="Arial"/>
          <w:sz w:val="20"/>
          <w:szCs w:val="20"/>
          <w:lang w:val="en-US"/>
        </w:rPr>
      </w:pPr>
      <w:r w:rsidRPr="00D91C8D">
        <w:rPr>
          <w:rFonts w:eastAsia="Arial"/>
          <w:sz w:val="20"/>
          <w:szCs w:val="20"/>
          <w:lang w:val="en-US"/>
        </w:rPr>
        <w:t xml:space="preserve">The feature terminology should align with national feature terms wherever practical. The file can be downloaded from </w:t>
      </w:r>
      <w:hyperlink r:id="rId14">
        <w:r w:rsidRPr="00D91C8D">
          <w:rPr>
            <w:rFonts w:eastAsia="Arial"/>
            <w:sz w:val="20"/>
            <w:szCs w:val="20"/>
            <w:lang w:val="en-US"/>
          </w:rPr>
          <w:t>http://services.land.vic.gov.au/reftab/</w:t>
        </w:r>
      </w:hyperlink>
    </w:p>
    <w:p w14:paraId="442AB320" w14:textId="77777777" w:rsidR="00D111C4" w:rsidRPr="00D91C8D" w:rsidRDefault="00D111C4" w:rsidP="00D111C4">
      <w:pPr>
        <w:rPr>
          <w:sz w:val="20"/>
          <w:szCs w:val="20"/>
        </w:rPr>
      </w:pPr>
      <w:r w:rsidRPr="00D91C8D">
        <w:rPr>
          <w:sz w:val="20"/>
          <w:szCs w:val="20"/>
        </w:rPr>
        <w:t>The changes are itemised in the table below:</w:t>
      </w:r>
    </w:p>
    <w:tbl>
      <w:tblPr>
        <w:tblStyle w:val="TableGrid1"/>
        <w:tblW w:w="0" w:type="auto"/>
        <w:tblLayout w:type="fixed"/>
        <w:tblLook w:val="04A0" w:firstRow="1" w:lastRow="0" w:firstColumn="1" w:lastColumn="0" w:noHBand="0" w:noVBand="1"/>
      </w:tblPr>
      <w:tblGrid>
        <w:gridCol w:w="1710"/>
        <w:gridCol w:w="1755"/>
        <w:gridCol w:w="1380"/>
        <w:gridCol w:w="4485"/>
      </w:tblGrid>
      <w:tr w:rsidR="006F1758" w:rsidRPr="00D91C8D" w14:paraId="1C72BF23" w14:textId="77777777" w:rsidTr="00DC1CA4">
        <w:trPr>
          <w:cnfStyle w:val="100000000000" w:firstRow="1" w:lastRow="0" w:firstColumn="0" w:lastColumn="0" w:oddVBand="0" w:evenVBand="0" w:oddHBand="0" w:evenHBand="0" w:firstRowFirstColumn="0" w:firstRowLastColumn="0" w:lastRowFirstColumn="0" w:lastRowLastColumn="0"/>
          <w:trHeight w:val="315"/>
        </w:trPr>
        <w:tc>
          <w:tcPr>
            <w:cnfStyle w:val="000000000100" w:firstRow="0" w:lastRow="0" w:firstColumn="0" w:lastColumn="0" w:oddVBand="0" w:evenVBand="0" w:oddHBand="0" w:evenHBand="0" w:firstRowFirstColumn="1" w:firstRowLastColumn="0" w:lastRowFirstColumn="0" w:lastRowLastColumn="0"/>
            <w:tcW w:w="0" w:type="dxa"/>
            <w:tcBorders>
              <w:top w:val="nil"/>
              <w:left w:val="nil"/>
              <w:bottom w:val="nil"/>
              <w:right w:val="nil"/>
            </w:tcBorders>
            <w:shd w:val="clear" w:color="auto" w:fill="002060"/>
          </w:tcPr>
          <w:p w14:paraId="430A0D24" w14:textId="0F45B05E" w:rsidR="006F1758" w:rsidRPr="00D91C8D" w:rsidRDefault="00F00F91" w:rsidP="006F1758">
            <w:pPr>
              <w:spacing w:before="0" w:after="0" w:line="240" w:lineRule="atLeast"/>
              <w:rPr>
                <w:rFonts w:eastAsia="Arial"/>
                <w:b/>
                <w:color w:val="FFFFFF"/>
                <w:sz w:val="18"/>
                <w:szCs w:val="18"/>
                <w:lang w:val="en-US"/>
              </w:rPr>
            </w:pPr>
            <w:r w:rsidRPr="00D91C8D">
              <w:rPr>
                <w:rFonts w:eastAsia="Arial"/>
                <w:b/>
                <w:bCs/>
                <w:color w:val="FFFFFF"/>
                <w:sz w:val="18"/>
                <w:szCs w:val="18"/>
                <w:lang w:val="en-US"/>
              </w:rPr>
              <w:t>F</w:t>
            </w:r>
            <w:r w:rsidR="006F1758" w:rsidRPr="00D91C8D">
              <w:rPr>
                <w:rFonts w:eastAsia="Arial"/>
                <w:b/>
                <w:bCs/>
                <w:color w:val="FFFFFF"/>
                <w:sz w:val="18"/>
                <w:szCs w:val="18"/>
                <w:lang w:val="en-US"/>
              </w:rPr>
              <w:t>eature</w:t>
            </w:r>
          </w:p>
        </w:tc>
        <w:tc>
          <w:tcPr>
            <w:tcW w:w="0" w:type="dxa"/>
            <w:tcBorders>
              <w:top w:val="nil"/>
              <w:left w:val="nil"/>
              <w:bottom w:val="nil"/>
              <w:right w:val="nil"/>
            </w:tcBorders>
            <w:shd w:val="clear" w:color="auto" w:fill="002060"/>
            <w:vAlign w:val="center"/>
          </w:tcPr>
          <w:p w14:paraId="73A6E7BB" w14:textId="7F8BBF3E" w:rsidR="006F1758" w:rsidRPr="00D91C8D" w:rsidRDefault="00F00F91" w:rsidP="006F1758">
            <w:pPr>
              <w:spacing w:before="0" w:after="0"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sz w:val="18"/>
                <w:szCs w:val="18"/>
                <w:lang w:val="en-US"/>
              </w:rPr>
            </w:pPr>
            <w:r w:rsidRPr="00D91C8D">
              <w:rPr>
                <w:rFonts w:eastAsia="Arial"/>
                <w:b/>
                <w:bCs/>
                <w:color w:val="FFFFFF"/>
                <w:sz w:val="18"/>
                <w:szCs w:val="18"/>
                <w:lang w:val="en-US"/>
              </w:rPr>
              <w:t>F</w:t>
            </w:r>
            <w:r w:rsidR="006F1758" w:rsidRPr="00D91C8D">
              <w:rPr>
                <w:rFonts w:eastAsia="Arial"/>
                <w:b/>
                <w:bCs/>
                <w:color w:val="FFFFFF"/>
                <w:sz w:val="18"/>
                <w:szCs w:val="18"/>
                <w:lang w:val="en-US"/>
              </w:rPr>
              <w:t>eature subtype</w:t>
            </w:r>
          </w:p>
        </w:tc>
        <w:tc>
          <w:tcPr>
            <w:tcW w:w="0" w:type="dxa"/>
            <w:tcBorders>
              <w:top w:val="nil"/>
              <w:left w:val="nil"/>
              <w:bottom w:val="nil"/>
              <w:right w:val="nil"/>
            </w:tcBorders>
            <w:shd w:val="clear" w:color="auto" w:fill="002060"/>
            <w:vAlign w:val="center"/>
          </w:tcPr>
          <w:p w14:paraId="6514DFFA" w14:textId="77777777" w:rsidR="006F1758" w:rsidRPr="00D91C8D" w:rsidRDefault="006F1758" w:rsidP="006F1758">
            <w:pPr>
              <w:spacing w:before="0" w:after="0"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sz w:val="18"/>
                <w:szCs w:val="18"/>
                <w:lang w:val="en-US"/>
              </w:rPr>
            </w:pPr>
            <w:r w:rsidRPr="00D91C8D">
              <w:rPr>
                <w:rFonts w:eastAsia="Arial"/>
                <w:b/>
                <w:bCs/>
                <w:color w:val="FFFFFF"/>
                <w:sz w:val="18"/>
                <w:szCs w:val="18"/>
                <w:lang w:val="en-US"/>
              </w:rPr>
              <w:t>Change type</w:t>
            </w:r>
          </w:p>
        </w:tc>
        <w:tc>
          <w:tcPr>
            <w:tcW w:w="0" w:type="dxa"/>
            <w:tcBorders>
              <w:top w:val="nil"/>
              <w:left w:val="nil"/>
              <w:bottom w:val="nil"/>
              <w:right w:val="nil"/>
            </w:tcBorders>
            <w:shd w:val="clear" w:color="auto" w:fill="002060"/>
            <w:vAlign w:val="center"/>
          </w:tcPr>
          <w:p w14:paraId="6CE15B26" w14:textId="77777777" w:rsidR="006F1758" w:rsidRPr="00D91C8D" w:rsidRDefault="006F1758" w:rsidP="006F1758">
            <w:pPr>
              <w:spacing w:before="0" w:after="0" w:line="240" w:lineRule="atLeast"/>
              <w:cnfStyle w:val="100000000000" w:firstRow="1" w:lastRow="0" w:firstColumn="0" w:lastColumn="0" w:oddVBand="0" w:evenVBand="0" w:oddHBand="0" w:evenHBand="0" w:firstRowFirstColumn="0" w:firstRowLastColumn="0" w:lastRowFirstColumn="0" w:lastRowLastColumn="0"/>
              <w:rPr>
                <w:rFonts w:eastAsia="Arial"/>
                <w:color w:val="363534"/>
                <w:sz w:val="18"/>
                <w:szCs w:val="18"/>
              </w:rPr>
            </w:pPr>
            <w:r w:rsidRPr="00D91C8D">
              <w:rPr>
                <w:rFonts w:eastAsia="Arial"/>
                <w:b/>
                <w:bCs/>
                <w:color w:val="FFFFFF"/>
                <w:sz w:val="18"/>
                <w:szCs w:val="18"/>
                <w:lang w:val="en-US"/>
              </w:rPr>
              <w:t>What is happening</w:t>
            </w:r>
          </w:p>
        </w:tc>
      </w:tr>
      <w:tr w:rsidR="006F1758" w:rsidRPr="00D91C8D" w14:paraId="028415B8" w14:textId="77777777" w:rsidTr="00627F5B">
        <w:trPr>
          <w:trHeight w:val="315"/>
        </w:trPr>
        <w:tc>
          <w:tcPr>
            <w:tcW w:w="1710" w:type="dxa"/>
            <w:tcBorders>
              <w:top w:val="nil"/>
              <w:left w:val="nil"/>
              <w:bottom w:val="single" w:sz="4" w:space="0" w:color="44546A"/>
              <w:right w:val="nil"/>
            </w:tcBorders>
            <w:shd w:val="clear" w:color="auto" w:fill="FFFFFF" w:themeFill="background1"/>
          </w:tcPr>
          <w:p w14:paraId="791B5EC7" w14:textId="30C7EB5B"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power line</w:t>
            </w:r>
          </w:p>
        </w:tc>
        <w:tc>
          <w:tcPr>
            <w:tcW w:w="1755" w:type="dxa"/>
            <w:tcBorders>
              <w:top w:val="nil"/>
              <w:left w:val="nil"/>
              <w:bottom w:val="single" w:sz="4" w:space="0" w:color="44546A"/>
              <w:right w:val="nil"/>
            </w:tcBorders>
            <w:shd w:val="clear" w:color="auto" w:fill="FFFFFF" w:themeFill="background1"/>
          </w:tcPr>
          <w:p w14:paraId="2A0FF9EC" w14:textId="0AB798D7"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power sub transmission</w:t>
            </w:r>
          </w:p>
        </w:tc>
        <w:tc>
          <w:tcPr>
            <w:tcW w:w="1380" w:type="dxa"/>
            <w:tcBorders>
              <w:top w:val="nil"/>
              <w:left w:val="nil"/>
              <w:bottom w:val="single" w:sz="4" w:space="0" w:color="44546A"/>
              <w:right w:val="nil"/>
            </w:tcBorders>
            <w:shd w:val="clear" w:color="auto" w:fill="FFFFFF" w:themeFill="background1"/>
          </w:tcPr>
          <w:p w14:paraId="41F38F80" w14:textId="005ED9F6" w:rsidR="006F1758" w:rsidRPr="00D91C8D" w:rsidRDefault="00174938" w:rsidP="006F1758">
            <w:pPr>
              <w:spacing w:before="0" w:after="0" w:line="240" w:lineRule="atLeast"/>
              <w:rPr>
                <w:rFonts w:eastAsia="Arial"/>
                <w:color w:val="363534"/>
                <w:sz w:val="18"/>
                <w:szCs w:val="18"/>
              </w:rPr>
            </w:pPr>
            <w:r w:rsidRPr="00D91C8D">
              <w:rPr>
                <w:rFonts w:eastAsia="Arial"/>
                <w:color w:val="363534"/>
                <w:sz w:val="18"/>
                <w:szCs w:val="18"/>
                <w:lang w:val="en-US"/>
              </w:rPr>
              <w:t>R</w:t>
            </w:r>
            <w:r w:rsidR="006F1758" w:rsidRPr="00D91C8D">
              <w:rPr>
                <w:rFonts w:eastAsia="Arial"/>
                <w:color w:val="363534"/>
                <w:sz w:val="18"/>
                <w:szCs w:val="18"/>
                <w:lang w:val="en-US"/>
              </w:rPr>
              <w:t>etire</w:t>
            </w:r>
          </w:p>
        </w:tc>
        <w:tc>
          <w:tcPr>
            <w:tcW w:w="4485" w:type="dxa"/>
            <w:tcBorders>
              <w:top w:val="nil"/>
              <w:left w:val="nil"/>
              <w:bottom w:val="single" w:sz="4" w:space="0" w:color="44546A"/>
              <w:right w:val="nil"/>
            </w:tcBorders>
            <w:shd w:val="clear" w:color="auto" w:fill="FFFFFF" w:themeFill="background1"/>
          </w:tcPr>
          <w:p w14:paraId="37D50741" w14:textId="508A47D3"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rPr>
              <w:t xml:space="preserve">Term is </w:t>
            </w:r>
            <w:r w:rsidR="003F0603" w:rsidRPr="00D91C8D">
              <w:rPr>
                <w:rFonts w:eastAsia="Arial"/>
                <w:color w:val="363534"/>
                <w:sz w:val="18"/>
                <w:szCs w:val="18"/>
              </w:rPr>
              <w:t xml:space="preserve">better described </w:t>
            </w:r>
            <w:r w:rsidR="00C114AC" w:rsidRPr="00D91C8D">
              <w:rPr>
                <w:rFonts w:eastAsia="Arial"/>
                <w:color w:val="363534"/>
                <w:sz w:val="18"/>
                <w:szCs w:val="18"/>
              </w:rPr>
              <w:t xml:space="preserve">by the new </w:t>
            </w:r>
            <w:r w:rsidR="00F61B4B" w:rsidRPr="00D91C8D">
              <w:rPr>
                <w:rFonts w:eastAsia="Arial"/>
                <w:color w:val="363534"/>
                <w:sz w:val="18"/>
                <w:szCs w:val="18"/>
              </w:rPr>
              <w:t>terms</w:t>
            </w:r>
            <w:r w:rsidR="005A033D" w:rsidRPr="00D91C8D">
              <w:rPr>
                <w:rFonts w:eastAsia="Arial"/>
                <w:color w:val="363534"/>
                <w:sz w:val="18"/>
                <w:szCs w:val="18"/>
              </w:rPr>
              <w:t xml:space="preserve"> </w:t>
            </w:r>
          </w:p>
        </w:tc>
      </w:tr>
      <w:tr w:rsidR="006F1758" w:rsidRPr="00D91C8D" w14:paraId="445D98BC" w14:textId="77777777" w:rsidTr="00627F5B">
        <w:trPr>
          <w:trHeight w:val="315"/>
        </w:trPr>
        <w:tc>
          <w:tcPr>
            <w:tcW w:w="1710" w:type="dxa"/>
            <w:tcBorders>
              <w:top w:val="single" w:sz="4" w:space="0" w:color="44546A"/>
              <w:bottom w:val="single" w:sz="4" w:space="0" w:color="44546A"/>
            </w:tcBorders>
            <w:shd w:val="clear" w:color="auto" w:fill="FFFFFF" w:themeFill="background1"/>
          </w:tcPr>
          <w:p w14:paraId="2041E3CD" w14:textId="5431817B"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power line</w:t>
            </w:r>
          </w:p>
        </w:tc>
        <w:tc>
          <w:tcPr>
            <w:tcW w:w="1755" w:type="dxa"/>
            <w:tcBorders>
              <w:top w:val="single" w:sz="4" w:space="0" w:color="44546A"/>
              <w:bottom w:val="single" w:sz="4" w:space="0" w:color="44546A"/>
            </w:tcBorders>
            <w:shd w:val="clear" w:color="auto" w:fill="FFFFFF" w:themeFill="background1"/>
          </w:tcPr>
          <w:p w14:paraId="1ACCEC8B" w14:textId="250EF97F"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 xml:space="preserve">power distribution </w:t>
            </w:r>
          </w:p>
        </w:tc>
        <w:tc>
          <w:tcPr>
            <w:tcW w:w="1380" w:type="dxa"/>
            <w:tcBorders>
              <w:top w:val="single" w:sz="4" w:space="0" w:color="44546A"/>
              <w:bottom w:val="single" w:sz="4" w:space="0" w:color="44546A"/>
            </w:tcBorders>
            <w:shd w:val="clear" w:color="auto" w:fill="FFFFFF" w:themeFill="background1"/>
          </w:tcPr>
          <w:p w14:paraId="429B5C66" w14:textId="51DC5BCD" w:rsidR="006F1758" w:rsidRPr="00D91C8D" w:rsidRDefault="00174938" w:rsidP="006F1758">
            <w:pPr>
              <w:spacing w:before="0" w:after="0" w:line="240" w:lineRule="atLeast"/>
              <w:rPr>
                <w:rFonts w:eastAsia="Arial"/>
                <w:color w:val="363534"/>
                <w:sz w:val="18"/>
                <w:szCs w:val="18"/>
              </w:rPr>
            </w:pPr>
            <w:r w:rsidRPr="00D91C8D">
              <w:rPr>
                <w:rFonts w:eastAsia="Arial"/>
                <w:color w:val="363534"/>
                <w:sz w:val="18"/>
                <w:szCs w:val="18"/>
                <w:lang w:val="en-US"/>
              </w:rPr>
              <w:t>R</w:t>
            </w:r>
            <w:r w:rsidR="006F1758" w:rsidRPr="00D91C8D">
              <w:rPr>
                <w:rFonts w:eastAsia="Arial"/>
                <w:color w:val="363534"/>
                <w:sz w:val="18"/>
                <w:szCs w:val="18"/>
                <w:lang w:val="en-US"/>
              </w:rPr>
              <w:t>etire</w:t>
            </w:r>
          </w:p>
        </w:tc>
        <w:tc>
          <w:tcPr>
            <w:tcW w:w="4485" w:type="dxa"/>
            <w:tcBorders>
              <w:top w:val="single" w:sz="4" w:space="0" w:color="44546A"/>
              <w:bottom w:val="single" w:sz="4" w:space="0" w:color="44546A"/>
            </w:tcBorders>
            <w:shd w:val="clear" w:color="auto" w:fill="FFFFFF" w:themeFill="background1"/>
          </w:tcPr>
          <w:p w14:paraId="5D348EF8" w14:textId="77777777"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Term is better described by the new terms</w:t>
            </w:r>
          </w:p>
        </w:tc>
      </w:tr>
      <w:tr w:rsidR="006F1758" w:rsidRPr="00D91C8D" w14:paraId="2E1CCCC4" w14:textId="77777777" w:rsidTr="00627F5B">
        <w:trPr>
          <w:trHeight w:val="315"/>
        </w:trPr>
        <w:tc>
          <w:tcPr>
            <w:tcW w:w="1710" w:type="dxa"/>
            <w:tcBorders>
              <w:top w:val="single" w:sz="4" w:space="0" w:color="44546A"/>
              <w:left w:val="nil"/>
              <w:bottom w:val="single" w:sz="4" w:space="0" w:color="44546A"/>
              <w:right w:val="nil"/>
            </w:tcBorders>
            <w:shd w:val="clear" w:color="auto" w:fill="FFFFFF" w:themeFill="background1"/>
          </w:tcPr>
          <w:p w14:paraId="55B93990" w14:textId="052FE88B" w:rsidR="006F1758" w:rsidRPr="00D91C8D" w:rsidRDefault="006F1758" w:rsidP="006F1758">
            <w:pPr>
              <w:spacing w:before="0" w:after="0" w:line="240" w:lineRule="atLeast"/>
              <w:rPr>
                <w:rFonts w:eastAsia="Arial"/>
                <w:color w:val="363534"/>
                <w:sz w:val="18"/>
                <w:szCs w:val="18"/>
              </w:rPr>
            </w:pPr>
            <w:bookmarkStart w:id="0" w:name="_Hlk83977019"/>
            <w:r w:rsidRPr="00D91C8D">
              <w:rPr>
                <w:rFonts w:eastAsia="Arial"/>
                <w:color w:val="363534"/>
                <w:sz w:val="18"/>
                <w:szCs w:val="18"/>
                <w:lang w:val="en-US"/>
              </w:rPr>
              <w:t>power line</w:t>
            </w:r>
          </w:p>
        </w:tc>
        <w:tc>
          <w:tcPr>
            <w:tcW w:w="1755" w:type="dxa"/>
            <w:tcBorders>
              <w:top w:val="single" w:sz="4" w:space="0" w:color="44546A"/>
              <w:left w:val="nil"/>
              <w:bottom w:val="single" w:sz="4" w:space="0" w:color="44546A"/>
              <w:right w:val="nil"/>
            </w:tcBorders>
            <w:shd w:val="clear" w:color="auto" w:fill="FFFFFF" w:themeFill="background1"/>
          </w:tcPr>
          <w:p w14:paraId="3DE23E47" w14:textId="77D6AD2B" w:rsidR="006F1758" w:rsidRPr="00D91C8D" w:rsidRDefault="006F1758" w:rsidP="006F1758">
            <w:pPr>
              <w:spacing w:before="0" w:after="0" w:line="240" w:lineRule="atLeast"/>
              <w:rPr>
                <w:rFonts w:eastAsia="Arial"/>
                <w:color w:val="363534"/>
                <w:sz w:val="18"/>
                <w:szCs w:val="18"/>
                <w:lang w:val="en-US"/>
              </w:rPr>
            </w:pPr>
            <w:r w:rsidRPr="00D91C8D">
              <w:rPr>
                <w:rFonts w:eastAsia="Arial"/>
                <w:color w:val="363534"/>
                <w:sz w:val="18"/>
                <w:szCs w:val="18"/>
                <w:lang w:val="en-US"/>
              </w:rPr>
              <w:t>power distribution hv</w:t>
            </w:r>
          </w:p>
        </w:tc>
        <w:tc>
          <w:tcPr>
            <w:tcW w:w="1380" w:type="dxa"/>
            <w:tcBorders>
              <w:top w:val="single" w:sz="4" w:space="0" w:color="44546A"/>
              <w:left w:val="nil"/>
              <w:bottom w:val="single" w:sz="4" w:space="0" w:color="44546A"/>
              <w:right w:val="nil"/>
            </w:tcBorders>
            <w:shd w:val="clear" w:color="auto" w:fill="FFFFFF" w:themeFill="background1"/>
          </w:tcPr>
          <w:p w14:paraId="2B7BF207" w14:textId="77777777"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Add</w:t>
            </w:r>
          </w:p>
        </w:tc>
        <w:tc>
          <w:tcPr>
            <w:tcW w:w="4485" w:type="dxa"/>
            <w:tcBorders>
              <w:top w:val="single" w:sz="4" w:space="0" w:color="44546A"/>
              <w:left w:val="nil"/>
              <w:bottom w:val="single" w:sz="4" w:space="0" w:color="44546A"/>
              <w:right w:val="nil"/>
            </w:tcBorders>
            <w:shd w:val="clear" w:color="auto" w:fill="FFFFFF" w:themeFill="background1"/>
          </w:tcPr>
          <w:p w14:paraId="4D00ADEA" w14:textId="0DBAB27A"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Line representing the extent of the</w:t>
            </w:r>
            <w:r w:rsidR="00CD2634" w:rsidRPr="00D91C8D">
              <w:rPr>
                <w:rFonts w:eastAsia="Arial"/>
                <w:color w:val="363534"/>
                <w:sz w:val="18"/>
                <w:szCs w:val="18"/>
                <w:lang w:val="en-US"/>
              </w:rPr>
              <w:t xml:space="preserve"> </w:t>
            </w:r>
            <w:r w:rsidR="00B71E59" w:rsidRPr="00D91C8D">
              <w:rPr>
                <w:rFonts w:eastAsia="Arial"/>
                <w:color w:val="363534"/>
                <w:sz w:val="18"/>
                <w:szCs w:val="18"/>
                <w:lang w:val="en-US"/>
              </w:rPr>
              <w:t xml:space="preserve">High Voltage </w:t>
            </w:r>
            <w:r w:rsidR="00CD2634" w:rsidRPr="00D91C8D">
              <w:rPr>
                <w:rFonts w:eastAsia="Arial"/>
                <w:color w:val="363534"/>
                <w:sz w:val="18"/>
                <w:szCs w:val="18"/>
                <w:lang w:val="en-US"/>
              </w:rPr>
              <w:t>(HV)</w:t>
            </w:r>
            <w:r w:rsidR="00B71E59" w:rsidRPr="00D91C8D">
              <w:rPr>
                <w:rFonts w:eastAsia="Arial"/>
                <w:color w:val="363534"/>
                <w:sz w:val="18"/>
                <w:szCs w:val="18"/>
                <w:lang w:val="en-US"/>
              </w:rPr>
              <w:t xml:space="preserve"> </w:t>
            </w:r>
            <w:r w:rsidR="00087412" w:rsidRPr="00D91C8D">
              <w:rPr>
                <w:rFonts w:eastAsia="Arial"/>
                <w:color w:val="363534"/>
                <w:sz w:val="18"/>
                <w:szCs w:val="18"/>
                <w:lang w:val="en-US"/>
              </w:rPr>
              <w:t xml:space="preserve">distribution </w:t>
            </w:r>
            <w:r w:rsidR="00A91667" w:rsidRPr="00D91C8D">
              <w:rPr>
                <w:rFonts w:eastAsia="Arial"/>
                <w:color w:val="363534"/>
                <w:sz w:val="18"/>
                <w:szCs w:val="18"/>
                <w:lang w:val="en-US"/>
              </w:rPr>
              <w:t>power</w:t>
            </w:r>
            <w:r w:rsidR="00087412" w:rsidRPr="00D91C8D">
              <w:rPr>
                <w:rFonts w:eastAsia="Arial"/>
                <w:color w:val="363534"/>
                <w:sz w:val="18"/>
                <w:szCs w:val="18"/>
                <w:lang w:val="en-US"/>
              </w:rPr>
              <w:t>line</w:t>
            </w:r>
            <w:r w:rsidRPr="00D91C8D">
              <w:rPr>
                <w:rFonts w:eastAsia="Arial"/>
                <w:color w:val="363534"/>
                <w:sz w:val="18"/>
                <w:szCs w:val="18"/>
                <w:lang w:val="en-US"/>
              </w:rPr>
              <w:t xml:space="preserve"> feature</w:t>
            </w:r>
            <w:r w:rsidR="006A7C14" w:rsidRPr="00D91C8D">
              <w:rPr>
                <w:rFonts w:eastAsia="Arial"/>
                <w:color w:val="363534"/>
                <w:sz w:val="18"/>
                <w:szCs w:val="18"/>
                <w:lang w:val="en-US"/>
              </w:rPr>
              <w:t>.</w:t>
            </w:r>
            <w:r w:rsidR="00D46B39" w:rsidRPr="00D91C8D">
              <w:rPr>
                <w:rFonts w:eastAsia="Arial"/>
                <w:color w:val="363534"/>
                <w:sz w:val="18"/>
                <w:szCs w:val="18"/>
                <w:lang w:val="en-US"/>
              </w:rPr>
              <w:t xml:space="preserve"> </w:t>
            </w:r>
          </w:p>
        </w:tc>
      </w:tr>
      <w:bookmarkEnd w:id="0"/>
      <w:tr w:rsidR="006F1758" w:rsidRPr="00D91C8D" w14:paraId="0BD7BAC5" w14:textId="77777777" w:rsidTr="00627F5B">
        <w:trPr>
          <w:trHeight w:val="315"/>
        </w:trPr>
        <w:tc>
          <w:tcPr>
            <w:tcW w:w="1710" w:type="dxa"/>
            <w:tcBorders>
              <w:top w:val="single" w:sz="4" w:space="0" w:color="44546A"/>
              <w:left w:val="nil"/>
              <w:bottom w:val="single" w:sz="6" w:space="0" w:color="auto"/>
              <w:right w:val="nil"/>
            </w:tcBorders>
            <w:shd w:val="clear" w:color="auto" w:fill="FFFFFF" w:themeFill="background1"/>
          </w:tcPr>
          <w:p w14:paraId="21E83E1E" w14:textId="215EBEEC"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power line</w:t>
            </w:r>
          </w:p>
        </w:tc>
        <w:tc>
          <w:tcPr>
            <w:tcW w:w="1755" w:type="dxa"/>
            <w:tcBorders>
              <w:top w:val="single" w:sz="4" w:space="0" w:color="44546A"/>
              <w:left w:val="nil"/>
              <w:bottom w:val="single" w:sz="6" w:space="0" w:color="auto"/>
              <w:right w:val="nil"/>
            </w:tcBorders>
            <w:shd w:val="clear" w:color="auto" w:fill="FFFFFF" w:themeFill="background1"/>
          </w:tcPr>
          <w:p w14:paraId="65A3C03D" w14:textId="459483BF" w:rsidR="006F1758" w:rsidRPr="00D91C8D" w:rsidRDefault="006F1758" w:rsidP="006F1758">
            <w:pPr>
              <w:spacing w:before="0" w:after="0" w:line="240" w:lineRule="atLeast"/>
              <w:rPr>
                <w:rFonts w:eastAsia="Arial"/>
                <w:color w:val="363534"/>
                <w:sz w:val="18"/>
                <w:szCs w:val="18"/>
                <w:lang w:val="en-US"/>
              </w:rPr>
            </w:pPr>
            <w:r w:rsidRPr="00D91C8D">
              <w:rPr>
                <w:rFonts w:eastAsia="Arial"/>
                <w:color w:val="363534"/>
                <w:sz w:val="18"/>
                <w:szCs w:val="18"/>
                <w:lang w:val="en-US"/>
              </w:rPr>
              <w:t>power distribution lv</w:t>
            </w:r>
          </w:p>
        </w:tc>
        <w:tc>
          <w:tcPr>
            <w:tcW w:w="1380" w:type="dxa"/>
            <w:tcBorders>
              <w:top w:val="single" w:sz="4" w:space="0" w:color="44546A"/>
              <w:left w:val="nil"/>
              <w:bottom w:val="single" w:sz="6" w:space="0" w:color="auto"/>
              <w:right w:val="nil"/>
            </w:tcBorders>
            <w:shd w:val="clear" w:color="auto" w:fill="FFFFFF" w:themeFill="background1"/>
          </w:tcPr>
          <w:p w14:paraId="5612DEF7" w14:textId="77777777"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Add</w:t>
            </w:r>
          </w:p>
        </w:tc>
        <w:tc>
          <w:tcPr>
            <w:tcW w:w="4485" w:type="dxa"/>
            <w:tcBorders>
              <w:top w:val="single" w:sz="4" w:space="0" w:color="44546A"/>
              <w:left w:val="nil"/>
              <w:bottom w:val="single" w:sz="6" w:space="0" w:color="auto"/>
              <w:right w:val="nil"/>
            </w:tcBorders>
            <w:shd w:val="clear" w:color="auto" w:fill="FFFFFF" w:themeFill="background1"/>
          </w:tcPr>
          <w:p w14:paraId="2D009EC5" w14:textId="45DC0B9A" w:rsidR="006F1758" w:rsidRPr="00D91C8D" w:rsidRDefault="006F1758" w:rsidP="006F1758">
            <w:pPr>
              <w:spacing w:before="0" w:after="0" w:line="240" w:lineRule="atLeast"/>
              <w:rPr>
                <w:rFonts w:eastAsia="Arial"/>
                <w:color w:val="363534"/>
                <w:sz w:val="18"/>
                <w:szCs w:val="18"/>
              </w:rPr>
            </w:pPr>
            <w:r w:rsidRPr="00D91C8D">
              <w:rPr>
                <w:rFonts w:eastAsia="Arial"/>
                <w:color w:val="363534"/>
                <w:sz w:val="18"/>
                <w:szCs w:val="18"/>
                <w:lang w:val="en-US"/>
              </w:rPr>
              <w:t>Line representing the extent of the</w:t>
            </w:r>
            <w:r w:rsidR="00A91667" w:rsidRPr="00D91C8D">
              <w:rPr>
                <w:rFonts w:eastAsia="Arial"/>
                <w:color w:val="363534"/>
                <w:sz w:val="18"/>
                <w:szCs w:val="18"/>
                <w:lang w:val="en-US"/>
              </w:rPr>
              <w:t xml:space="preserve"> </w:t>
            </w:r>
            <w:r w:rsidR="00CD2634" w:rsidRPr="00D91C8D">
              <w:rPr>
                <w:rFonts w:eastAsia="Arial"/>
                <w:color w:val="363534"/>
                <w:sz w:val="18"/>
                <w:szCs w:val="18"/>
                <w:lang w:val="en-US"/>
              </w:rPr>
              <w:t xml:space="preserve">Low </w:t>
            </w:r>
            <w:r w:rsidR="00864B59" w:rsidRPr="00D91C8D">
              <w:rPr>
                <w:rFonts w:eastAsia="Arial"/>
                <w:color w:val="363534"/>
                <w:sz w:val="18"/>
                <w:szCs w:val="18"/>
                <w:lang w:val="en-US"/>
              </w:rPr>
              <w:t xml:space="preserve">Voltage </w:t>
            </w:r>
            <w:r w:rsidR="00CD2634" w:rsidRPr="00D91C8D">
              <w:rPr>
                <w:rFonts w:eastAsia="Arial"/>
                <w:color w:val="363534"/>
                <w:sz w:val="18"/>
                <w:szCs w:val="18"/>
                <w:lang w:val="en-US"/>
              </w:rPr>
              <w:t xml:space="preserve">(LV) </w:t>
            </w:r>
            <w:r w:rsidR="00864B59" w:rsidRPr="00D91C8D">
              <w:rPr>
                <w:rFonts w:eastAsia="Arial"/>
                <w:color w:val="363534"/>
                <w:sz w:val="18"/>
                <w:szCs w:val="18"/>
                <w:lang w:val="en-US"/>
              </w:rPr>
              <w:t xml:space="preserve">distribution powerline feature. </w:t>
            </w:r>
          </w:p>
        </w:tc>
      </w:tr>
    </w:tbl>
    <w:p w14:paraId="4C7D8A12" w14:textId="7C6CF686" w:rsidR="00212D2D" w:rsidRPr="00D91C8D" w:rsidRDefault="00212D2D" w:rsidP="00212D2D">
      <w:pPr>
        <w:pStyle w:val="Caption"/>
      </w:pPr>
      <w:r w:rsidRPr="00D91C8D">
        <w:t xml:space="preserve">Table </w:t>
      </w:r>
      <w:r w:rsidRPr="00D91C8D">
        <w:fldChar w:fldCharType="begin"/>
      </w:r>
      <w:r w:rsidRPr="00D91C8D">
        <w:instrText>SEQ Table \* ARABIC</w:instrText>
      </w:r>
      <w:r w:rsidRPr="00D91C8D">
        <w:fldChar w:fldCharType="separate"/>
      </w:r>
      <w:r w:rsidRPr="00D91C8D">
        <w:rPr>
          <w:noProof/>
        </w:rPr>
        <w:t>1</w:t>
      </w:r>
      <w:r w:rsidRPr="00D91C8D">
        <w:fldChar w:fldCharType="end"/>
      </w:r>
      <w:r w:rsidRPr="00D91C8D">
        <w:t xml:space="preserve"> Vicmap Powerline updates</w:t>
      </w:r>
    </w:p>
    <w:p w14:paraId="629472B0" w14:textId="159AE440" w:rsidR="00464E6F" w:rsidRPr="00D91C8D" w:rsidRDefault="005F453F" w:rsidP="005F453F">
      <w:pPr>
        <w:rPr>
          <w:rStyle w:val="Heading2Char"/>
          <w:b/>
          <w:bCs/>
          <w:sz w:val="22"/>
          <w:szCs w:val="22"/>
        </w:rPr>
      </w:pPr>
      <w:r w:rsidRPr="00D91C8D">
        <w:rPr>
          <w:rStyle w:val="Heading2Char"/>
          <w:b/>
          <w:bCs/>
          <w:sz w:val="22"/>
          <w:szCs w:val="22"/>
        </w:rPr>
        <w:t>Why is this c</w:t>
      </w:r>
      <w:r w:rsidR="00B026A1" w:rsidRPr="00D91C8D">
        <w:rPr>
          <w:rStyle w:val="Heading2Char"/>
          <w:b/>
          <w:bCs/>
          <w:sz w:val="22"/>
          <w:szCs w:val="22"/>
        </w:rPr>
        <w:t>hange occurring</w:t>
      </w:r>
      <w:r w:rsidR="00F00F91" w:rsidRPr="00D91C8D">
        <w:rPr>
          <w:rStyle w:val="Heading2Char"/>
          <w:b/>
          <w:bCs/>
          <w:sz w:val="22"/>
          <w:szCs w:val="22"/>
        </w:rPr>
        <w:t>?</w:t>
      </w:r>
    </w:p>
    <w:p w14:paraId="6C2F3E1B" w14:textId="7259CD90" w:rsidR="00AD48CB" w:rsidRPr="00D91C8D" w:rsidRDefault="603B4C01" w:rsidP="7204E61B">
      <w:pPr>
        <w:pStyle w:val="Body"/>
        <w:rPr>
          <w:rFonts w:ascii="Arial" w:eastAsia="Calibri" w:hAnsi="Arial" w:cs="Arial"/>
        </w:rPr>
      </w:pPr>
      <w:r w:rsidRPr="00D91C8D">
        <w:rPr>
          <w:rFonts w:ascii="Arial" w:eastAsia="Calibri" w:hAnsi="Arial" w:cs="Arial"/>
        </w:rPr>
        <w:t xml:space="preserve">Victoria is served by five electricity distribution companies, namely Powercor, United Energy, CitiPower, Jemena and Ausnet. </w:t>
      </w:r>
      <w:r w:rsidR="00815671" w:rsidRPr="00D91C8D">
        <w:rPr>
          <w:rFonts w:ascii="Arial" w:eastAsia="Calibri" w:hAnsi="Arial" w:cs="Arial"/>
        </w:rPr>
        <w:t>A new custodianship agreement has recently been put in place with each of the five electricity distributors</w:t>
      </w:r>
      <w:r w:rsidR="00C71E1C" w:rsidRPr="00D91C8D">
        <w:rPr>
          <w:rFonts w:ascii="Arial" w:eastAsia="Calibri" w:hAnsi="Arial" w:cs="Arial"/>
        </w:rPr>
        <w:t xml:space="preserve"> to supply above ground powerline data annually.</w:t>
      </w:r>
      <w:r w:rsidR="00B71847" w:rsidRPr="00D91C8D">
        <w:rPr>
          <w:rFonts w:ascii="Arial" w:eastAsia="Calibri" w:hAnsi="Arial" w:cs="Arial"/>
        </w:rPr>
        <w:t xml:space="preserve"> </w:t>
      </w:r>
    </w:p>
    <w:p w14:paraId="06F890F6" w14:textId="1167D646" w:rsidR="00344E94" w:rsidRPr="00D91C8D" w:rsidRDefault="603B4C01" w:rsidP="7204E61B">
      <w:pPr>
        <w:pStyle w:val="Body"/>
        <w:rPr>
          <w:rFonts w:ascii="Arial" w:eastAsia="Calibri" w:hAnsi="Arial" w:cs="Arial"/>
        </w:rPr>
      </w:pPr>
      <w:r w:rsidRPr="00D91C8D">
        <w:rPr>
          <w:rFonts w:ascii="Arial" w:eastAsia="Calibri" w:hAnsi="Arial" w:cs="Arial"/>
        </w:rPr>
        <w:t>Th</w:t>
      </w:r>
      <w:r w:rsidR="0066289F" w:rsidRPr="00D91C8D">
        <w:rPr>
          <w:rFonts w:ascii="Arial" w:eastAsia="Calibri" w:hAnsi="Arial" w:cs="Arial"/>
        </w:rPr>
        <w:t>is</w:t>
      </w:r>
      <w:r w:rsidRPr="00D91C8D">
        <w:rPr>
          <w:rFonts w:ascii="Arial" w:eastAsia="Calibri" w:hAnsi="Arial" w:cs="Arial"/>
        </w:rPr>
        <w:t xml:space="preserve"> data</w:t>
      </w:r>
      <w:r w:rsidR="00303B2C" w:rsidRPr="00D91C8D">
        <w:rPr>
          <w:rFonts w:ascii="Arial" w:eastAsia="Calibri" w:hAnsi="Arial" w:cs="Arial"/>
        </w:rPr>
        <w:t xml:space="preserve">set </w:t>
      </w:r>
      <w:r w:rsidR="00B1062B" w:rsidRPr="00D91C8D">
        <w:rPr>
          <w:rFonts w:ascii="Arial" w:eastAsia="Calibri" w:hAnsi="Arial" w:cs="Arial"/>
        </w:rPr>
        <w:t xml:space="preserve">will be the first component of the new Vicmap Infrastructure </w:t>
      </w:r>
      <w:r w:rsidR="00E91E23" w:rsidRPr="00D91C8D">
        <w:rPr>
          <w:rFonts w:ascii="Arial" w:eastAsia="Calibri" w:hAnsi="Arial" w:cs="Arial"/>
        </w:rPr>
        <w:t>product</w:t>
      </w:r>
      <w:r w:rsidRPr="00D91C8D">
        <w:rPr>
          <w:rFonts w:ascii="Arial" w:eastAsia="Calibri" w:hAnsi="Arial" w:cs="Arial"/>
        </w:rPr>
        <w:t>.</w:t>
      </w:r>
      <w:r w:rsidR="00DF7981" w:rsidRPr="00D91C8D">
        <w:rPr>
          <w:rFonts w:ascii="Arial" w:eastAsia="Calibri" w:hAnsi="Arial" w:cs="Arial"/>
        </w:rPr>
        <w:t xml:space="preserve"> </w:t>
      </w:r>
      <w:r w:rsidR="00344E94" w:rsidRPr="00D91C8D">
        <w:rPr>
          <w:rFonts w:ascii="Arial" w:eastAsia="Calibri" w:hAnsi="Arial" w:cs="Arial"/>
        </w:rPr>
        <w:t xml:space="preserve">Powerline </w:t>
      </w:r>
      <w:r w:rsidR="00176769" w:rsidRPr="00D91C8D">
        <w:rPr>
          <w:rFonts w:ascii="Arial" w:eastAsia="Calibri" w:hAnsi="Arial" w:cs="Arial"/>
        </w:rPr>
        <w:t>features</w:t>
      </w:r>
      <w:r w:rsidR="00344E94" w:rsidRPr="00D91C8D">
        <w:rPr>
          <w:rFonts w:ascii="Arial" w:eastAsia="Calibri" w:hAnsi="Arial" w:cs="Arial"/>
        </w:rPr>
        <w:t xml:space="preserve"> </w:t>
      </w:r>
      <w:r w:rsidR="00005DFE" w:rsidRPr="00D91C8D">
        <w:rPr>
          <w:rFonts w:ascii="Arial" w:eastAsia="Calibri" w:hAnsi="Arial" w:cs="Arial"/>
        </w:rPr>
        <w:t>in</w:t>
      </w:r>
      <w:r w:rsidR="003754B2" w:rsidRPr="00D91C8D">
        <w:rPr>
          <w:rFonts w:ascii="Arial" w:eastAsia="Calibri" w:hAnsi="Arial" w:cs="Arial"/>
        </w:rPr>
        <w:t xml:space="preserve"> the Vicmap Features of Interest </w:t>
      </w:r>
      <w:r w:rsidR="00005DFE" w:rsidRPr="00D91C8D">
        <w:rPr>
          <w:rFonts w:ascii="Arial" w:eastAsia="Calibri" w:hAnsi="Arial" w:cs="Arial"/>
        </w:rPr>
        <w:t>product</w:t>
      </w:r>
      <w:r w:rsidR="00344E94" w:rsidRPr="00D91C8D">
        <w:rPr>
          <w:rFonts w:ascii="Arial" w:eastAsia="Calibri" w:hAnsi="Arial" w:cs="Arial"/>
        </w:rPr>
        <w:t xml:space="preserve"> </w:t>
      </w:r>
      <w:r w:rsidR="00005DFE" w:rsidRPr="00D91C8D">
        <w:rPr>
          <w:rFonts w:ascii="Arial" w:eastAsia="Calibri" w:hAnsi="Arial" w:cs="Arial"/>
        </w:rPr>
        <w:t xml:space="preserve">will </w:t>
      </w:r>
      <w:r w:rsidR="00344E94" w:rsidRPr="00D91C8D">
        <w:rPr>
          <w:rFonts w:ascii="Arial" w:eastAsia="Calibri" w:hAnsi="Arial" w:cs="Arial"/>
        </w:rPr>
        <w:t>be</w:t>
      </w:r>
      <w:r w:rsidR="00005DFE" w:rsidRPr="00D91C8D">
        <w:rPr>
          <w:rFonts w:ascii="Arial" w:eastAsia="Calibri" w:hAnsi="Arial" w:cs="Arial"/>
        </w:rPr>
        <w:t xml:space="preserve"> </w:t>
      </w:r>
      <w:r w:rsidR="00344E94" w:rsidRPr="00D91C8D">
        <w:rPr>
          <w:rFonts w:ascii="Arial" w:eastAsia="Calibri" w:hAnsi="Arial" w:cs="Arial"/>
        </w:rPr>
        <w:t xml:space="preserve">retired as </w:t>
      </w:r>
      <w:r w:rsidR="00176769" w:rsidRPr="00D91C8D">
        <w:rPr>
          <w:rFonts w:ascii="Arial" w:eastAsia="Calibri" w:hAnsi="Arial" w:cs="Arial"/>
        </w:rPr>
        <w:t xml:space="preserve">they are </w:t>
      </w:r>
      <w:r w:rsidR="00005DFE" w:rsidRPr="00D91C8D">
        <w:rPr>
          <w:rFonts w:ascii="Arial" w:eastAsia="Calibri" w:hAnsi="Arial" w:cs="Arial"/>
        </w:rPr>
        <w:t>now better represented in V</w:t>
      </w:r>
      <w:r w:rsidR="00DB39A2" w:rsidRPr="00D91C8D">
        <w:rPr>
          <w:rFonts w:ascii="Arial" w:eastAsia="Calibri" w:hAnsi="Arial" w:cs="Arial"/>
        </w:rPr>
        <w:t>icmap Infrastructure</w:t>
      </w:r>
      <w:r w:rsidR="00AC719E" w:rsidRPr="00D91C8D">
        <w:rPr>
          <w:rFonts w:ascii="Arial" w:eastAsia="Calibri" w:hAnsi="Arial" w:cs="Arial"/>
        </w:rPr>
        <w:t xml:space="preserve"> as a </w:t>
      </w:r>
      <w:r w:rsidR="00417D5D" w:rsidRPr="00D91C8D">
        <w:rPr>
          <w:rFonts w:ascii="Arial" w:eastAsia="Calibri" w:hAnsi="Arial" w:cs="Arial"/>
        </w:rPr>
        <w:t xml:space="preserve">current and </w:t>
      </w:r>
      <w:r w:rsidR="00AC719E" w:rsidRPr="00D91C8D">
        <w:rPr>
          <w:rFonts w:ascii="Arial" w:eastAsia="Calibri" w:hAnsi="Arial" w:cs="Arial"/>
        </w:rPr>
        <w:t xml:space="preserve">complete </w:t>
      </w:r>
      <w:r w:rsidR="0082677D" w:rsidRPr="00D91C8D">
        <w:rPr>
          <w:rFonts w:ascii="Arial" w:eastAsia="Calibri" w:hAnsi="Arial" w:cs="Arial"/>
        </w:rPr>
        <w:t>dataset.</w:t>
      </w:r>
      <w:r w:rsidR="0072778B" w:rsidRPr="00D91C8D">
        <w:rPr>
          <w:rFonts w:ascii="Arial" w:eastAsia="Calibri" w:hAnsi="Arial" w:cs="Arial"/>
        </w:rPr>
        <w:t xml:space="preserve"> </w:t>
      </w:r>
      <w:r w:rsidR="00815671" w:rsidRPr="00D91C8D">
        <w:rPr>
          <w:rFonts w:ascii="Arial" w:eastAsia="Calibri" w:hAnsi="Arial" w:cs="Arial"/>
        </w:rPr>
        <w:t>A new custodianship agreement has recently been put in place with each of the five electricity distributors</w:t>
      </w:r>
      <w:r w:rsidR="00C71E1C" w:rsidRPr="00D91C8D">
        <w:rPr>
          <w:rFonts w:ascii="Arial" w:eastAsia="Calibri" w:hAnsi="Arial" w:cs="Arial"/>
        </w:rPr>
        <w:t xml:space="preserve"> to supply above ground powerline data annually.</w:t>
      </w:r>
      <w:r w:rsidR="00B71847" w:rsidRPr="00D91C8D">
        <w:rPr>
          <w:rFonts w:ascii="Arial" w:eastAsia="Calibri" w:hAnsi="Arial" w:cs="Arial"/>
        </w:rPr>
        <w:t xml:space="preserve"> </w:t>
      </w:r>
      <w:r w:rsidRPr="00D91C8D">
        <w:rPr>
          <w:rFonts w:ascii="Arial" w:eastAsia="Calibri" w:hAnsi="Arial" w:cs="Arial"/>
        </w:rPr>
        <w:t>Th</w:t>
      </w:r>
      <w:r w:rsidR="0066289F" w:rsidRPr="00D91C8D">
        <w:rPr>
          <w:rFonts w:ascii="Arial" w:eastAsia="Calibri" w:hAnsi="Arial" w:cs="Arial"/>
        </w:rPr>
        <w:t>is</w:t>
      </w:r>
      <w:r w:rsidRPr="00D91C8D">
        <w:rPr>
          <w:rFonts w:ascii="Arial" w:eastAsia="Calibri" w:hAnsi="Arial" w:cs="Arial"/>
        </w:rPr>
        <w:t xml:space="preserve"> data</w:t>
      </w:r>
      <w:r w:rsidR="00303B2C" w:rsidRPr="00D91C8D">
        <w:rPr>
          <w:rFonts w:ascii="Arial" w:eastAsia="Calibri" w:hAnsi="Arial" w:cs="Arial"/>
        </w:rPr>
        <w:t xml:space="preserve">set </w:t>
      </w:r>
      <w:r w:rsidR="00B1062B" w:rsidRPr="00D91C8D">
        <w:rPr>
          <w:rFonts w:ascii="Arial" w:eastAsia="Calibri" w:hAnsi="Arial" w:cs="Arial"/>
        </w:rPr>
        <w:t xml:space="preserve">will be the first component of the new Vicmap Infrastructure data theme and </w:t>
      </w:r>
      <w:r w:rsidR="00B71847" w:rsidRPr="00D91C8D">
        <w:rPr>
          <w:rFonts w:ascii="Arial" w:eastAsia="Calibri" w:hAnsi="Arial" w:cs="Arial"/>
        </w:rPr>
        <w:t xml:space="preserve">will </w:t>
      </w:r>
      <w:r w:rsidRPr="00D91C8D">
        <w:rPr>
          <w:rFonts w:ascii="Arial" w:eastAsia="Calibri" w:hAnsi="Arial" w:cs="Arial"/>
        </w:rPr>
        <w:t xml:space="preserve">aid pilots and aeronautical businesses to assess the dangers of undertaking low flying activities like crop dusting and emergency response. </w:t>
      </w:r>
    </w:p>
    <w:p w14:paraId="13C64898" w14:textId="027EC300" w:rsidR="00EC5FE3" w:rsidRPr="00D91C8D" w:rsidRDefault="00344E94" w:rsidP="00DC1CA4">
      <w:r w:rsidRPr="00D91C8D">
        <w:rPr>
          <w:sz w:val="20"/>
          <w:szCs w:val="20"/>
        </w:rPr>
        <w:t xml:space="preserve">Powerline data </w:t>
      </w:r>
      <w:r w:rsidR="003754B2" w:rsidRPr="00D91C8D">
        <w:rPr>
          <w:sz w:val="20"/>
          <w:szCs w:val="20"/>
        </w:rPr>
        <w:t>under the Vicmap Features of Interest theme</w:t>
      </w:r>
      <w:r w:rsidRPr="00D91C8D">
        <w:rPr>
          <w:sz w:val="20"/>
          <w:szCs w:val="20"/>
        </w:rPr>
        <w:t xml:space="preserve"> will be retired as it is out of date and only shows high voltage transmission lines. </w:t>
      </w:r>
    </w:p>
    <w:p w14:paraId="2873C4B6" w14:textId="77777777" w:rsidR="003228AF" w:rsidRDefault="003228AF" w:rsidP="00F203CB">
      <w:pPr>
        <w:rPr>
          <w:rFonts w:eastAsia="Calibri"/>
          <w:b/>
          <w:bCs/>
          <w:color w:val="auto"/>
          <w:sz w:val="22"/>
          <w:szCs w:val="22"/>
        </w:rPr>
      </w:pPr>
    </w:p>
    <w:p w14:paraId="48E26274" w14:textId="00BE87FE" w:rsidR="00F203CB" w:rsidRPr="00D91C8D" w:rsidRDefault="00F203CB" w:rsidP="00F203CB">
      <w:pPr>
        <w:rPr>
          <w:rFonts w:eastAsia="Calibri"/>
          <w:b/>
          <w:bCs/>
          <w:color w:val="auto"/>
          <w:sz w:val="22"/>
          <w:szCs w:val="22"/>
        </w:rPr>
      </w:pPr>
      <w:r w:rsidRPr="00D91C8D">
        <w:rPr>
          <w:rFonts w:eastAsia="Calibri"/>
          <w:b/>
          <w:bCs/>
          <w:color w:val="auto"/>
          <w:sz w:val="22"/>
          <w:szCs w:val="22"/>
        </w:rPr>
        <w:lastRenderedPageBreak/>
        <w:t xml:space="preserve">Who </w:t>
      </w:r>
      <w:r w:rsidR="00BF0DED" w:rsidRPr="00D91C8D">
        <w:rPr>
          <w:rFonts w:eastAsia="Calibri"/>
          <w:b/>
          <w:bCs/>
          <w:color w:val="auto"/>
          <w:sz w:val="22"/>
          <w:szCs w:val="22"/>
        </w:rPr>
        <w:t>w</w:t>
      </w:r>
      <w:r w:rsidRPr="00D91C8D">
        <w:rPr>
          <w:rFonts w:eastAsia="Calibri"/>
          <w:b/>
          <w:bCs/>
          <w:color w:val="auto"/>
          <w:sz w:val="22"/>
          <w:szCs w:val="22"/>
        </w:rPr>
        <w:t xml:space="preserve">ill it </w:t>
      </w:r>
      <w:proofErr w:type="gramStart"/>
      <w:r w:rsidRPr="00D91C8D">
        <w:rPr>
          <w:rFonts w:eastAsia="Calibri"/>
          <w:b/>
          <w:bCs/>
          <w:color w:val="auto"/>
          <w:sz w:val="22"/>
          <w:szCs w:val="22"/>
        </w:rPr>
        <w:t>affect</w:t>
      </w:r>
      <w:proofErr w:type="gramEnd"/>
    </w:p>
    <w:p w14:paraId="4C8411B0" w14:textId="2C38CFCC" w:rsidR="00397695" w:rsidRPr="00D91C8D" w:rsidRDefault="00397695" w:rsidP="00397695">
      <w:pPr>
        <w:pStyle w:val="Body"/>
        <w:rPr>
          <w:rFonts w:ascii="Arial" w:eastAsia="Calibri" w:hAnsi="Arial" w:cs="Arial"/>
        </w:rPr>
      </w:pPr>
      <w:r w:rsidRPr="00D91C8D">
        <w:rPr>
          <w:rFonts w:ascii="Arial" w:eastAsia="Calibri" w:hAnsi="Arial" w:cs="Arial"/>
        </w:rPr>
        <w:t xml:space="preserve">This change will affect all users of Vicmap </w:t>
      </w:r>
      <w:r w:rsidR="00174A5E" w:rsidRPr="00D91C8D">
        <w:rPr>
          <w:rFonts w:ascii="Arial" w:eastAsia="Calibri" w:hAnsi="Arial" w:cs="Arial"/>
        </w:rPr>
        <w:t xml:space="preserve">Features of Interest </w:t>
      </w:r>
      <w:r w:rsidRPr="00D91C8D">
        <w:rPr>
          <w:rFonts w:ascii="Arial" w:eastAsia="Calibri" w:hAnsi="Arial" w:cs="Arial"/>
        </w:rPr>
        <w:t xml:space="preserve">and </w:t>
      </w:r>
      <w:r w:rsidRPr="00D91C8D">
        <w:rPr>
          <w:rFonts w:ascii="Arial" w:eastAsia="Arial" w:hAnsi="Arial" w:cs="Arial"/>
          <w:color w:val="000000"/>
          <w:lang w:val="en-US"/>
        </w:rPr>
        <w:t>VMREFTAB.FEATURE_CATALOGUE</w:t>
      </w:r>
      <w:r w:rsidR="00E275C4" w:rsidRPr="00D91C8D">
        <w:rPr>
          <w:rFonts w:ascii="Arial" w:eastAsia="Calibri" w:hAnsi="Arial" w:cs="Arial"/>
        </w:rPr>
        <w:t>.</w:t>
      </w:r>
    </w:p>
    <w:p w14:paraId="1088B62A" w14:textId="77777777" w:rsidR="00397695" w:rsidRPr="00D91C8D" w:rsidRDefault="00397695" w:rsidP="00D8006B">
      <w:pPr>
        <w:pStyle w:val="SubHeadingDufus"/>
        <w:rPr>
          <w:sz w:val="22"/>
          <w:szCs w:val="22"/>
        </w:rPr>
      </w:pPr>
      <w:r w:rsidRPr="00D91C8D">
        <w:rPr>
          <w:sz w:val="22"/>
          <w:szCs w:val="22"/>
        </w:rPr>
        <w:t xml:space="preserve">When the change will occur </w:t>
      </w:r>
    </w:p>
    <w:p w14:paraId="6C1304B5" w14:textId="7BB7B9C8" w:rsidR="00C200CF" w:rsidRPr="00D91C8D" w:rsidRDefault="00E275C4" w:rsidP="00DC1CA4">
      <w:pPr>
        <w:rPr>
          <w:rFonts w:eastAsia="Calibri"/>
          <w:sz w:val="20"/>
          <w:szCs w:val="20"/>
        </w:rPr>
      </w:pPr>
      <w:r w:rsidRPr="00D91C8D">
        <w:rPr>
          <w:rFonts w:eastAsia="Calibri"/>
          <w:sz w:val="20"/>
          <w:szCs w:val="20"/>
        </w:rPr>
        <w:t>The new Vicmap P</w:t>
      </w:r>
      <w:r w:rsidR="00397695" w:rsidRPr="00D91C8D">
        <w:rPr>
          <w:rFonts w:eastAsia="Calibri"/>
          <w:sz w:val="20"/>
          <w:szCs w:val="20"/>
        </w:rPr>
        <w:t xml:space="preserve">owerline dataset </w:t>
      </w:r>
      <w:r w:rsidR="002F54C4" w:rsidRPr="00D91C8D">
        <w:rPr>
          <w:rFonts w:eastAsia="Calibri"/>
          <w:sz w:val="20"/>
          <w:szCs w:val="20"/>
        </w:rPr>
        <w:t xml:space="preserve">will be </w:t>
      </w:r>
      <w:r w:rsidR="00397695" w:rsidRPr="00D91C8D">
        <w:rPr>
          <w:rFonts w:eastAsia="Calibri"/>
          <w:sz w:val="20"/>
          <w:szCs w:val="20"/>
        </w:rPr>
        <w:t xml:space="preserve">made available from </w:t>
      </w:r>
      <w:r w:rsidR="00E15C31" w:rsidRPr="00D91C8D">
        <w:rPr>
          <w:rFonts w:eastAsia="Calibri"/>
          <w:sz w:val="20"/>
          <w:szCs w:val="20"/>
        </w:rPr>
        <w:t xml:space="preserve">8 </w:t>
      </w:r>
      <w:r w:rsidR="00397695" w:rsidRPr="00D91C8D">
        <w:rPr>
          <w:rFonts w:eastAsia="Calibri"/>
          <w:sz w:val="20"/>
          <w:szCs w:val="20"/>
        </w:rPr>
        <w:t xml:space="preserve">October 2021. </w:t>
      </w:r>
      <w:r w:rsidR="002F54C4" w:rsidRPr="00D91C8D">
        <w:rPr>
          <w:rFonts w:eastAsia="Calibri"/>
          <w:sz w:val="20"/>
          <w:szCs w:val="20"/>
        </w:rPr>
        <w:t xml:space="preserve">The </w:t>
      </w:r>
      <w:r w:rsidR="009C75B0" w:rsidRPr="00D91C8D">
        <w:rPr>
          <w:rFonts w:eastAsia="Calibri"/>
          <w:sz w:val="20"/>
          <w:szCs w:val="20"/>
        </w:rPr>
        <w:t>P</w:t>
      </w:r>
      <w:r w:rsidR="00397695" w:rsidRPr="00D91C8D">
        <w:rPr>
          <w:rFonts w:eastAsia="Calibri"/>
          <w:sz w:val="20"/>
          <w:szCs w:val="20"/>
        </w:rPr>
        <w:t xml:space="preserve">owerline dataset will be retired and removed from Vicmap Features of Interest on </w:t>
      </w:r>
      <w:r w:rsidR="00F30A01" w:rsidRPr="00D91C8D">
        <w:rPr>
          <w:rFonts w:eastAsia="Calibri"/>
          <w:sz w:val="20"/>
          <w:szCs w:val="20"/>
        </w:rPr>
        <w:t>17</w:t>
      </w:r>
      <w:r w:rsidR="00397695" w:rsidRPr="00D91C8D">
        <w:rPr>
          <w:rFonts w:eastAsia="Calibri"/>
          <w:sz w:val="20"/>
          <w:szCs w:val="20"/>
        </w:rPr>
        <w:t xml:space="preserve"> January 2022</w:t>
      </w:r>
    </w:p>
    <w:p w14:paraId="4C669DEA" w14:textId="4042496B" w:rsidR="00A76EED" w:rsidRPr="00D91C8D" w:rsidRDefault="00E275C4" w:rsidP="00A76EED">
      <w:pPr>
        <w:pStyle w:val="Body"/>
        <w:rPr>
          <w:rFonts w:ascii="Arial" w:eastAsia="Calibri" w:hAnsi="Arial" w:cs="Arial"/>
        </w:rPr>
      </w:pPr>
      <w:r w:rsidRPr="00D91C8D">
        <w:rPr>
          <w:rFonts w:ascii="Arial" w:eastAsia="Calibri" w:hAnsi="Arial" w:cs="Arial"/>
        </w:rPr>
        <w:t>The new Vicmap P</w:t>
      </w:r>
      <w:r w:rsidR="00397695" w:rsidRPr="00D91C8D">
        <w:rPr>
          <w:rFonts w:ascii="Arial" w:eastAsia="Calibri" w:hAnsi="Arial" w:cs="Arial"/>
        </w:rPr>
        <w:t xml:space="preserve">owerline dataset </w:t>
      </w:r>
      <w:r w:rsidR="00387A05" w:rsidRPr="00D91C8D">
        <w:rPr>
          <w:rFonts w:ascii="Arial" w:eastAsia="Calibri" w:hAnsi="Arial" w:cs="Arial"/>
        </w:rPr>
        <w:t>is now available.</w:t>
      </w:r>
      <w:r w:rsidR="00397695" w:rsidRPr="00D91C8D">
        <w:rPr>
          <w:rFonts w:ascii="Arial" w:eastAsia="Calibri" w:hAnsi="Arial" w:cs="Arial"/>
        </w:rPr>
        <w:t xml:space="preserve"> </w:t>
      </w:r>
      <w:r w:rsidR="002F54C4" w:rsidRPr="00D91C8D">
        <w:rPr>
          <w:rFonts w:ascii="Arial" w:eastAsia="Calibri" w:hAnsi="Arial" w:cs="Arial"/>
        </w:rPr>
        <w:t xml:space="preserve">The </w:t>
      </w:r>
      <w:r w:rsidR="009C75B0" w:rsidRPr="00D91C8D">
        <w:rPr>
          <w:rFonts w:ascii="Arial" w:eastAsia="Calibri" w:hAnsi="Arial" w:cs="Arial"/>
        </w:rPr>
        <w:t>P</w:t>
      </w:r>
      <w:r w:rsidR="00397695" w:rsidRPr="00D91C8D">
        <w:rPr>
          <w:rFonts w:ascii="Arial" w:eastAsia="Calibri" w:hAnsi="Arial" w:cs="Arial"/>
        </w:rPr>
        <w:t xml:space="preserve">owerline </w:t>
      </w:r>
      <w:r w:rsidR="00387A05" w:rsidRPr="00D91C8D">
        <w:rPr>
          <w:rFonts w:ascii="Arial" w:eastAsia="Calibri" w:hAnsi="Arial" w:cs="Arial"/>
        </w:rPr>
        <w:t>features</w:t>
      </w:r>
      <w:r w:rsidR="00397695" w:rsidRPr="00D91C8D">
        <w:rPr>
          <w:rFonts w:ascii="Arial" w:eastAsia="Calibri" w:hAnsi="Arial" w:cs="Arial"/>
        </w:rPr>
        <w:t xml:space="preserve"> will be retired from Vicmap Features of Interest on </w:t>
      </w:r>
      <w:r w:rsidR="00F30A01" w:rsidRPr="00D91C8D">
        <w:rPr>
          <w:rFonts w:ascii="Arial" w:eastAsia="Calibri" w:hAnsi="Arial" w:cs="Arial"/>
        </w:rPr>
        <w:t>17</w:t>
      </w:r>
      <w:r w:rsidR="00397695" w:rsidRPr="00D91C8D">
        <w:rPr>
          <w:rFonts w:ascii="Arial" w:eastAsia="Calibri" w:hAnsi="Arial" w:cs="Arial"/>
        </w:rPr>
        <w:t xml:space="preserve"> January 2022</w:t>
      </w:r>
      <w:r w:rsidR="00387A05" w:rsidRPr="00D91C8D">
        <w:rPr>
          <w:rFonts w:ascii="Arial" w:eastAsia="Calibri" w:hAnsi="Arial" w:cs="Arial"/>
        </w:rPr>
        <w:t>.</w:t>
      </w:r>
    </w:p>
    <w:p w14:paraId="3814D6B7" w14:textId="71E72AEC" w:rsidR="00E51B5F" w:rsidRPr="00D91C8D" w:rsidRDefault="00E51B5F" w:rsidP="00E51B5F">
      <w:pPr>
        <w:pStyle w:val="Heading2"/>
        <w:rPr>
          <w:b/>
          <w:bCs/>
          <w:sz w:val="22"/>
          <w:szCs w:val="22"/>
        </w:rPr>
      </w:pPr>
      <w:r w:rsidRPr="00D91C8D">
        <w:rPr>
          <w:b/>
          <w:bCs/>
          <w:sz w:val="22"/>
          <w:szCs w:val="22"/>
        </w:rPr>
        <w:t>Get in touch with us</w:t>
      </w:r>
    </w:p>
    <w:p w14:paraId="7D1E172E" w14:textId="63AB1025" w:rsidR="003246BB" w:rsidRPr="00D91C8D" w:rsidRDefault="00781406" w:rsidP="00E51B5F">
      <w:pPr>
        <w:rPr>
          <w:sz w:val="20"/>
          <w:szCs w:val="20"/>
        </w:rPr>
      </w:pPr>
      <w:r w:rsidRPr="00D91C8D">
        <w:rPr>
          <w:sz w:val="20"/>
          <w:szCs w:val="20"/>
        </w:rPr>
        <w:t>The c</w:t>
      </w:r>
      <w:r w:rsidR="00D81D21" w:rsidRPr="00D91C8D">
        <w:rPr>
          <w:sz w:val="20"/>
          <w:szCs w:val="20"/>
        </w:rPr>
        <w:t>onsultation</w:t>
      </w:r>
      <w:r w:rsidRPr="00D91C8D">
        <w:rPr>
          <w:sz w:val="20"/>
          <w:szCs w:val="20"/>
        </w:rPr>
        <w:t xml:space="preserve"> period</w:t>
      </w:r>
      <w:r w:rsidR="00D81D21" w:rsidRPr="00D91C8D">
        <w:rPr>
          <w:sz w:val="20"/>
          <w:szCs w:val="20"/>
        </w:rPr>
        <w:t xml:space="preserve"> for this change </w:t>
      </w:r>
      <w:r w:rsidR="001B6BE6" w:rsidRPr="00D91C8D">
        <w:rPr>
          <w:sz w:val="20"/>
          <w:szCs w:val="20"/>
        </w:rPr>
        <w:t>is currently</w:t>
      </w:r>
      <w:r w:rsidR="0082354E" w:rsidRPr="00D91C8D">
        <w:rPr>
          <w:sz w:val="20"/>
          <w:szCs w:val="20"/>
        </w:rPr>
        <w:t xml:space="preserve"> open will </w:t>
      </w:r>
      <w:r w:rsidR="00D81D21" w:rsidRPr="00D91C8D">
        <w:rPr>
          <w:sz w:val="20"/>
          <w:szCs w:val="20"/>
        </w:rPr>
        <w:t xml:space="preserve">conclude on </w:t>
      </w:r>
      <w:r w:rsidR="00D2387E" w:rsidRPr="00D91C8D">
        <w:rPr>
          <w:b/>
          <w:sz w:val="20"/>
          <w:szCs w:val="20"/>
        </w:rPr>
        <w:t>2</w:t>
      </w:r>
      <w:r w:rsidR="00E33B69" w:rsidRPr="00D91C8D">
        <w:rPr>
          <w:b/>
          <w:sz w:val="20"/>
          <w:szCs w:val="20"/>
        </w:rPr>
        <w:t>9</w:t>
      </w:r>
      <w:r w:rsidR="0082354E" w:rsidRPr="00D91C8D">
        <w:rPr>
          <w:b/>
          <w:bCs/>
          <w:sz w:val="20"/>
          <w:szCs w:val="20"/>
        </w:rPr>
        <w:t xml:space="preserve"> October </w:t>
      </w:r>
      <w:r w:rsidR="003246BB" w:rsidRPr="00D91C8D">
        <w:rPr>
          <w:b/>
          <w:sz w:val="20"/>
          <w:szCs w:val="20"/>
        </w:rPr>
        <w:t>2021</w:t>
      </w:r>
      <w:r w:rsidR="003246BB" w:rsidRPr="00D91C8D">
        <w:rPr>
          <w:sz w:val="20"/>
          <w:szCs w:val="20"/>
        </w:rPr>
        <w:t>.</w:t>
      </w:r>
    </w:p>
    <w:p w14:paraId="127E0140" w14:textId="2ECCAD38" w:rsidR="00E51B5F" w:rsidRPr="00D91C8D" w:rsidRDefault="00E51B5F" w:rsidP="00E51B5F">
      <w:pPr>
        <w:rPr>
          <w:sz w:val="20"/>
          <w:szCs w:val="20"/>
        </w:rPr>
      </w:pPr>
      <w:r w:rsidRPr="00D91C8D">
        <w:rPr>
          <w:sz w:val="20"/>
          <w:szCs w:val="20"/>
        </w:rPr>
        <w:t>For further help or information please email </w:t>
      </w:r>
      <w:hyperlink r:id="rId15" w:tgtFrame="_blank" w:history="1">
        <w:r w:rsidRPr="00D91C8D">
          <w:rPr>
            <w:color w:val="0000FF"/>
            <w:sz w:val="20"/>
            <w:szCs w:val="20"/>
            <w:u w:val="single"/>
          </w:rPr>
          <w:t>vicmap@delwp.vic.gov.au</w:t>
        </w:r>
      </w:hyperlink>
      <w:r w:rsidRPr="00D91C8D">
        <w:rPr>
          <w:sz w:val="20"/>
          <w:szCs w:val="20"/>
        </w:rPr>
        <w:t> </w:t>
      </w:r>
    </w:p>
    <w:p w14:paraId="2DC6492B" w14:textId="26DF9DE8" w:rsidR="00BF2609" w:rsidRPr="00D91C8D" w:rsidRDefault="00BF2609" w:rsidP="00BF2609">
      <w:pPr>
        <w:rPr>
          <w:sz w:val="20"/>
          <w:szCs w:val="20"/>
        </w:rPr>
      </w:pPr>
      <w:r w:rsidRPr="00D91C8D">
        <w:rPr>
          <w:sz w:val="20"/>
          <w:szCs w:val="20"/>
        </w:rPr>
        <w:t xml:space="preserve">For Vicmap Product change notices and updates, visit </w:t>
      </w:r>
      <w:hyperlink r:id="rId16" w:history="1">
        <w:r w:rsidRPr="00D91C8D">
          <w:rPr>
            <w:rStyle w:val="Hyperlink"/>
            <w:sz w:val="20"/>
            <w:szCs w:val="20"/>
          </w:rPr>
          <w:t>Vicmap change notices</w:t>
        </w:r>
      </w:hyperlink>
      <w:r w:rsidRPr="00D91C8D">
        <w:rPr>
          <w:sz w:val="20"/>
          <w:szCs w:val="20"/>
        </w:rPr>
        <w:t>.</w:t>
      </w:r>
    </w:p>
    <w:p w14:paraId="17BEDD9E" w14:textId="40EBD74C" w:rsidR="008C6AFB" w:rsidRPr="00D91C8D" w:rsidRDefault="00BF2609" w:rsidP="00BF2609">
      <w:pPr>
        <w:rPr>
          <w:sz w:val="20"/>
          <w:szCs w:val="20"/>
        </w:rPr>
      </w:pPr>
      <w:r w:rsidRPr="00D91C8D">
        <w:rPr>
          <w:sz w:val="20"/>
          <w:szCs w:val="20"/>
        </w:rPr>
        <w:t xml:space="preserve">If you would like to subscribe to change notices please </w:t>
      </w:r>
      <w:r w:rsidR="0082354E" w:rsidRPr="00D91C8D">
        <w:rPr>
          <w:sz w:val="20"/>
          <w:szCs w:val="20"/>
        </w:rPr>
        <w:t xml:space="preserve">email </w:t>
      </w:r>
      <w:r w:rsidRPr="00D91C8D">
        <w:rPr>
          <w:sz w:val="20"/>
          <w:szCs w:val="20"/>
        </w:rPr>
        <w:t xml:space="preserve">your contact details to </w:t>
      </w:r>
      <w:hyperlink r:id="rId17" w:history="1">
        <w:r w:rsidR="00B47C7F" w:rsidRPr="00D91C8D">
          <w:rPr>
            <w:rStyle w:val="Hyperlink"/>
            <w:sz w:val="20"/>
            <w:szCs w:val="20"/>
          </w:rPr>
          <w:t>vicmap@delwp.vic.gov.au</w:t>
        </w:r>
      </w:hyperlink>
      <w:r w:rsidR="00B47C7F" w:rsidRPr="00D91C8D">
        <w:rPr>
          <w:sz w:val="20"/>
          <w:szCs w:val="20"/>
        </w:rPr>
        <w:t xml:space="preserve"> </w:t>
      </w:r>
    </w:p>
    <w:p w14:paraId="11FFE49D" w14:textId="77777777" w:rsidR="009F22DE" w:rsidRPr="00D91C8D" w:rsidRDefault="009F22DE" w:rsidP="006204E5">
      <w:pPr>
        <w:pStyle w:val="VICMAPDefault"/>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D91C8D" w14:paraId="06BE7288" w14:textId="77777777" w:rsidTr="00F169FA">
        <w:trPr>
          <w:cantSplit/>
          <w:trHeight w:val="2608"/>
        </w:trPr>
        <w:tc>
          <w:tcPr>
            <w:tcW w:w="5216" w:type="dxa"/>
            <w:shd w:val="clear" w:color="auto" w:fill="auto"/>
          </w:tcPr>
          <w:p w14:paraId="28C3C928" w14:textId="26235564" w:rsidR="00D0755B" w:rsidRPr="00D91C8D" w:rsidRDefault="00D0755B" w:rsidP="006204E5">
            <w:pPr>
              <w:pStyle w:val="SmallBodyText"/>
              <w:rPr>
                <w:rFonts w:ascii="Arial" w:hAnsi="Arial"/>
              </w:rPr>
            </w:pPr>
            <w:r w:rsidRPr="00D91C8D">
              <w:rPr>
                <w:rFonts w:ascii="Arial" w:hAnsi="Arial"/>
              </w:rPr>
              <w:t xml:space="preserve">© The State of Victoria Department of Environment, Land, Water and Planning </w:t>
            </w:r>
            <w:r w:rsidRPr="00D91C8D">
              <w:rPr>
                <w:rFonts w:ascii="Arial" w:hAnsi="Arial"/>
              </w:rPr>
              <w:fldChar w:fldCharType="begin"/>
            </w:r>
            <w:r w:rsidRPr="00D91C8D">
              <w:rPr>
                <w:rFonts w:ascii="Arial" w:hAnsi="Arial"/>
              </w:rPr>
              <w:instrText xml:space="preserve"> DATE  \@ "yyyy" \* MERGEFORMAT </w:instrText>
            </w:r>
            <w:r w:rsidRPr="00D91C8D">
              <w:rPr>
                <w:rFonts w:ascii="Arial" w:hAnsi="Arial"/>
              </w:rPr>
              <w:fldChar w:fldCharType="separate"/>
            </w:r>
            <w:r w:rsidR="00F30814" w:rsidRPr="00D91C8D">
              <w:rPr>
                <w:rFonts w:ascii="Arial" w:hAnsi="Arial"/>
                <w:noProof/>
              </w:rPr>
              <w:t>2021</w:t>
            </w:r>
            <w:r w:rsidRPr="00D91C8D">
              <w:rPr>
                <w:rFonts w:ascii="Arial" w:hAnsi="Arial"/>
              </w:rPr>
              <w:fldChar w:fldCharType="end"/>
            </w:r>
          </w:p>
          <w:p w14:paraId="7A08CAC9" w14:textId="77777777" w:rsidR="00D0755B" w:rsidRPr="00D91C8D" w:rsidRDefault="00D0755B" w:rsidP="006204E5">
            <w:pPr>
              <w:pStyle w:val="SmallBodyText"/>
              <w:rPr>
                <w:rFonts w:ascii="Arial" w:hAnsi="Arial"/>
              </w:rPr>
            </w:pPr>
            <w:r w:rsidRPr="00D91C8D">
              <w:rPr>
                <w:rFonts w:ascii="Arial" w:hAnsi="Arial"/>
                <w:noProof/>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91C8D">
              <w:rPr>
                <w:rFonts w:ascii="Arial" w:hAnsi="Arial"/>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3E587742" w14:textId="77777777" w:rsidR="00D0755B" w:rsidRPr="00D91C8D" w:rsidRDefault="00D0755B" w:rsidP="006204E5">
            <w:pPr>
              <w:pStyle w:val="SmallBodyText"/>
              <w:rPr>
                <w:rFonts w:ascii="Arial" w:hAnsi="Arial"/>
              </w:rPr>
            </w:pPr>
          </w:p>
        </w:tc>
        <w:tc>
          <w:tcPr>
            <w:tcW w:w="4989" w:type="dxa"/>
            <w:shd w:val="clear" w:color="auto" w:fill="auto"/>
          </w:tcPr>
          <w:p w14:paraId="62E3EABA" w14:textId="77777777" w:rsidR="00D0755B" w:rsidRPr="00D91C8D" w:rsidRDefault="00D0755B" w:rsidP="006204E5">
            <w:pPr>
              <w:pStyle w:val="SmallHeading"/>
              <w:rPr>
                <w:rFonts w:ascii="Arial" w:hAnsi="Arial"/>
              </w:rPr>
            </w:pPr>
            <w:r w:rsidRPr="00D91C8D">
              <w:rPr>
                <w:rFonts w:ascii="Arial" w:hAnsi="Arial"/>
              </w:rPr>
              <w:t>Disclaimer</w:t>
            </w:r>
          </w:p>
          <w:p w14:paraId="25A4AAE7" w14:textId="77777777" w:rsidR="00D0755B" w:rsidRPr="00D91C8D" w:rsidRDefault="00D0755B" w:rsidP="006204E5">
            <w:pPr>
              <w:pStyle w:val="SmallBodyText"/>
              <w:rPr>
                <w:rFonts w:ascii="Arial" w:hAnsi="Arial"/>
              </w:rPr>
            </w:pPr>
            <w:r w:rsidRPr="00D91C8D">
              <w:rPr>
                <w:rFonts w:ascii="Arial" w:hAnsi="Arial"/>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77777777" w:rsidR="00811A3A" w:rsidRPr="00D91C8D" w:rsidRDefault="00811A3A" w:rsidP="00811A3A">
            <w:pPr>
              <w:pStyle w:val="SmallBodyText"/>
              <w:rPr>
                <w:rFonts w:ascii="Arial" w:hAnsi="Arial"/>
                <w:b/>
                <w:bCs/>
              </w:rPr>
            </w:pPr>
            <w:r w:rsidRPr="00D91C8D">
              <w:rPr>
                <w:rFonts w:ascii="Arial" w:hAnsi="Arial"/>
                <w:b/>
                <w:bCs/>
              </w:rPr>
              <w:t xml:space="preserve">DELWP spatial disclaimer </w:t>
            </w:r>
          </w:p>
          <w:p w14:paraId="77AACC07" w14:textId="77777777" w:rsidR="00811A3A" w:rsidRPr="00D91C8D" w:rsidRDefault="00811A3A" w:rsidP="00811A3A">
            <w:pPr>
              <w:pStyle w:val="SmallBodyText"/>
              <w:rPr>
                <w:rFonts w:ascii="Arial" w:hAnsi="Arial"/>
              </w:rPr>
            </w:pPr>
            <w:r w:rsidRPr="00D91C8D">
              <w:rPr>
                <w:rFonts w:ascii="Arial" w:hAnsi="Arial"/>
              </w:rPr>
              <w:t>The State of Victoria:</w:t>
            </w:r>
          </w:p>
          <w:p w14:paraId="6E62151D" w14:textId="77777777" w:rsidR="00811A3A" w:rsidRPr="00D91C8D" w:rsidRDefault="00811A3A" w:rsidP="00811A3A">
            <w:pPr>
              <w:pStyle w:val="SmallBodyText"/>
              <w:numPr>
                <w:ilvl w:val="0"/>
                <w:numId w:val="3"/>
              </w:numPr>
              <w:ind w:left="567"/>
              <w:rPr>
                <w:rFonts w:ascii="Arial" w:hAnsi="Arial"/>
              </w:rPr>
            </w:pPr>
            <w:r w:rsidRPr="00D91C8D">
              <w:rPr>
                <w:rFonts w:ascii="Arial" w:hAnsi="Arial"/>
              </w:rPr>
              <w:t>does not give any representation or warranty as to</w:t>
            </w:r>
          </w:p>
          <w:p w14:paraId="43D0DB04" w14:textId="77777777" w:rsidR="00811A3A" w:rsidRPr="00D91C8D" w:rsidRDefault="00811A3A" w:rsidP="00811A3A">
            <w:pPr>
              <w:pStyle w:val="SmallBodyText"/>
              <w:numPr>
                <w:ilvl w:val="0"/>
                <w:numId w:val="4"/>
              </w:numPr>
              <w:ind w:left="774" w:hanging="65"/>
              <w:rPr>
                <w:rFonts w:ascii="Arial" w:hAnsi="Arial"/>
              </w:rPr>
            </w:pPr>
            <w:r w:rsidRPr="00D91C8D">
              <w:rPr>
                <w:rFonts w:ascii="Arial" w:hAnsi="Arial"/>
              </w:rPr>
              <w:t>the accuracy or completeness of DELWP spatial products (including data and metadata), Vicmap products or Vicmap product specifications; or</w:t>
            </w:r>
          </w:p>
          <w:p w14:paraId="3E6F0E6E" w14:textId="77777777" w:rsidR="00811A3A" w:rsidRPr="00D91C8D" w:rsidRDefault="00811A3A" w:rsidP="00811A3A">
            <w:pPr>
              <w:pStyle w:val="SmallBodyText"/>
              <w:numPr>
                <w:ilvl w:val="0"/>
                <w:numId w:val="4"/>
              </w:numPr>
              <w:tabs>
                <w:tab w:val="left" w:pos="851"/>
              </w:tabs>
              <w:ind w:left="774" w:hanging="65"/>
              <w:rPr>
                <w:rFonts w:ascii="Arial" w:hAnsi="Arial"/>
              </w:rPr>
            </w:pPr>
            <w:r w:rsidRPr="00D91C8D">
              <w:rPr>
                <w:rFonts w:ascii="Arial" w:hAnsi="Arial"/>
              </w:rPr>
              <w:t>the fitness of such data or products or of DELWP spatial services (including APIs and web services) for any particular purpose;</w:t>
            </w:r>
          </w:p>
          <w:p w14:paraId="458973F8" w14:textId="77777777" w:rsidR="00811A3A" w:rsidRPr="00D91C8D" w:rsidRDefault="00811A3A" w:rsidP="00811A3A">
            <w:pPr>
              <w:pStyle w:val="SmallBodyText"/>
              <w:numPr>
                <w:ilvl w:val="0"/>
                <w:numId w:val="3"/>
              </w:numPr>
              <w:ind w:left="567"/>
              <w:rPr>
                <w:rFonts w:ascii="Arial" w:hAnsi="Arial"/>
              </w:rPr>
            </w:pPr>
            <w:r w:rsidRPr="00D91C8D">
              <w:rPr>
                <w:rFonts w:ascii="Arial" w:hAnsi="Arial"/>
              </w:rPr>
              <w:t>disclaims all responsibility and liability whatsoever for any errors, faults, defects or omissions in such data or products and services.</w:t>
            </w:r>
          </w:p>
          <w:p w14:paraId="4532BB0C" w14:textId="77777777" w:rsidR="00811A3A" w:rsidRPr="00D91C8D" w:rsidRDefault="00811A3A" w:rsidP="00811A3A">
            <w:pPr>
              <w:pStyle w:val="SmallBodyText"/>
              <w:rPr>
                <w:rFonts w:ascii="Arial" w:hAnsi="Arial"/>
              </w:rPr>
            </w:pPr>
            <w:r w:rsidRPr="00D91C8D">
              <w:rPr>
                <w:rFonts w:ascii="Arial" w:hAnsi="Arial"/>
              </w:rPr>
              <w:t>Any person using or relying upon such products and services must make an independent assessment of them and their fitness for particular purposes and requirements.</w:t>
            </w:r>
          </w:p>
          <w:p w14:paraId="5CB0D3E9" w14:textId="01D6B9DB" w:rsidR="00811A3A" w:rsidRPr="00D91C8D" w:rsidRDefault="00811A3A" w:rsidP="006204E5">
            <w:pPr>
              <w:pStyle w:val="SmallBodyText"/>
              <w:rPr>
                <w:rFonts w:ascii="Arial" w:hAnsi="Arial"/>
              </w:rPr>
            </w:pPr>
          </w:p>
        </w:tc>
      </w:tr>
    </w:tbl>
    <w:p w14:paraId="5E18E6D3" w14:textId="77777777" w:rsidR="00360CB6" w:rsidRPr="00D91C8D" w:rsidRDefault="00360CB6" w:rsidP="008A485B">
      <w:pPr>
        <w:pStyle w:val="VICMAPDefault"/>
      </w:pPr>
    </w:p>
    <w:sectPr w:rsidR="00360CB6" w:rsidRPr="00D91C8D" w:rsidSect="000B336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33FA" w14:textId="77777777" w:rsidR="000B7264" w:rsidRDefault="000B7264" w:rsidP="006204E5">
      <w:r>
        <w:separator/>
      </w:r>
    </w:p>
  </w:endnote>
  <w:endnote w:type="continuationSeparator" w:id="0">
    <w:p w14:paraId="5FF00C39" w14:textId="77777777" w:rsidR="000B7264" w:rsidRDefault="000B7264" w:rsidP="006204E5">
      <w:r>
        <w:continuationSeparator/>
      </w:r>
    </w:p>
  </w:endnote>
  <w:endnote w:type="continuationNotice" w:id="1">
    <w:p w14:paraId="1F9306D8" w14:textId="77777777" w:rsidR="000B7264" w:rsidRDefault="000B72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739B" w14:textId="77777777" w:rsidR="00F30814" w:rsidRDefault="00F30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3BCF5C39" w:rsidR="008C6AFB" w:rsidRDefault="00F4652A" w:rsidP="008C6AFB">
    <w:pPr>
      <w:pStyle w:val="Footer"/>
      <w:jc w:val="right"/>
    </w:pPr>
    <w:r>
      <w:rPr>
        <w:noProof/>
      </w:rPr>
      <mc:AlternateContent>
        <mc:Choice Requires="wps">
          <w:drawing>
            <wp:anchor distT="0" distB="0" distL="114300" distR="114300" simplePos="0" relativeHeight="251658240"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MSIPCM21eb4b908ef664452af5a20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1CD8D" id="_x0000_t202" coordsize="21600,21600" o:spt="202" path="m,l,21600r21600,l21600,xe">
              <v:stroke joinstyle="miter"/>
              <v:path gradientshapeok="t" o:connecttype="rect"/>
            </v:shapetype>
            <v:shape id="MSIPCM21eb4b908ef664452af5a20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EA/LArgIAAEcFAAAOAAAA&#10;AAAAAAAAAAAAAC4CAABkcnMvZTJvRG9jLnhtbFBLAQItABQABgAIAAAAIQCf1UHs3wAAAAsBAAAP&#10;AAAAAAAAAAAAAAAAAAgFAABkcnMvZG93bnJldi54bWxQSwUGAAAAAAQABADzAAAAFAY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FEAD" w14:textId="77777777" w:rsidR="00F30814" w:rsidRDefault="00F3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B40A7" w14:textId="77777777" w:rsidR="000B7264" w:rsidRDefault="000B7264" w:rsidP="006204E5">
      <w:r>
        <w:separator/>
      </w:r>
    </w:p>
  </w:footnote>
  <w:footnote w:type="continuationSeparator" w:id="0">
    <w:p w14:paraId="19277086" w14:textId="77777777" w:rsidR="000B7264" w:rsidRDefault="000B7264" w:rsidP="006204E5">
      <w:r>
        <w:continuationSeparator/>
      </w:r>
    </w:p>
  </w:footnote>
  <w:footnote w:type="continuationNotice" w:id="1">
    <w:p w14:paraId="414CA876" w14:textId="77777777" w:rsidR="000B7264" w:rsidRDefault="000B72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A339" w14:textId="77777777" w:rsidR="00F30814" w:rsidRDefault="00F30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635A" w14:textId="77777777" w:rsidR="00F30814" w:rsidRDefault="00F30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4F574" w14:textId="77777777" w:rsidR="00F30814" w:rsidRDefault="00F30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391733"/>
    <w:multiLevelType w:val="hybridMultilevel"/>
    <w:tmpl w:val="63589D4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011"/>
    <w:rsid w:val="00005DFE"/>
    <w:rsid w:val="00011A7D"/>
    <w:rsid w:val="000173F8"/>
    <w:rsid w:val="000221D9"/>
    <w:rsid w:val="0002321D"/>
    <w:rsid w:val="00023A82"/>
    <w:rsid w:val="0003714C"/>
    <w:rsid w:val="00037B28"/>
    <w:rsid w:val="000441E8"/>
    <w:rsid w:val="0005113F"/>
    <w:rsid w:val="000518CA"/>
    <w:rsid w:val="000523C7"/>
    <w:rsid w:val="0005386B"/>
    <w:rsid w:val="000632E7"/>
    <w:rsid w:val="00085E78"/>
    <w:rsid w:val="00087412"/>
    <w:rsid w:val="0009133B"/>
    <w:rsid w:val="00096168"/>
    <w:rsid w:val="000B3362"/>
    <w:rsid w:val="000B7264"/>
    <w:rsid w:val="000C3C79"/>
    <w:rsid w:val="000D066A"/>
    <w:rsid w:val="000D09EB"/>
    <w:rsid w:val="000D0A27"/>
    <w:rsid w:val="000D14B3"/>
    <w:rsid w:val="000D7A75"/>
    <w:rsid w:val="000E28F8"/>
    <w:rsid w:val="000E2B8E"/>
    <w:rsid w:val="000E554F"/>
    <w:rsid w:val="000F224E"/>
    <w:rsid w:val="000F3C12"/>
    <w:rsid w:val="001059A4"/>
    <w:rsid w:val="00106932"/>
    <w:rsid w:val="00114774"/>
    <w:rsid w:val="0012091F"/>
    <w:rsid w:val="0012513C"/>
    <w:rsid w:val="00130401"/>
    <w:rsid w:val="00136E33"/>
    <w:rsid w:val="0014472A"/>
    <w:rsid w:val="001457D5"/>
    <w:rsid w:val="00161A71"/>
    <w:rsid w:val="001646E4"/>
    <w:rsid w:val="00172747"/>
    <w:rsid w:val="001732D7"/>
    <w:rsid w:val="00174938"/>
    <w:rsid w:val="00174A5E"/>
    <w:rsid w:val="00176769"/>
    <w:rsid w:val="0018237F"/>
    <w:rsid w:val="0018374A"/>
    <w:rsid w:val="00183EE0"/>
    <w:rsid w:val="001932E7"/>
    <w:rsid w:val="00193D27"/>
    <w:rsid w:val="00193EF1"/>
    <w:rsid w:val="00196EE7"/>
    <w:rsid w:val="00197955"/>
    <w:rsid w:val="001A2333"/>
    <w:rsid w:val="001B3C5D"/>
    <w:rsid w:val="001B4C25"/>
    <w:rsid w:val="001B6BE6"/>
    <w:rsid w:val="001B79AE"/>
    <w:rsid w:val="001B7A8A"/>
    <w:rsid w:val="001C449A"/>
    <w:rsid w:val="001D016B"/>
    <w:rsid w:val="001D4DD4"/>
    <w:rsid w:val="001D5BD5"/>
    <w:rsid w:val="001E0587"/>
    <w:rsid w:val="001E2A6E"/>
    <w:rsid w:val="001E66BC"/>
    <w:rsid w:val="001E6AED"/>
    <w:rsid w:val="001F1585"/>
    <w:rsid w:val="001F1C85"/>
    <w:rsid w:val="001F393E"/>
    <w:rsid w:val="001F793E"/>
    <w:rsid w:val="002058BD"/>
    <w:rsid w:val="00205AE4"/>
    <w:rsid w:val="0021272C"/>
    <w:rsid w:val="00212D2D"/>
    <w:rsid w:val="002179BA"/>
    <w:rsid w:val="00223CFC"/>
    <w:rsid w:val="002255B6"/>
    <w:rsid w:val="002274ED"/>
    <w:rsid w:val="00231B59"/>
    <w:rsid w:val="00232321"/>
    <w:rsid w:val="00244E2C"/>
    <w:rsid w:val="002506E2"/>
    <w:rsid w:val="002615B3"/>
    <w:rsid w:val="00262AB0"/>
    <w:rsid w:val="0026590D"/>
    <w:rsid w:val="0026642C"/>
    <w:rsid w:val="002B02F6"/>
    <w:rsid w:val="002B0F4F"/>
    <w:rsid w:val="002B5641"/>
    <w:rsid w:val="002C5316"/>
    <w:rsid w:val="002C650B"/>
    <w:rsid w:val="002E0653"/>
    <w:rsid w:val="002E15C7"/>
    <w:rsid w:val="002F3443"/>
    <w:rsid w:val="002F46BE"/>
    <w:rsid w:val="002F54C4"/>
    <w:rsid w:val="00303B2C"/>
    <w:rsid w:val="00305BF5"/>
    <w:rsid w:val="003128B8"/>
    <w:rsid w:val="003228AF"/>
    <w:rsid w:val="003246BB"/>
    <w:rsid w:val="0032683D"/>
    <w:rsid w:val="003274C8"/>
    <w:rsid w:val="003303AA"/>
    <w:rsid w:val="00332D58"/>
    <w:rsid w:val="0033414B"/>
    <w:rsid w:val="003377F4"/>
    <w:rsid w:val="00344E94"/>
    <w:rsid w:val="003504D8"/>
    <w:rsid w:val="00360CB6"/>
    <w:rsid w:val="00366BA0"/>
    <w:rsid w:val="003725D7"/>
    <w:rsid w:val="003754B2"/>
    <w:rsid w:val="0037620E"/>
    <w:rsid w:val="00377D90"/>
    <w:rsid w:val="003817C1"/>
    <w:rsid w:val="00387A05"/>
    <w:rsid w:val="00397695"/>
    <w:rsid w:val="003A5D6D"/>
    <w:rsid w:val="003B39DC"/>
    <w:rsid w:val="003B3F1F"/>
    <w:rsid w:val="003B472F"/>
    <w:rsid w:val="003C37D9"/>
    <w:rsid w:val="003D20ED"/>
    <w:rsid w:val="003E1480"/>
    <w:rsid w:val="003E23B8"/>
    <w:rsid w:val="003E61C4"/>
    <w:rsid w:val="003E76DB"/>
    <w:rsid w:val="003F0603"/>
    <w:rsid w:val="003F4FCC"/>
    <w:rsid w:val="003F549C"/>
    <w:rsid w:val="00402365"/>
    <w:rsid w:val="00413562"/>
    <w:rsid w:val="004145CA"/>
    <w:rsid w:val="00417D5D"/>
    <w:rsid w:val="00422697"/>
    <w:rsid w:val="00463218"/>
    <w:rsid w:val="00464E6F"/>
    <w:rsid w:val="004760DC"/>
    <w:rsid w:val="0048106D"/>
    <w:rsid w:val="0048339D"/>
    <w:rsid w:val="00487ABA"/>
    <w:rsid w:val="004B222D"/>
    <w:rsid w:val="004C5950"/>
    <w:rsid w:val="004F231E"/>
    <w:rsid w:val="004F3DA4"/>
    <w:rsid w:val="004F6BE2"/>
    <w:rsid w:val="004F74AB"/>
    <w:rsid w:val="005108E5"/>
    <w:rsid w:val="00514885"/>
    <w:rsid w:val="00524832"/>
    <w:rsid w:val="0052522F"/>
    <w:rsid w:val="00530D89"/>
    <w:rsid w:val="00531697"/>
    <w:rsid w:val="0053512F"/>
    <w:rsid w:val="00557E44"/>
    <w:rsid w:val="00571DED"/>
    <w:rsid w:val="0058018D"/>
    <w:rsid w:val="0058418C"/>
    <w:rsid w:val="00592557"/>
    <w:rsid w:val="00592966"/>
    <w:rsid w:val="005A033D"/>
    <w:rsid w:val="005A70DF"/>
    <w:rsid w:val="005B1AFF"/>
    <w:rsid w:val="005C4579"/>
    <w:rsid w:val="005C46C3"/>
    <w:rsid w:val="005D0F23"/>
    <w:rsid w:val="005D387A"/>
    <w:rsid w:val="005E4A32"/>
    <w:rsid w:val="005F453F"/>
    <w:rsid w:val="00603956"/>
    <w:rsid w:val="006042D0"/>
    <w:rsid w:val="00604B63"/>
    <w:rsid w:val="00606FBF"/>
    <w:rsid w:val="006204E5"/>
    <w:rsid w:val="00621419"/>
    <w:rsid w:val="006229A1"/>
    <w:rsid w:val="00622AE6"/>
    <w:rsid w:val="00624393"/>
    <w:rsid w:val="0062457A"/>
    <w:rsid w:val="00627F5B"/>
    <w:rsid w:val="006376E7"/>
    <w:rsid w:val="00641C8F"/>
    <w:rsid w:val="00642466"/>
    <w:rsid w:val="0066289F"/>
    <w:rsid w:val="006671F4"/>
    <w:rsid w:val="00667C0F"/>
    <w:rsid w:val="006717E5"/>
    <w:rsid w:val="006743EC"/>
    <w:rsid w:val="00676F57"/>
    <w:rsid w:val="00685C5E"/>
    <w:rsid w:val="00686273"/>
    <w:rsid w:val="00697C8D"/>
    <w:rsid w:val="006A41B4"/>
    <w:rsid w:val="006A709C"/>
    <w:rsid w:val="006A7C14"/>
    <w:rsid w:val="006B066A"/>
    <w:rsid w:val="006B0937"/>
    <w:rsid w:val="006C48F1"/>
    <w:rsid w:val="006D2F43"/>
    <w:rsid w:val="006D4261"/>
    <w:rsid w:val="006D726F"/>
    <w:rsid w:val="006E04A7"/>
    <w:rsid w:val="006E3E7D"/>
    <w:rsid w:val="006E41E2"/>
    <w:rsid w:val="006E58AB"/>
    <w:rsid w:val="006E780E"/>
    <w:rsid w:val="006F1758"/>
    <w:rsid w:val="00701CDB"/>
    <w:rsid w:val="00702CB2"/>
    <w:rsid w:val="007054E8"/>
    <w:rsid w:val="00707A01"/>
    <w:rsid w:val="0071521D"/>
    <w:rsid w:val="007168EB"/>
    <w:rsid w:val="00717FB5"/>
    <w:rsid w:val="007208E6"/>
    <w:rsid w:val="00720E85"/>
    <w:rsid w:val="00725BB0"/>
    <w:rsid w:val="0072778B"/>
    <w:rsid w:val="00727C5F"/>
    <w:rsid w:val="00731C27"/>
    <w:rsid w:val="00740C18"/>
    <w:rsid w:val="0074684E"/>
    <w:rsid w:val="007671F5"/>
    <w:rsid w:val="00773AC8"/>
    <w:rsid w:val="00774903"/>
    <w:rsid w:val="00781406"/>
    <w:rsid w:val="007816DC"/>
    <w:rsid w:val="0079396A"/>
    <w:rsid w:val="007A4549"/>
    <w:rsid w:val="007B49C4"/>
    <w:rsid w:val="007B59E6"/>
    <w:rsid w:val="007B623F"/>
    <w:rsid w:val="007C080F"/>
    <w:rsid w:val="007C1AE3"/>
    <w:rsid w:val="007C24D7"/>
    <w:rsid w:val="007C52E9"/>
    <w:rsid w:val="007D6F50"/>
    <w:rsid w:val="007E4F00"/>
    <w:rsid w:val="007E7738"/>
    <w:rsid w:val="008076B8"/>
    <w:rsid w:val="00810466"/>
    <w:rsid w:val="00811A3A"/>
    <w:rsid w:val="00811F1D"/>
    <w:rsid w:val="00812AC6"/>
    <w:rsid w:val="00815671"/>
    <w:rsid w:val="0082354E"/>
    <w:rsid w:val="0082527C"/>
    <w:rsid w:val="0082677D"/>
    <w:rsid w:val="00827003"/>
    <w:rsid w:val="00837323"/>
    <w:rsid w:val="00842147"/>
    <w:rsid w:val="0084647F"/>
    <w:rsid w:val="0085070D"/>
    <w:rsid w:val="00852113"/>
    <w:rsid w:val="0085716A"/>
    <w:rsid w:val="00862457"/>
    <w:rsid w:val="00864B59"/>
    <w:rsid w:val="0087225B"/>
    <w:rsid w:val="008768CF"/>
    <w:rsid w:val="008773BC"/>
    <w:rsid w:val="008802BA"/>
    <w:rsid w:val="008902DD"/>
    <w:rsid w:val="00893163"/>
    <w:rsid w:val="00894283"/>
    <w:rsid w:val="008A43DE"/>
    <w:rsid w:val="008A485B"/>
    <w:rsid w:val="008A73B6"/>
    <w:rsid w:val="008C09C5"/>
    <w:rsid w:val="008C6AFB"/>
    <w:rsid w:val="008D1422"/>
    <w:rsid w:val="008D28B5"/>
    <w:rsid w:val="008D6AD2"/>
    <w:rsid w:val="008F15E0"/>
    <w:rsid w:val="008F2F65"/>
    <w:rsid w:val="008F3A5B"/>
    <w:rsid w:val="008F4F04"/>
    <w:rsid w:val="0090275D"/>
    <w:rsid w:val="009073BA"/>
    <w:rsid w:val="009127A2"/>
    <w:rsid w:val="00913BB9"/>
    <w:rsid w:val="009204C6"/>
    <w:rsid w:val="00923AD7"/>
    <w:rsid w:val="00926A8D"/>
    <w:rsid w:val="0095520B"/>
    <w:rsid w:val="0096083C"/>
    <w:rsid w:val="00962D97"/>
    <w:rsid w:val="00962F46"/>
    <w:rsid w:val="00964BC9"/>
    <w:rsid w:val="009666C2"/>
    <w:rsid w:val="00975957"/>
    <w:rsid w:val="00975C76"/>
    <w:rsid w:val="00980E1E"/>
    <w:rsid w:val="00987D93"/>
    <w:rsid w:val="009A055C"/>
    <w:rsid w:val="009A1E88"/>
    <w:rsid w:val="009B34BB"/>
    <w:rsid w:val="009C75B0"/>
    <w:rsid w:val="009E38D4"/>
    <w:rsid w:val="009E5262"/>
    <w:rsid w:val="009F22DE"/>
    <w:rsid w:val="009F301B"/>
    <w:rsid w:val="009F3403"/>
    <w:rsid w:val="009F4A57"/>
    <w:rsid w:val="009F55ED"/>
    <w:rsid w:val="009F5E1A"/>
    <w:rsid w:val="00A04779"/>
    <w:rsid w:val="00A16A2A"/>
    <w:rsid w:val="00A249EE"/>
    <w:rsid w:val="00A253DD"/>
    <w:rsid w:val="00A255CB"/>
    <w:rsid w:val="00A3266D"/>
    <w:rsid w:val="00A36B13"/>
    <w:rsid w:val="00A36EC4"/>
    <w:rsid w:val="00A47D43"/>
    <w:rsid w:val="00A63B90"/>
    <w:rsid w:val="00A642BC"/>
    <w:rsid w:val="00A64A79"/>
    <w:rsid w:val="00A64FB2"/>
    <w:rsid w:val="00A729BA"/>
    <w:rsid w:val="00A7328C"/>
    <w:rsid w:val="00A76EED"/>
    <w:rsid w:val="00A77DA8"/>
    <w:rsid w:val="00A80D30"/>
    <w:rsid w:val="00A83090"/>
    <w:rsid w:val="00A83F34"/>
    <w:rsid w:val="00A915A6"/>
    <w:rsid w:val="00A91667"/>
    <w:rsid w:val="00A92DCB"/>
    <w:rsid w:val="00A94F38"/>
    <w:rsid w:val="00A97E8F"/>
    <w:rsid w:val="00AB414A"/>
    <w:rsid w:val="00AC0577"/>
    <w:rsid w:val="00AC702A"/>
    <w:rsid w:val="00AC719E"/>
    <w:rsid w:val="00AD48CB"/>
    <w:rsid w:val="00AD4A2B"/>
    <w:rsid w:val="00AD50B2"/>
    <w:rsid w:val="00AD72BD"/>
    <w:rsid w:val="00AE1760"/>
    <w:rsid w:val="00AE41D9"/>
    <w:rsid w:val="00AF322A"/>
    <w:rsid w:val="00B026A1"/>
    <w:rsid w:val="00B041AD"/>
    <w:rsid w:val="00B06CB0"/>
    <w:rsid w:val="00B1062B"/>
    <w:rsid w:val="00B12774"/>
    <w:rsid w:val="00B15166"/>
    <w:rsid w:val="00B20810"/>
    <w:rsid w:val="00B225DE"/>
    <w:rsid w:val="00B2567F"/>
    <w:rsid w:val="00B25BC6"/>
    <w:rsid w:val="00B268AB"/>
    <w:rsid w:val="00B36C7B"/>
    <w:rsid w:val="00B47C7F"/>
    <w:rsid w:val="00B57471"/>
    <w:rsid w:val="00B6149C"/>
    <w:rsid w:val="00B71720"/>
    <w:rsid w:val="00B71847"/>
    <w:rsid w:val="00B71E59"/>
    <w:rsid w:val="00B76FB5"/>
    <w:rsid w:val="00B8368D"/>
    <w:rsid w:val="00B926D9"/>
    <w:rsid w:val="00B92D23"/>
    <w:rsid w:val="00BA7A7A"/>
    <w:rsid w:val="00BB0EFF"/>
    <w:rsid w:val="00BC6FC4"/>
    <w:rsid w:val="00BD2D26"/>
    <w:rsid w:val="00BD4FDC"/>
    <w:rsid w:val="00BE50CD"/>
    <w:rsid w:val="00BE7CCA"/>
    <w:rsid w:val="00BF0DED"/>
    <w:rsid w:val="00BF2609"/>
    <w:rsid w:val="00C114AC"/>
    <w:rsid w:val="00C134F0"/>
    <w:rsid w:val="00C164A1"/>
    <w:rsid w:val="00C16AFE"/>
    <w:rsid w:val="00C200CF"/>
    <w:rsid w:val="00C22008"/>
    <w:rsid w:val="00C24140"/>
    <w:rsid w:val="00C2690E"/>
    <w:rsid w:val="00C32045"/>
    <w:rsid w:val="00C32749"/>
    <w:rsid w:val="00C35744"/>
    <w:rsid w:val="00C36121"/>
    <w:rsid w:val="00C42268"/>
    <w:rsid w:val="00C44D7C"/>
    <w:rsid w:val="00C51E64"/>
    <w:rsid w:val="00C526C1"/>
    <w:rsid w:val="00C56489"/>
    <w:rsid w:val="00C71E1C"/>
    <w:rsid w:val="00C82B1F"/>
    <w:rsid w:val="00C84B93"/>
    <w:rsid w:val="00C870A5"/>
    <w:rsid w:val="00C9239C"/>
    <w:rsid w:val="00C936F7"/>
    <w:rsid w:val="00CA2A01"/>
    <w:rsid w:val="00CA6A2E"/>
    <w:rsid w:val="00CB0142"/>
    <w:rsid w:val="00CB2B99"/>
    <w:rsid w:val="00CB2FC7"/>
    <w:rsid w:val="00CB6463"/>
    <w:rsid w:val="00CB7D76"/>
    <w:rsid w:val="00CB7FBC"/>
    <w:rsid w:val="00CD2634"/>
    <w:rsid w:val="00CD6174"/>
    <w:rsid w:val="00D02EA8"/>
    <w:rsid w:val="00D04605"/>
    <w:rsid w:val="00D0755B"/>
    <w:rsid w:val="00D111C4"/>
    <w:rsid w:val="00D12F08"/>
    <w:rsid w:val="00D167B6"/>
    <w:rsid w:val="00D2387E"/>
    <w:rsid w:val="00D25AB5"/>
    <w:rsid w:val="00D260DD"/>
    <w:rsid w:val="00D306B6"/>
    <w:rsid w:val="00D42F1F"/>
    <w:rsid w:val="00D43B10"/>
    <w:rsid w:val="00D447CA"/>
    <w:rsid w:val="00D46B39"/>
    <w:rsid w:val="00D51306"/>
    <w:rsid w:val="00D5300E"/>
    <w:rsid w:val="00D5582A"/>
    <w:rsid w:val="00D61AF4"/>
    <w:rsid w:val="00D62C49"/>
    <w:rsid w:val="00D8006B"/>
    <w:rsid w:val="00D81D21"/>
    <w:rsid w:val="00D83C27"/>
    <w:rsid w:val="00D844C8"/>
    <w:rsid w:val="00D85DC0"/>
    <w:rsid w:val="00D87B6E"/>
    <w:rsid w:val="00D91C8D"/>
    <w:rsid w:val="00D92197"/>
    <w:rsid w:val="00D93C2E"/>
    <w:rsid w:val="00D95BA4"/>
    <w:rsid w:val="00DA10E6"/>
    <w:rsid w:val="00DA341E"/>
    <w:rsid w:val="00DA4CF7"/>
    <w:rsid w:val="00DA627A"/>
    <w:rsid w:val="00DA7E9D"/>
    <w:rsid w:val="00DB11DC"/>
    <w:rsid w:val="00DB345A"/>
    <w:rsid w:val="00DB39A2"/>
    <w:rsid w:val="00DC1CA4"/>
    <w:rsid w:val="00DE22F4"/>
    <w:rsid w:val="00DF7981"/>
    <w:rsid w:val="00E012B3"/>
    <w:rsid w:val="00E036D8"/>
    <w:rsid w:val="00E11DD4"/>
    <w:rsid w:val="00E136DA"/>
    <w:rsid w:val="00E136FA"/>
    <w:rsid w:val="00E15C31"/>
    <w:rsid w:val="00E1738E"/>
    <w:rsid w:val="00E275C4"/>
    <w:rsid w:val="00E33B69"/>
    <w:rsid w:val="00E33CBC"/>
    <w:rsid w:val="00E3447C"/>
    <w:rsid w:val="00E40FF9"/>
    <w:rsid w:val="00E50C10"/>
    <w:rsid w:val="00E51B5F"/>
    <w:rsid w:val="00E51BFF"/>
    <w:rsid w:val="00E6010F"/>
    <w:rsid w:val="00E8047C"/>
    <w:rsid w:val="00E80BA7"/>
    <w:rsid w:val="00E80CAA"/>
    <w:rsid w:val="00E81F3E"/>
    <w:rsid w:val="00E8496C"/>
    <w:rsid w:val="00E90863"/>
    <w:rsid w:val="00E91220"/>
    <w:rsid w:val="00E91E23"/>
    <w:rsid w:val="00E959CF"/>
    <w:rsid w:val="00E961E0"/>
    <w:rsid w:val="00E972A7"/>
    <w:rsid w:val="00EA39F0"/>
    <w:rsid w:val="00EA4B64"/>
    <w:rsid w:val="00EB5019"/>
    <w:rsid w:val="00EC26FC"/>
    <w:rsid w:val="00EC5E33"/>
    <w:rsid w:val="00EC5FE3"/>
    <w:rsid w:val="00ED079C"/>
    <w:rsid w:val="00ED52B9"/>
    <w:rsid w:val="00ED5684"/>
    <w:rsid w:val="00EE1EC5"/>
    <w:rsid w:val="00EE41D1"/>
    <w:rsid w:val="00EE7F53"/>
    <w:rsid w:val="00EF2568"/>
    <w:rsid w:val="00EF44E4"/>
    <w:rsid w:val="00F00F91"/>
    <w:rsid w:val="00F14A17"/>
    <w:rsid w:val="00F169FA"/>
    <w:rsid w:val="00F2038E"/>
    <w:rsid w:val="00F203CB"/>
    <w:rsid w:val="00F2524C"/>
    <w:rsid w:val="00F26B05"/>
    <w:rsid w:val="00F27250"/>
    <w:rsid w:val="00F30814"/>
    <w:rsid w:val="00F30A01"/>
    <w:rsid w:val="00F364C6"/>
    <w:rsid w:val="00F3692F"/>
    <w:rsid w:val="00F4139B"/>
    <w:rsid w:val="00F42A45"/>
    <w:rsid w:val="00F45FEF"/>
    <w:rsid w:val="00F4652A"/>
    <w:rsid w:val="00F61B4B"/>
    <w:rsid w:val="00F63E7A"/>
    <w:rsid w:val="00F74E87"/>
    <w:rsid w:val="00F76406"/>
    <w:rsid w:val="00F8329B"/>
    <w:rsid w:val="00F853D4"/>
    <w:rsid w:val="00F93C1D"/>
    <w:rsid w:val="00F96179"/>
    <w:rsid w:val="00FA35E4"/>
    <w:rsid w:val="00FA56FC"/>
    <w:rsid w:val="00FA61DC"/>
    <w:rsid w:val="00FB3288"/>
    <w:rsid w:val="00FB61D4"/>
    <w:rsid w:val="00FC0826"/>
    <w:rsid w:val="00FE2461"/>
    <w:rsid w:val="00FE630F"/>
    <w:rsid w:val="00FF497C"/>
    <w:rsid w:val="00FF52D9"/>
    <w:rsid w:val="0261B2D4"/>
    <w:rsid w:val="02C28979"/>
    <w:rsid w:val="0553C52F"/>
    <w:rsid w:val="05B439BC"/>
    <w:rsid w:val="066BDE80"/>
    <w:rsid w:val="079BFE42"/>
    <w:rsid w:val="0845D78A"/>
    <w:rsid w:val="0DCFD1D7"/>
    <w:rsid w:val="0E05B1FA"/>
    <w:rsid w:val="0E62063C"/>
    <w:rsid w:val="1213E071"/>
    <w:rsid w:val="1B4A4997"/>
    <w:rsid w:val="1D3464A5"/>
    <w:rsid w:val="1DB79FED"/>
    <w:rsid w:val="231B7EB3"/>
    <w:rsid w:val="27CE6024"/>
    <w:rsid w:val="28FCF54B"/>
    <w:rsid w:val="28FFA369"/>
    <w:rsid w:val="2971E817"/>
    <w:rsid w:val="29E9ADF7"/>
    <w:rsid w:val="2A2A733E"/>
    <w:rsid w:val="2B857E58"/>
    <w:rsid w:val="2DDB6C8E"/>
    <w:rsid w:val="2EE3FF3C"/>
    <w:rsid w:val="33736CCC"/>
    <w:rsid w:val="34F65064"/>
    <w:rsid w:val="3944A631"/>
    <w:rsid w:val="39884191"/>
    <w:rsid w:val="3AE6D08F"/>
    <w:rsid w:val="3AF3D21D"/>
    <w:rsid w:val="3FA9E266"/>
    <w:rsid w:val="43AEA18D"/>
    <w:rsid w:val="43BAC10B"/>
    <w:rsid w:val="461FA014"/>
    <w:rsid w:val="4642AC82"/>
    <w:rsid w:val="466D94BA"/>
    <w:rsid w:val="4BA81C30"/>
    <w:rsid w:val="4C4A6C7C"/>
    <w:rsid w:val="4E4ED571"/>
    <w:rsid w:val="4FA13F35"/>
    <w:rsid w:val="4FDF33AA"/>
    <w:rsid w:val="522949AA"/>
    <w:rsid w:val="56E7CE6D"/>
    <w:rsid w:val="576C66C3"/>
    <w:rsid w:val="577D9960"/>
    <w:rsid w:val="578D18DF"/>
    <w:rsid w:val="5848FDE3"/>
    <w:rsid w:val="5B616B09"/>
    <w:rsid w:val="5E512988"/>
    <w:rsid w:val="6027D843"/>
    <w:rsid w:val="603B4C01"/>
    <w:rsid w:val="610F29EC"/>
    <w:rsid w:val="6CF405ED"/>
    <w:rsid w:val="6E874308"/>
    <w:rsid w:val="6ED650B7"/>
    <w:rsid w:val="6FA8FDC7"/>
    <w:rsid w:val="7204E61B"/>
    <w:rsid w:val="72C32F91"/>
    <w:rsid w:val="740A71B6"/>
    <w:rsid w:val="740B90B3"/>
    <w:rsid w:val="745EA5DF"/>
    <w:rsid w:val="7DDAC083"/>
    <w:rsid w:val="7E61D675"/>
    <w:rsid w:val="7FBF30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CBD4"/>
  <w15:chartTrackingRefBased/>
  <w15:docId w15:val="{A935412F-88FE-42FC-B027-AA40B874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B47C7F"/>
    <w:rPr>
      <w:color w:val="605E5C"/>
      <w:shd w:val="clear" w:color="auto" w:fill="E1DFDD"/>
    </w:rPr>
  </w:style>
  <w:style w:type="paragraph" w:customStyle="1" w:styleId="Body">
    <w:name w:val="_Body"/>
    <w:qFormat/>
    <w:rsid w:val="003246BB"/>
    <w:pPr>
      <w:spacing w:after="113" w:line="240" w:lineRule="atLeast"/>
    </w:pPr>
    <w:rPr>
      <w:rFonts w:eastAsia="Times New Roman" w:cstheme="minorHAnsi"/>
      <w:sz w:val="20"/>
      <w:szCs w:val="20"/>
    </w:rPr>
  </w:style>
  <w:style w:type="paragraph" w:styleId="Caption">
    <w:name w:val="caption"/>
    <w:basedOn w:val="Normal"/>
    <w:next w:val="Normal"/>
    <w:uiPriority w:val="35"/>
    <w:unhideWhenUsed/>
    <w:qFormat/>
    <w:rsid w:val="003246BB"/>
    <w:pPr>
      <w:spacing w:before="0" w:after="200"/>
    </w:pPr>
    <w:rPr>
      <w:i/>
      <w:iCs/>
      <w:color w:val="44546A" w:themeColor="text2"/>
      <w:sz w:val="18"/>
      <w:szCs w:val="18"/>
    </w:rPr>
  </w:style>
  <w:style w:type="paragraph" w:styleId="NoSpacing">
    <w:name w:val="No Spacing"/>
    <w:uiPriority w:val="1"/>
    <w:qFormat/>
    <w:rsid w:val="003246BB"/>
    <w:pPr>
      <w:spacing w:after="0" w:line="240" w:lineRule="auto"/>
    </w:pPr>
    <w:rPr>
      <w:rFonts w:ascii="Arial" w:eastAsia="Times New Roman" w:hAnsi="Arial" w:cs="Arial"/>
      <w:color w:val="000000"/>
      <w:sz w:val="24"/>
      <w:szCs w:val="24"/>
      <w:lang w:eastAsia="en-AU"/>
    </w:rPr>
  </w:style>
  <w:style w:type="character" w:styleId="Mention">
    <w:name w:val="Mention"/>
    <w:basedOn w:val="DefaultParagraphFont"/>
    <w:uiPriority w:val="99"/>
    <w:unhideWhenUsed/>
    <w:rsid w:val="00987D93"/>
    <w:rPr>
      <w:color w:val="2B579A"/>
      <w:shd w:val="clear" w:color="auto" w:fill="E1DFDD"/>
    </w:rPr>
  </w:style>
  <w:style w:type="paragraph" w:styleId="Revision">
    <w:name w:val="Revision"/>
    <w:hidden/>
    <w:uiPriority w:val="99"/>
    <w:semiHidden/>
    <w:rsid w:val="006376E7"/>
    <w:pPr>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6F1758"/>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 w:type="character" w:styleId="SubtleReference">
    <w:name w:val="Subtle Reference"/>
    <w:basedOn w:val="DefaultParagraphFont"/>
    <w:uiPriority w:val="31"/>
    <w:qFormat/>
    <w:rsid w:val="00B12774"/>
    <w:rPr>
      <w:smallCaps/>
      <w:color w:val="5A5A5A" w:themeColor="text1" w:themeTint="A5"/>
    </w:rPr>
  </w:style>
  <w:style w:type="paragraph" w:customStyle="1" w:styleId="SubHeadingDufus">
    <w:name w:val="Sub Heading Dufus!"/>
    <w:basedOn w:val="Heading2"/>
    <w:link w:val="SubHeadingDufusChar"/>
    <w:qFormat/>
    <w:rsid w:val="00D8006B"/>
    <w:rPr>
      <w:rFonts w:eastAsia="Calibri"/>
      <w:b/>
      <w:bCs/>
      <w:sz w:val="24"/>
    </w:rPr>
  </w:style>
  <w:style w:type="character" w:customStyle="1" w:styleId="SubHeadingDufusChar">
    <w:name w:val="Sub Heading Dufus! Char"/>
    <w:basedOn w:val="Heading2Char"/>
    <w:link w:val="SubHeadingDufus"/>
    <w:rsid w:val="00D8006B"/>
    <w:rPr>
      <w:rFonts w:ascii="Arial" w:eastAsia="Calibri" w:hAnsi="Arial" w:cs="Arial"/>
      <w:b/>
      <w:bCs/>
      <w:color w:val="000000"/>
      <w:sz w:val="24"/>
      <w:szCs w:val="24"/>
      <w:lang w:eastAsia="en-AU"/>
    </w:rPr>
  </w:style>
  <w:style w:type="paragraph" w:styleId="BodyText">
    <w:name w:val="Body Text"/>
    <w:basedOn w:val="Normal"/>
    <w:link w:val="BodyTextChar"/>
    <w:uiPriority w:val="1"/>
    <w:qFormat/>
    <w:rsid w:val="0071521D"/>
    <w:pPr>
      <w:widowControl w:val="0"/>
      <w:autoSpaceDE w:val="0"/>
      <w:autoSpaceDN w:val="0"/>
      <w:spacing w:before="0" w:after="0"/>
    </w:pPr>
    <w:rPr>
      <w:rFonts w:ascii="Carlito" w:eastAsia="Carlito" w:hAnsi="Carlito" w:cs="Carlito"/>
      <w:color w:val="auto"/>
      <w:sz w:val="22"/>
      <w:szCs w:val="22"/>
      <w:lang w:val="en-US" w:eastAsia="en-US"/>
    </w:rPr>
  </w:style>
  <w:style w:type="character" w:customStyle="1" w:styleId="BodyTextChar">
    <w:name w:val="Body Text Char"/>
    <w:basedOn w:val="DefaultParagraphFont"/>
    <w:link w:val="BodyText"/>
    <w:uiPriority w:val="1"/>
    <w:rsid w:val="0071521D"/>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793548863">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icmap@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nd.vic.gov.au/maps-and-spatial/spatial-data/updates-to-vicmap/vicmap-change-noti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cmap.help@delwp.vic.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rvices.land.vic.gov.au/reftab/"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DOCID403-1467807719-832</_dlc_DocId>
    <_dlc_DocIdUrl xmlns="a5f32de4-e402-4188-b034-e71ca7d22e54">
      <Url>https://delwpvicgovau.sharepoint.com/sites/ecm_403/_layouts/15/DocIdRedir.aspx?ID=DOCID403-1467807719-832</Url>
      <Description>DOCID403-1467807719-832</Description>
    </_dlc_DocIdUrl>
    <ReportOwner xmlns="http://schemas.microsoft.com/sharepoint/v3">
      <UserInfo>
        <DisplayName/>
        <AccountId xsi:nil="true"/>
        <AccountType/>
      </UserInfo>
    </ReportOwner>
    <Stream xmlns="796bf7dc-ad35-46ef-9dab-c8e393d128cb">Vicmap change management</Stream>
    <ParentId xmlns="http://schemas.microsoft.com/sharepoint/v3" xsi:nil="true"/>
    <ReportCategory xmlns="http://schemas.microsoft.com/sharepoint/v3" xsi:nil="true"/>
    <ReportDescription xmlns="http://schemas.microsoft.com/sharepoint/v3" xsi:nil="true"/>
    <ReportStatus xmlns="http://schemas.microsoft.com/sharepoint/v3" xsi:nil="true"/>
    <Category xmlns="796bf7dc-ad35-46ef-9dab-c8e393d128cb">Vicmap change notices</Category>
  </documentManagement>
</p: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mso-contentType ?>
<SharedContentType xmlns="Microsoft.SharePoint.Taxonomy.ContentTypeSync" SourceId="797aeec6-0273-40f2-ab3e-beee73212332" ContentTypeId="0x01010058DDEB47312E4967BFC1576B96E8C3D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eport" ma:contentTypeID="0x01010058DDEB47312E4967BFC1576B96E8C3D400AA9225BF699CB24D9BD77B08C7E160F1" ma:contentTypeVersion="29" ma:contentTypeDescription="" ma:contentTypeScope="" ma:versionID="7db05fd64e308b1e51378f60f73cfa5c">
  <xsd:schema xmlns:xsd="http://www.w3.org/2001/XMLSchema" xmlns:xs="http://www.w3.org/2001/XMLSchema" xmlns:p="http://schemas.microsoft.com/office/2006/metadata/properties" xmlns:ns1="http://schemas.microsoft.com/sharepoint/v3" xmlns:ns2="a5f32de4-e402-4188-b034-e71ca7d22e54" xmlns:ns3="796bf7dc-ad35-46ef-9dab-c8e393d128cb" targetNamespace="http://schemas.microsoft.com/office/2006/metadata/properties" ma:root="true" ma:fieldsID="41a4770358597c881eb76fc1ff8a30c0" ns1:_="" ns2:_="" ns3:_="">
    <xsd:import namespace="http://schemas.microsoft.com/sharepoint/v3"/>
    <xsd:import namespace="a5f32de4-e402-4188-b034-e71ca7d22e54"/>
    <xsd:import namespace="796bf7dc-ad35-46ef-9dab-c8e393d128cb"/>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Category" minOccurs="0"/>
                <xsd:element ref="ns3: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16"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17"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2.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a5f32de4-e402-4188-b034-e71ca7d22e54"/>
    <ds:schemaRef ds:uri="http://schemas.microsoft.com/sharepoint/v3"/>
    <ds:schemaRef ds:uri="796bf7dc-ad35-46ef-9dab-c8e393d128cb"/>
  </ds:schemaRefs>
</ds:datastoreItem>
</file>

<file path=customXml/itemProps3.xml><?xml version="1.0" encoding="utf-8"?>
<ds:datastoreItem xmlns:ds="http://schemas.openxmlformats.org/officeDocument/2006/customXml" ds:itemID="{611FD9C4-3941-4F08-BA7E-910DFDE0587D}">
  <ds:schemaRefs>
    <ds:schemaRef ds:uri="http://schemas.microsoft.com/sharepoint/v3/contenttype/forms"/>
  </ds:schemaRefs>
</ds:datastoreItem>
</file>

<file path=customXml/itemProps4.xml><?xml version="1.0" encoding="utf-8"?>
<ds:datastoreItem xmlns:ds="http://schemas.openxmlformats.org/officeDocument/2006/customXml" ds:itemID="{434A6861-2E6C-4191-AFEA-F79BFA1C2EFB}">
  <ds:schemaRefs>
    <ds:schemaRef ds:uri="Microsoft.SharePoint.Taxonomy.ContentTypeSync"/>
  </ds:schemaRefs>
</ds:datastoreItem>
</file>

<file path=customXml/itemProps5.xml><?xml version="1.0" encoding="utf-8"?>
<ds:datastoreItem xmlns:ds="http://schemas.openxmlformats.org/officeDocument/2006/customXml" ds:itemID="{C6E2D655-363E-4BF3-A3A3-7E1E8C808AE3}">
  <ds:schemaRefs>
    <ds:schemaRef ds:uri="http://schemas.microsoft.com/sharepoint/events"/>
  </ds:schemaRefs>
</ds:datastoreItem>
</file>

<file path=customXml/itemProps6.xml><?xml version="1.0" encoding="utf-8"?>
<ds:datastoreItem xmlns:ds="http://schemas.openxmlformats.org/officeDocument/2006/customXml" ds:itemID="{E8653048-9B3F-48F2-BE4A-C52B96169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Jess Pietsch handover docs</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 Pietsch handover docs</dc:title>
  <dc:subject/>
  <dc:creator>Jessica M Pietsch (DELWP)</dc:creator>
  <cp:keywords/>
  <dc:description/>
  <cp:lastModifiedBy>Penelope Vallentine (DELWP)</cp:lastModifiedBy>
  <cp:revision>3</cp:revision>
  <dcterms:created xsi:type="dcterms:W3CDTF">2021-10-13T00:22:00Z</dcterms:created>
  <dcterms:modified xsi:type="dcterms:W3CDTF">2021-10-13T00:23:00Z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0x01010058DDEB47312E4967BFC1576B96E8C3D400AA9225BF699CB24D9BD77B08C7E160F1</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01ae42d0-fb47-46f5-abb2-09be807144b4</vt:lpwstr>
  </property>
  <property fmtid="{D5CDD505-2E9C-101B-9397-08002B2CF9AE}" pid="16" name="Section">
    <vt:lpwstr>7;#All|8270565e-a836-42c0-aa61-1ac7b0ff14aa</vt:lpwstr>
  </property>
  <property fmtid="{D5CDD505-2E9C-101B-9397-08002B2CF9AE}" pid="17" name="Agency">
    <vt:lpwstr>1;#Department of Environment, Land, Water and Planning|607a3f87-1228-4cd9-82a5-076aa8776274</vt:lpwstr>
  </property>
  <property fmtid="{D5CDD505-2E9C-101B-9397-08002B2CF9AE}" pid="18" name="a25c4e3633654d669cbaa09ae6b70789">
    <vt:lpwstr/>
  </property>
  <property fmtid="{D5CDD505-2E9C-101B-9397-08002B2CF9AE}" pid="19" name="pd01c257034b4e86b1f58279a3bd54c6">
    <vt:lpwstr>Unclassified|7fa379f4-4aba-4692-ab80-7d39d3a23cf4</vt:lpwstr>
  </property>
  <property fmtid="{D5CDD505-2E9C-101B-9397-08002B2CF9AE}" pid="20" name="Branch">
    <vt:lpwstr>5;#All|8270565e-a836-42c0-aa61-1ac7b0ff14aa</vt:lpwstr>
  </property>
  <property fmtid="{D5CDD505-2E9C-101B-9397-08002B2CF9AE}" pid="21" name="o85941e134754762b9719660a258a6e6">
    <vt:lpwstr/>
  </property>
  <property fmtid="{D5CDD505-2E9C-101B-9397-08002B2CF9AE}" pid="22" name="ece32f50ba964e1fbf627a9d83fe6c01">
    <vt:lpwstr>Department of Environment, Land, Water and Planning|607a3f87-1228-4cd9-82a5-076aa8776274</vt:lpwstr>
  </property>
  <property fmtid="{D5CDD505-2E9C-101B-9397-08002B2CF9AE}" pid="23" name="Reference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k1bd994a94c2413797db3bab8f123f6f">
    <vt:lpwstr>All|8270565e-a836-42c0-aa61-1ac7b0ff14aa</vt:lpwstr>
  </property>
  <property fmtid="{D5CDD505-2E9C-101B-9397-08002B2CF9AE}" pid="27" name="Division">
    <vt:lpwstr>4;#Land Use Victoria|df55b370-7608-494b-9fb4-f51a3f958028</vt:lpwstr>
  </property>
  <property fmtid="{D5CDD505-2E9C-101B-9397-08002B2CF9AE}" pid="28" name="Sub_x002d_Section">
    <vt:lpwstr/>
  </property>
  <property fmtid="{D5CDD505-2E9C-101B-9397-08002B2CF9AE}" pid="29" name="mfe9accc5a0b4653a7b513b67ffd122d">
    <vt:lpwstr>All|8270565e-a836-42c0-aa61-1ac7b0ff14aa</vt:lpwstr>
  </property>
  <property fmtid="{D5CDD505-2E9C-101B-9397-08002B2CF9AE}" pid="30" name="Group1">
    <vt:lpwstr>6;#Local Infrastructure|35232ce7-1039-46ab-a331-4c8e969be43f</vt:lpwstr>
  </property>
  <property fmtid="{D5CDD505-2E9C-101B-9397-08002B2CF9AE}" pid="31" name="n771d69a070c4babbf278c67c8a2b859">
    <vt:lpwstr>Land Use Victoria|df55b370-7608-494b-9fb4-f51a3f958028</vt:lpwstr>
  </property>
  <property fmtid="{D5CDD505-2E9C-101B-9397-08002B2CF9AE}" pid="32" name="fb3179c379644f499d7166d0c985669b">
    <vt:lpwstr>FOUO|955eb6fc-b35a-4808-8aa5-31e514fa3f26</vt:lpwstr>
  </property>
  <property fmtid="{D5CDD505-2E9C-101B-9397-08002B2CF9AE}" pid="33" name="ld508a88e6264ce89693af80a72862cb">
    <vt:lpwstr/>
  </property>
  <property fmtid="{D5CDD505-2E9C-101B-9397-08002B2CF9AE}" pid="34"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35" name="ic50d0a05a8e4d9791dac67f8a1e716c">
    <vt:lpwstr>Local Infrastructure|35232ce7-1039-46ab-a331-4c8e969be43f</vt:lpwstr>
  </property>
  <property fmtid="{D5CDD505-2E9C-101B-9397-08002B2CF9AE}" pid="36" name="Copyright_x0020_License_x0020_Type">
    <vt:lpwstr/>
  </property>
  <property fmtid="{D5CDD505-2E9C-101B-9397-08002B2CF9AE}" pid="37" name="Sub-Section">
    <vt:lpwstr/>
  </property>
  <property fmtid="{D5CDD505-2E9C-101B-9397-08002B2CF9AE}" pid="38" name="Copyright Licence Name">
    <vt:lpwstr/>
  </property>
  <property fmtid="{D5CDD505-2E9C-101B-9397-08002B2CF9AE}" pid="39" name="Copyright License Type">
    <vt:lpwstr/>
  </property>
  <property fmtid="{D5CDD505-2E9C-101B-9397-08002B2CF9AE}" pid="40" name="Reference Type">
    <vt:lpwstr/>
  </property>
  <property fmtid="{D5CDD505-2E9C-101B-9397-08002B2CF9AE}" pid="41" name="SharedWithUsers">
    <vt:lpwstr>25;#Jacqueline L LeLievre (DELWP);#1358;#Clara S Reed (DELWP);#859;#Penelope Vallentine (DELWP);#152;#John F White (DELWP);#246;#Ross A Honeyman (DELWP);#882;#Cat A Gilbert (DELWP);#43;#Geraldine M Karla (DELWP);#128;#Peter Debicki (DELWP);#61;#Robert H M</vt:lpwstr>
  </property>
</Properties>
</file>