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1340" w:rightFromText="5670" w:bottomFromText="284" w:vertAnchor="page" w:horzAnchor="margin" w:tblpXSpec="right" w:tblpY="455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4"/>
      </w:tblGrid>
      <w:tr w:rsidR="00975ED3" w:rsidRPr="00975ED3" w:rsidTr="004C0179">
        <w:trPr>
          <w:trHeight w:hRule="exact" w:val="1418"/>
        </w:trPr>
        <w:tc>
          <w:tcPr>
            <w:tcW w:w="12614" w:type="dxa"/>
            <w:vAlign w:val="center"/>
          </w:tcPr>
          <w:p w:rsidR="00A5462F" w:rsidRPr="00A5462F" w:rsidRDefault="00971879" w:rsidP="00B60028">
            <w:pPr>
              <w:pStyle w:val="Title"/>
            </w:pPr>
            <w:r>
              <w:t>Stakeholder</w:t>
            </w:r>
            <w:r w:rsidR="00C235F6">
              <w:t xml:space="preserve"> feedback and Land Use Victoria responses </w:t>
            </w:r>
            <w:r>
              <w:t xml:space="preserve">to consultation about creating </w:t>
            </w:r>
            <w:r w:rsidR="00C235F6">
              <w:t>restrictive covenants in transfers and restrictions in plans</w:t>
            </w:r>
          </w:p>
        </w:tc>
      </w:tr>
      <w:tr w:rsidR="00975ED3" w:rsidTr="004C0179">
        <w:trPr>
          <w:trHeight w:val="1247"/>
        </w:trPr>
        <w:tc>
          <w:tcPr>
            <w:tcW w:w="12614" w:type="dxa"/>
            <w:vAlign w:val="center"/>
          </w:tcPr>
          <w:p w:rsidR="00A5462F" w:rsidRPr="00A5462F" w:rsidRDefault="00A5462F" w:rsidP="00B60028">
            <w:pPr>
              <w:pStyle w:val="Subtitle"/>
            </w:pPr>
          </w:p>
        </w:tc>
      </w:tr>
    </w:tbl>
    <w:p w:rsidR="00806AB6" w:rsidRDefault="00806AB6" w:rsidP="00307C36"/>
    <w:p w:rsidR="00806AB6" w:rsidRDefault="00806AB6" w:rsidP="00806AB6">
      <w:pPr>
        <w:pStyle w:val="BodyText"/>
        <w:sectPr w:rsidR="00806AB6" w:rsidSect="004C01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7" w:orient="landscape" w:code="9"/>
          <w:pgMar w:top="2211" w:right="851" w:bottom="1758" w:left="851" w:header="284" w:footer="284" w:gutter="0"/>
          <w:cols w:space="284"/>
          <w:titlePg/>
          <w:docGrid w:linePitch="360"/>
        </w:sectPr>
      </w:pPr>
    </w:p>
    <w:p w:rsidR="00C235F6" w:rsidRDefault="008D7087" w:rsidP="00AB6BD2">
      <w:pPr>
        <w:pStyle w:val="Heading1"/>
      </w:pPr>
      <w:bookmarkStart w:id="0" w:name="Here"/>
      <w:bookmarkEnd w:id="0"/>
      <w:r w:rsidRPr="00050253">
        <w:t xml:space="preserve">Introduction </w:t>
      </w:r>
    </w:p>
    <w:p w:rsidR="00E11BD6" w:rsidRDefault="00E11BD6" w:rsidP="00E11BD6">
      <w:pPr>
        <w:pStyle w:val="ListParagraph"/>
        <w:spacing w:after="200" w:line="360" w:lineRule="auto"/>
        <w:ind w:left="641"/>
        <w:rPr>
          <w:rFonts w:cs="Tahoma"/>
          <w:sz w:val="24"/>
          <w:szCs w:val="24"/>
        </w:rPr>
      </w:pPr>
    </w:p>
    <w:p w:rsidR="00C235F6" w:rsidRPr="00790093" w:rsidRDefault="00C235F6" w:rsidP="00C235F6">
      <w:pPr>
        <w:pStyle w:val="ListParagraph"/>
        <w:numPr>
          <w:ilvl w:val="0"/>
          <w:numId w:val="43"/>
        </w:numPr>
        <w:spacing w:after="200" w:line="360" w:lineRule="auto"/>
        <w:ind w:left="641" w:hanging="357"/>
        <w:rPr>
          <w:rFonts w:cs="Tahoma"/>
          <w:sz w:val="24"/>
          <w:szCs w:val="24"/>
        </w:rPr>
      </w:pPr>
      <w:r w:rsidRPr="00790093">
        <w:rPr>
          <w:rFonts w:cs="Tahoma"/>
          <w:sz w:val="24"/>
          <w:szCs w:val="24"/>
        </w:rPr>
        <w:t xml:space="preserve">The </w:t>
      </w:r>
      <w:r w:rsidR="009C51E1">
        <w:rPr>
          <w:rFonts w:cs="Tahoma"/>
          <w:sz w:val="24"/>
          <w:szCs w:val="24"/>
        </w:rPr>
        <w:t>c</w:t>
      </w:r>
      <w:r w:rsidR="009C51E1" w:rsidRPr="00790093">
        <w:rPr>
          <w:rFonts w:cs="Tahoma"/>
          <w:sz w:val="24"/>
          <w:szCs w:val="24"/>
        </w:rPr>
        <w:t xml:space="preserve">onsultation </w:t>
      </w:r>
      <w:r w:rsidR="009C51E1">
        <w:rPr>
          <w:rFonts w:cs="Tahoma"/>
          <w:sz w:val="24"/>
          <w:szCs w:val="24"/>
        </w:rPr>
        <w:t>p</w:t>
      </w:r>
      <w:r w:rsidR="009C51E1" w:rsidRPr="00790093">
        <w:rPr>
          <w:rFonts w:cs="Tahoma"/>
          <w:sz w:val="24"/>
          <w:szCs w:val="24"/>
        </w:rPr>
        <w:t xml:space="preserve">aper </w:t>
      </w:r>
      <w:r w:rsidRPr="00790093">
        <w:rPr>
          <w:rFonts w:cs="Tahoma"/>
          <w:sz w:val="24"/>
          <w:szCs w:val="24"/>
        </w:rPr>
        <w:t>released on 2 December 2016 outlined proposed change</w:t>
      </w:r>
      <w:r>
        <w:rPr>
          <w:rFonts w:cs="Tahoma"/>
          <w:sz w:val="24"/>
          <w:szCs w:val="24"/>
        </w:rPr>
        <w:t>s</w:t>
      </w:r>
      <w:r w:rsidRPr="00790093">
        <w:rPr>
          <w:rFonts w:cs="Tahoma"/>
          <w:sz w:val="24"/>
          <w:szCs w:val="24"/>
        </w:rPr>
        <w:t xml:space="preserve"> to how restrictive covenants in transfers and restrictions in plans (restrictive covenants/restrictions) are created.</w:t>
      </w:r>
    </w:p>
    <w:p w:rsidR="00C235F6" w:rsidRPr="00790093" w:rsidRDefault="00C235F6" w:rsidP="00C235F6">
      <w:pPr>
        <w:pStyle w:val="ListParagraph"/>
        <w:numPr>
          <w:ilvl w:val="0"/>
          <w:numId w:val="43"/>
        </w:numPr>
        <w:spacing w:after="200" w:line="360" w:lineRule="auto"/>
        <w:ind w:left="641" w:hanging="357"/>
        <w:rPr>
          <w:rFonts w:cs="Tahoma"/>
          <w:sz w:val="24"/>
          <w:szCs w:val="24"/>
        </w:rPr>
      </w:pPr>
      <w:r w:rsidRPr="00790093">
        <w:rPr>
          <w:rFonts w:cs="Tahoma"/>
          <w:sz w:val="24"/>
          <w:szCs w:val="24"/>
        </w:rPr>
        <w:t>The closing date for submissions was 31 January 2017.</w:t>
      </w:r>
    </w:p>
    <w:p w:rsidR="00C235F6" w:rsidRPr="00790093" w:rsidRDefault="00C235F6" w:rsidP="00C235F6">
      <w:pPr>
        <w:pStyle w:val="ListParagraph"/>
        <w:numPr>
          <w:ilvl w:val="0"/>
          <w:numId w:val="43"/>
        </w:numPr>
        <w:spacing w:after="240" w:line="360" w:lineRule="auto"/>
        <w:ind w:left="641" w:hanging="357"/>
        <w:rPr>
          <w:rFonts w:eastAsia="Calibri" w:cs="Tahoma"/>
          <w:sz w:val="24"/>
          <w:szCs w:val="24"/>
        </w:rPr>
      </w:pPr>
      <w:r w:rsidRPr="00790093">
        <w:rPr>
          <w:rFonts w:cs="Tahoma"/>
          <w:sz w:val="24"/>
          <w:szCs w:val="24"/>
        </w:rPr>
        <w:t>Eleven submissions were received from conveyancers, councils, land consultants, lawyers, surveyors and representative organisations for conveyancers, lawyers, legal executives and surveyors.</w:t>
      </w:r>
      <w:r w:rsidR="00971879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Land Use Victoria (LUV) sought further clarification </w:t>
      </w:r>
      <w:r w:rsidR="00971879">
        <w:rPr>
          <w:rFonts w:cs="Tahoma"/>
          <w:sz w:val="24"/>
          <w:szCs w:val="24"/>
        </w:rPr>
        <w:t xml:space="preserve">on </w:t>
      </w:r>
      <w:r>
        <w:rPr>
          <w:rFonts w:cs="Tahoma"/>
          <w:sz w:val="24"/>
          <w:szCs w:val="24"/>
        </w:rPr>
        <w:t>feedback in one of the submissions.</w:t>
      </w:r>
    </w:p>
    <w:p w:rsidR="00C235F6" w:rsidRPr="00790093" w:rsidRDefault="00C235F6" w:rsidP="00C235F6">
      <w:pPr>
        <w:pStyle w:val="ListParagraph"/>
        <w:numPr>
          <w:ilvl w:val="0"/>
          <w:numId w:val="43"/>
        </w:numPr>
        <w:spacing w:after="240" w:line="360" w:lineRule="auto"/>
        <w:ind w:left="641" w:hanging="357"/>
        <w:rPr>
          <w:rFonts w:eastAsia="Calibri" w:cs="Tahoma"/>
          <w:sz w:val="24"/>
          <w:szCs w:val="24"/>
        </w:rPr>
      </w:pPr>
      <w:r w:rsidRPr="00790093">
        <w:rPr>
          <w:rFonts w:eastAsia="Calibri" w:cs="Tahoma"/>
          <w:sz w:val="24"/>
          <w:szCs w:val="24"/>
        </w:rPr>
        <w:t xml:space="preserve">Overall, the submissions supported the proposals in the </w:t>
      </w:r>
      <w:r w:rsidR="00971879">
        <w:rPr>
          <w:rFonts w:eastAsia="Calibri" w:cs="Tahoma"/>
          <w:sz w:val="24"/>
          <w:szCs w:val="24"/>
        </w:rPr>
        <w:t>c</w:t>
      </w:r>
      <w:r w:rsidR="00971879" w:rsidRPr="00790093">
        <w:rPr>
          <w:rFonts w:eastAsia="Calibri" w:cs="Tahoma"/>
          <w:sz w:val="24"/>
          <w:szCs w:val="24"/>
        </w:rPr>
        <w:t xml:space="preserve">onsultation </w:t>
      </w:r>
      <w:r w:rsidR="00971879">
        <w:rPr>
          <w:rFonts w:eastAsia="Calibri" w:cs="Tahoma"/>
          <w:sz w:val="24"/>
          <w:szCs w:val="24"/>
        </w:rPr>
        <w:t>p</w:t>
      </w:r>
      <w:r w:rsidR="00971879" w:rsidRPr="00790093">
        <w:rPr>
          <w:rFonts w:eastAsia="Calibri" w:cs="Tahoma"/>
          <w:sz w:val="24"/>
          <w:szCs w:val="24"/>
        </w:rPr>
        <w:t>aper</w:t>
      </w:r>
      <w:r w:rsidRPr="00790093">
        <w:rPr>
          <w:rFonts w:eastAsia="Calibri" w:cs="Tahoma"/>
          <w:sz w:val="24"/>
          <w:szCs w:val="24"/>
        </w:rPr>
        <w:t>. Three submissions raised no issues.</w:t>
      </w:r>
    </w:p>
    <w:p w:rsidR="00C235F6" w:rsidRPr="00A62353" w:rsidRDefault="00C235F6" w:rsidP="00C235F6">
      <w:pPr>
        <w:pStyle w:val="ListParagraph"/>
        <w:numPr>
          <w:ilvl w:val="0"/>
          <w:numId w:val="43"/>
        </w:numPr>
        <w:spacing w:after="240" w:line="360" w:lineRule="auto"/>
        <w:ind w:hanging="357"/>
        <w:rPr>
          <w:rFonts w:cs="Tahoma"/>
          <w:b/>
          <w:sz w:val="24"/>
          <w:szCs w:val="24"/>
        </w:rPr>
      </w:pPr>
      <w:r w:rsidRPr="00790093">
        <w:rPr>
          <w:rFonts w:eastAsia="Calibri" w:cs="Tahoma"/>
          <w:sz w:val="24"/>
          <w:szCs w:val="24"/>
        </w:rPr>
        <w:t>The key issues raised by remaining submissions are outlined in further detail below together with the L</w:t>
      </w:r>
      <w:r>
        <w:rPr>
          <w:rFonts w:eastAsia="Calibri" w:cs="Tahoma"/>
          <w:sz w:val="24"/>
          <w:szCs w:val="24"/>
        </w:rPr>
        <w:t>UV</w:t>
      </w:r>
      <w:r w:rsidRPr="00790093">
        <w:rPr>
          <w:rFonts w:eastAsia="Calibri" w:cs="Tahoma"/>
          <w:sz w:val="24"/>
          <w:szCs w:val="24"/>
        </w:rPr>
        <w:t xml:space="preserve"> response to these issues.</w:t>
      </w:r>
    </w:p>
    <w:p w:rsidR="00E11BD6" w:rsidRDefault="00E11BD6">
      <w:pPr>
        <w:rPr>
          <w:color w:val="B3272F" w:themeColor="text2"/>
          <w:sz w:val="32"/>
        </w:rPr>
      </w:pPr>
      <w:r>
        <w:br w:type="page"/>
      </w:r>
    </w:p>
    <w:tbl>
      <w:tblPr>
        <w:tblStyle w:val="TableGrid10"/>
        <w:tblW w:w="13892" w:type="dxa"/>
        <w:tblInd w:w="108" w:type="dxa"/>
        <w:tblLook w:val="04A0" w:firstRow="1" w:lastRow="0" w:firstColumn="1" w:lastColumn="0" w:noHBand="0" w:noVBand="1"/>
      </w:tblPr>
      <w:tblGrid>
        <w:gridCol w:w="460"/>
        <w:gridCol w:w="4492"/>
        <w:gridCol w:w="1817"/>
        <w:gridCol w:w="7123"/>
      </w:tblGrid>
      <w:tr w:rsidR="00E11BD6" w:rsidRPr="00E11BD6" w:rsidTr="00E11BD6">
        <w:trPr>
          <w:tblHeader/>
        </w:trPr>
        <w:tc>
          <w:tcPr>
            <w:tcW w:w="460" w:type="dxa"/>
            <w:shd w:val="clear" w:color="auto" w:fill="D9D9D9"/>
          </w:tcPr>
          <w:p w:rsidR="00E11BD6" w:rsidRPr="00E11BD6" w:rsidRDefault="00E11BD6" w:rsidP="00E11BD6">
            <w:pPr>
              <w:spacing w:before="60" w:after="6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lastRenderedPageBreak/>
              <w:t>#</w:t>
            </w:r>
          </w:p>
        </w:tc>
        <w:tc>
          <w:tcPr>
            <w:tcW w:w="4492" w:type="dxa"/>
            <w:shd w:val="clear" w:color="auto" w:fill="D9D9D9"/>
            <w:vAlign w:val="center"/>
          </w:tcPr>
          <w:p w:rsidR="00E11BD6" w:rsidRPr="00E11BD6" w:rsidRDefault="00E11BD6" w:rsidP="00E11BD6">
            <w:pPr>
              <w:spacing w:before="60" w:after="6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Issue</w:t>
            </w:r>
            <w:bookmarkStart w:id="1" w:name="_GoBack"/>
            <w:bookmarkEnd w:id="1"/>
            <w:r w:rsidRPr="00E11BD6">
              <w:rPr>
                <w:rFonts w:ascii="Calibri" w:hAnsi="Calibri" w:cs="Tahoma"/>
                <w:sz w:val="24"/>
                <w:szCs w:val="24"/>
              </w:rPr>
              <w:t>/</w:t>
            </w:r>
            <w:r w:rsidR="002675BD">
              <w:rPr>
                <w:rFonts w:ascii="Calibri" w:hAnsi="Calibri" w:cs="Tahoma"/>
                <w:sz w:val="24"/>
                <w:szCs w:val="24"/>
              </w:rPr>
              <w:t>s</w:t>
            </w:r>
            <w:r w:rsidR="002675BD" w:rsidRPr="00E11BD6">
              <w:rPr>
                <w:rFonts w:ascii="Calibri" w:hAnsi="Calibri" w:cs="Tahoma"/>
                <w:sz w:val="24"/>
                <w:szCs w:val="24"/>
              </w:rPr>
              <w:t xml:space="preserve">ubmitter </w:t>
            </w:r>
            <w:r w:rsidR="002675BD">
              <w:rPr>
                <w:rFonts w:ascii="Calibri" w:hAnsi="Calibri" w:cs="Tahoma"/>
                <w:sz w:val="24"/>
                <w:szCs w:val="24"/>
              </w:rPr>
              <w:t>c</w:t>
            </w:r>
            <w:r w:rsidR="002675BD" w:rsidRPr="00E11BD6">
              <w:rPr>
                <w:rFonts w:ascii="Calibri" w:hAnsi="Calibri" w:cs="Tahoma"/>
                <w:sz w:val="24"/>
                <w:szCs w:val="24"/>
              </w:rPr>
              <w:t>omment</w:t>
            </w:r>
          </w:p>
        </w:tc>
        <w:tc>
          <w:tcPr>
            <w:tcW w:w="1817" w:type="dxa"/>
            <w:shd w:val="clear" w:color="auto" w:fill="D9D9D9"/>
          </w:tcPr>
          <w:p w:rsidR="00E11BD6" w:rsidRPr="00E11BD6" w:rsidRDefault="00E11BD6" w:rsidP="00E11BD6">
            <w:pPr>
              <w:spacing w:before="60" w:after="6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Action taken</w:t>
            </w:r>
          </w:p>
        </w:tc>
        <w:tc>
          <w:tcPr>
            <w:tcW w:w="7123" w:type="dxa"/>
            <w:shd w:val="clear" w:color="auto" w:fill="D9D9D9"/>
            <w:vAlign w:val="center"/>
          </w:tcPr>
          <w:p w:rsidR="00E11BD6" w:rsidRPr="00E11BD6" w:rsidRDefault="00E11BD6" w:rsidP="00E11BD6">
            <w:pPr>
              <w:spacing w:before="60" w:after="6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Land Use Victoria (LUV) response</w:t>
            </w:r>
          </w:p>
        </w:tc>
      </w:tr>
      <w:tr w:rsidR="00E11BD6" w:rsidRPr="00E11BD6" w:rsidTr="00B731E8">
        <w:tc>
          <w:tcPr>
            <w:tcW w:w="460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/>
                <w:sz w:val="24"/>
                <w:szCs w:val="24"/>
              </w:rPr>
            </w:pPr>
            <w:r w:rsidRPr="00E11BD6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4492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/>
                <w:sz w:val="24"/>
                <w:szCs w:val="24"/>
              </w:rPr>
              <w:t>The proposed date for commencement of the requirement needs to provide at least 5-6 months’ transition.</w:t>
            </w:r>
          </w:p>
        </w:tc>
        <w:tc>
          <w:tcPr>
            <w:tcW w:w="1817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Proposal amended</w:t>
            </w:r>
          </w:p>
        </w:tc>
        <w:tc>
          <w:tcPr>
            <w:tcW w:w="7123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LUV acknowledges that sufficient lead time is required for customers to meet the new requirements.</w:t>
            </w:r>
            <w:r w:rsidR="00971879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Pr="00E11BD6">
              <w:rPr>
                <w:rFonts w:ascii="Calibri" w:hAnsi="Calibri" w:cs="Tahoma"/>
                <w:sz w:val="24"/>
                <w:szCs w:val="24"/>
              </w:rPr>
              <w:t xml:space="preserve"> </w:t>
            </w:r>
          </w:p>
          <w:p w:rsidR="00E11BD6" w:rsidRPr="00E11BD6" w:rsidRDefault="00E11BD6" w:rsidP="00E11BD6">
            <w:pPr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The date for commencement will be:</w:t>
            </w:r>
          </w:p>
          <w:p w:rsidR="00E11BD6" w:rsidRPr="00E11BD6" w:rsidRDefault="00E11BD6" w:rsidP="00E11BD6">
            <w:pPr>
              <w:numPr>
                <w:ilvl w:val="0"/>
                <w:numId w:val="45"/>
              </w:numPr>
              <w:spacing w:after="240"/>
              <w:contextualSpacing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for transfers, any contract of sale signed on or after 1 July 2018;</w:t>
            </w:r>
          </w:p>
          <w:p w:rsidR="00E11BD6" w:rsidRPr="00E11BD6" w:rsidRDefault="00E11BD6" w:rsidP="00E11BD6">
            <w:pPr>
              <w:numPr>
                <w:ilvl w:val="0"/>
                <w:numId w:val="45"/>
              </w:numPr>
              <w:spacing w:after="240"/>
              <w:contextualSpacing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for transfers, where there is no contract of sale, any transfer signed on or after 1 July 2018;</w:t>
            </w:r>
          </w:p>
          <w:p w:rsidR="00E11BD6" w:rsidRPr="00E11BD6" w:rsidRDefault="00E11BD6" w:rsidP="00E11BD6">
            <w:pPr>
              <w:numPr>
                <w:ilvl w:val="0"/>
                <w:numId w:val="45"/>
              </w:numPr>
              <w:spacing w:after="240"/>
              <w:contextualSpacing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for plans, any plan first signed by the licensed surveyor on or after 1 July 2018.</w:t>
            </w:r>
          </w:p>
        </w:tc>
      </w:tr>
      <w:tr w:rsidR="00E11BD6" w:rsidRPr="00E11BD6" w:rsidTr="00B731E8">
        <w:tc>
          <w:tcPr>
            <w:tcW w:w="460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2</w:t>
            </w:r>
          </w:p>
        </w:tc>
        <w:tc>
          <w:tcPr>
            <w:tcW w:w="4492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 xml:space="preserve">The proposal creates additional work for long settlement matters </w:t>
            </w:r>
            <w:r w:rsidR="002675BD" w:rsidRPr="00E11BD6">
              <w:rPr>
                <w:rFonts w:ascii="Calibri" w:hAnsi="Calibri" w:cs="Tahoma"/>
                <w:sz w:val="24"/>
                <w:szCs w:val="24"/>
              </w:rPr>
              <w:t>whe</w:t>
            </w:r>
            <w:r w:rsidR="002675BD">
              <w:rPr>
                <w:rFonts w:ascii="Calibri" w:hAnsi="Calibri" w:cs="Tahoma"/>
                <w:sz w:val="24"/>
                <w:szCs w:val="24"/>
              </w:rPr>
              <w:t>n</w:t>
            </w:r>
            <w:r w:rsidR="002675BD" w:rsidRPr="00E11BD6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Pr="00E11BD6">
              <w:rPr>
                <w:rFonts w:ascii="Calibri" w:hAnsi="Calibri" w:cs="Tahoma"/>
                <w:sz w:val="24"/>
                <w:szCs w:val="24"/>
              </w:rPr>
              <w:t>documentation is based on an earlier version of creation of restrictive covenant/restriction.</w:t>
            </w:r>
          </w:p>
        </w:tc>
        <w:tc>
          <w:tcPr>
            <w:tcW w:w="1817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None</w:t>
            </w:r>
          </w:p>
        </w:tc>
        <w:tc>
          <w:tcPr>
            <w:tcW w:w="7123" w:type="dxa"/>
          </w:tcPr>
          <w:p w:rsidR="00E11BD6" w:rsidRPr="00E11BD6" w:rsidRDefault="00E11BD6" w:rsidP="00E11BD6">
            <w:pPr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The date for commencement will be:</w:t>
            </w:r>
          </w:p>
          <w:p w:rsidR="00E11BD6" w:rsidRPr="00E11BD6" w:rsidRDefault="00E11BD6" w:rsidP="00E11BD6">
            <w:pPr>
              <w:numPr>
                <w:ilvl w:val="0"/>
                <w:numId w:val="44"/>
              </w:numPr>
              <w:contextualSpacing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for transfers, any contract of sale signed on or after 1 July 2018;</w:t>
            </w:r>
          </w:p>
          <w:p w:rsidR="00E11BD6" w:rsidRPr="00E11BD6" w:rsidRDefault="00E11BD6" w:rsidP="00E11BD6">
            <w:pPr>
              <w:numPr>
                <w:ilvl w:val="0"/>
                <w:numId w:val="44"/>
              </w:numPr>
              <w:spacing w:after="240"/>
              <w:contextualSpacing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for transfers, where there is no contract of sale, any transfer signed on or after 1 July 2018;</w:t>
            </w:r>
          </w:p>
          <w:p w:rsidR="00E11BD6" w:rsidRPr="00E11BD6" w:rsidRDefault="00E11BD6" w:rsidP="00E11BD6">
            <w:pPr>
              <w:numPr>
                <w:ilvl w:val="0"/>
                <w:numId w:val="44"/>
              </w:numPr>
              <w:spacing w:after="240"/>
              <w:contextualSpacing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for plans, any plan first signed by the licensed surveyor on or after 1 July 2018.</w:t>
            </w:r>
          </w:p>
        </w:tc>
      </w:tr>
      <w:tr w:rsidR="00E11BD6" w:rsidRPr="00E11BD6" w:rsidTr="00B731E8">
        <w:tc>
          <w:tcPr>
            <w:tcW w:w="460" w:type="dxa"/>
          </w:tcPr>
          <w:p w:rsidR="00E11BD6" w:rsidRPr="00E11BD6" w:rsidRDefault="00E11BD6" w:rsidP="00E11BD6">
            <w:pPr>
              <w:tabs>
                <w:tab w:val="left" w:pos="720"/>
                <w:tab w:val="left" w:pos="1701"/>
              </w:tabs>
              <w:spacing w:before="120" w:after="240" w:line="264" w:lineRule="auto"/>
              <w:rPr>
                <w:rFonts w:ascii="Calibri" w:hAnsi="Calibri"/>
                <w:sz w:val="24"/>
                <w:szCs w:val="24"/>
              </w:rPr>
            </w:pPr>
            <w:r w:rsidRPr="00E11BD6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4492" w:type="dxa"/>
          </w:tcPr>
          <w:p w:rsidR="00E11BD6" w:rsidRDefault="00E11BD6" w:rsidP="00E11BD6">
            <w:pPr>
              <w:tabs>
                <w:tab w:val="left" w:pos="720"/>
                <w:tab w:val="left" w:pos="1701"/>
              </w:tabs>
              <w:spacing w:before="120" w:after="240" w:line="264" w:lineRule="auto"/>
              <w:rPr>
                <w:rFonts w:ascii="Calibri" w:hAnsi="Calibri"/>
                <w:sz w:val="24"/>
                <w:szCs w:val="24"/>
              </w:rPr>
            </w:pPr>
            <w:r w:rsidRPr="00E11BD6">
              <w:rPr>
                <w:rFonts w:ascii="Calibri" w:hAnsi="Calibri"/>
                <w:sz w:val="24"/>
                <w:szCs w:val="24"/>
              </w:rPr>
              <w:t>There should be the ability to include more than 450 characters in a restriction in a plan.</w:t>
            </w:r>
            <w:r w:rsidR="0097187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11BD6">
              <w:rPr>
                <w:rFonts w:ascii="Calibri" w:hAnsi="Calibri"/>
                <w:sz w:val="24"/>
                <w:szCs w:val="24"/>
              </w:rPr>
              <w:t>The difficulty with this limitation is that it requires counting of characters and may cause a defect or ambiguity in language of the restriction.</w:t>
            </w:r>
          </w:p>
          <w:p w:rsidR="00E11BD6" w:rsidRPr="00E11BD6" w:rsidRDefault="00E11BD6" w:rsidP="00E11BD6">
            <w:pPr>
              <w:tabs>
                <w:tab w:val="left" w:pos="720"/>
                <w:tab w:val="left" w:pos="1701"/>
              </w:tabs>
              <w:spacing w:before="120" w:after="240" w:line="264" w:lineRule="auto"/>
              <w:rPr>
                <w:rFonts w:ascii="Calibri" w:hAnsi="Calibri"/>
                <w:sz w:val="24"/>
                <w:szCs w:val="24"/>
              </w:rPr>
            </w:pPr>
            <w:r w:rsidRPr="00E11BD6">
              <w:rPr>
                <w:rFonts w:ascii="Calibri" w:hAnsi="Calibri"/>
                <w:sz w:val="24"/>
                <w:szCs w:val="24"/>
              </w:rPr>
              <w:lastRenderedPageBreak/>
              <w:t xml:space="preserve">It should be possible to include a diagram in a plan to </w:t>
            </w:r>
            <w:r w:rsidR="002675BD">
              <w:rPr>
                <w:rFonts w:ascii="Calibri" w:hAnsi="Calibri"/>
                <w:sz w:val="24"/>
                <w:szCs w:val="24"/>
              </w:rPr>
              <w:t>‘</w:t>
            </w:r>
            <w:r w:rsidRPr="00E11BD6">
              <w:rPr>
                <w:rFonts w:ascii="Calibri" w:hAnsi="Calibri"/>
                <w:sz w:val="24"/>
                <w:szCs w:val="24"/>
              </w:rPr>
              <w:t>illustrate the restriction</w:t>
            </w:r>
            <w:r w:rsidR="002675BD">
              <w:rPr>
                <w:rFonts w:ascii="Calibri" w:hAnsi="Calibri"/>
                <w:sz w:val="24"/>
                <w:szCs w:val="24"/>
              </w:rPr>
              <w:t>’</w:t>
            </w:r>
            <w:r w:rsidRPr="00E11BD6">
              <w:rPr>
                <w:rFonts w:ascii="Calibri" w:hAnsi="Calibri"/>
                <w:sz w:val="24"/>
                <w:szCs w:val="24"/>
              </w:rPr>
              <w:t>.</w:t>
            </w:r>
          </w:p>
          <w:p w:rsidR="00E11BD6" w:rsidRPr="00E11BD6" w:rsidRDefault="00E11BD6" w:rsidP="00E11BD6">
            <w:pPr>
              <w:tabs>
                <w:tab w:val="left" w:pos="720"/>
                <w:tab w:val="left" w:pos="1701"/>
              </w:tabs>
              <w:spacing w:before="120" w:after="240" w:line="264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17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lastRenderedPageBreak/>
              <w:t>Proposal amended</w:t>
            </w:r>
          </w:p>
        </w:tc>
        <w:tc>
          <w:tcPr>
            <w:tcW w:w="7123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The limitation for a short form restriction in a plan will be extended to a single sheet of a plan.</w:t>
            </w:r>
            <w:r w:rsidR="00971879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Pr="00E11BD6">
              <w:rPr>
                <w:rFonts w:ascii="Calibri" w:hAnsi="Calibri" w:cs="Tahoma"/>
                <w:sz w:val="24"/>
                <w:szCs w:val="24"/>
              </w:rPr>
              <w:t>The single sheet may include diagram(s).</w:t>
            </w:r>
          </w:p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Standard drafting practices will apply.</w:t>
            </w:r>
            <w:r w:rsidR="00971879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Pr="00E11BD6">
              <w:rPr>
                <w:rFonts w:ascii="Calibri" w:hAnsi="Calibri" w:cs="Tahoma"/>
                <w:sz w:val="24"/>
                <w:szCs w:val="24"/>
              </w:rPr>
              <w:t>The font size must be no smaller than 2.5mm.</w:t>
            </w:r>
          </w:p>
        </w:tc>
      </w:tr>
      <w:tr w:rsidR="00E11BD6" w:rsidRPr="00E11BD6" w:rsidTr="00B731E8">
        <w:tc>
          <w:tcPr>
            <w:tcW w:w="460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4</w:t>
            </w:r>
          </w:p>
        </w:tc>
        <w:tc>
          <w:tcPr>
            <w:tcW w:w="4492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For larger developments, it is impractical to describe all necessary restrictions in one Memorandum of Common Provisions (MCP).</w:t>
            </w:r>
          </w:p>
        </w:tc>
        <w:tc>
          <w:tcPr>
            <w:tcW w:w="1817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None</w:t>
            </w:r>
          </w:p>
        </w:tc>
        <w:tc>
          <w:tcPr>
            <w:tcW w:w="7123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This could be managed by different stage plans referencing different MCPs and/or using different short form restrictions on single sheets per stage plan.</w:t>
            </w:r>
          </w:p>
        </w:tc>
      </w:tr>
      <w:tr w:rsidR="00E11BD6" w:rsidRPr="00E11BD6" w:rsidTr="00B731E8">
        <w:tc>
          <w:tcPr>
            <w:tcW w:w="460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5</w:t>
            </w:r>
          </w:p>
        </w:tc>
        <w:tc>
          <w:tcPr>
            <w:tcW w:w="4492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MCPs are not appropriate in some circumstances, e</w:t>
            </w:r>
            <w:r w:rsidR="002675BD">
              <w:rPr>
                <w:rFonts w:ascii="Calibri" w:hAnsi="Calibri" w:cs="Tahoma"/>
                <w:sz w:val="24"/>
                <w:szCs w:val="24"/>
              </w:rPr>
              <w:t>.</w:t>
            </w:r>
            <w:r w:rsidRPr="00E11BD6">
              <w:rPr>
                <w:rFonts w:ascii="Calibri" w:hAnsi="Calibri" w:cs="Tahoma"/>
                <w:sz w:val="24"/>
                <w:szCs w:val="24"/>
              </w:rPr>
              <w:t>g</w:t>
            </w:r>
            <w:r w:rsidR="002675BD">
              <w:rPr>
                <w:rFonts w:ascii="Calibri" w:hAnsi="Calibri" w:cs="Tahoma"/>
                <w:sz w:val="24"/>
                <w:szCs w:val="24"/>
              </w:rPr>
              <w:t>.</w:t>
            </w:r>
            <w:r w:rsidRPr="00E11BD6">
              <w:rPr>
                <w:rFonts w:ascii="Calibri" w:hAnsi="Calibri" w:cs="Tahoma"/>
                <w:sz w:val="24"/>
                <w:szCs w:val="24"/>
              </w:rPr>
              <w:t xml:space="preserve"> one-off transactions and small lot subdivisions.</w:t>
            </w:r>
          </w:p>
        </w:tc>
        <w:tc>
          <w:tcPr>
            <w:tcW w:w="1817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None</w:t>
            </w:r>
          </w:p>
        </w:tc>
        <w:tc>
          <w:tcPr>
            <w:tcW w:w="7123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Restrictions in small lot subdivisions will be able to be created in a single sheet of a plan.</w:t>
            </w:r>
            <w:r w:rsidR="00971879">
              <w:rPr>
                <w:rFonts w:ascii="Calibri" w:hAnsi="Calibri" w:cs="Tahoma"/>
                <w:sz w:val="24"/>
                <w:szCs w:val="24"/>
              </w:rPr>
              <w:t xml:space="preserve"> </w:t>
            </w:r>
          </w:p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Terms of restrictive covenant/restriction are required to be drafted</w:t>
            </w:r>
            <w:r w:rsidR="002675BD">
              <w:rPr>
                <w:rFonts w:ascii="Calibri" w:hAnsi="Calibri" w:cs="Tahoma"/>
                <w:sz w:val="24"/>
                <w:szCs w:val="24"/>
              </w:rPr>
              <w:t>,</w:t>
            </w:r>
            <w:r w:rsidRPr="00E11BD6">
              <w:rPr>
                <w:rFonts w:ascii="Calibri" w:hAnsi="Calibri" w:cs="Tahoma"/>
                <w:sz w:val="24"/>
                <w:szCs w:val="24"/>
              </w:rPr>
              <w:t xml:space="preserve"> irrespective of which document the text is displayed in - either a transfer or a MCP. </w:t>
            </w:r>
          </w:p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Other ways to create restrictive covenants e</w:t>
            </w:r>
            <w:r w:rsidR="002675BD">
              <w:rPr>
                <w:rFonts w:ascii="Calibri" w:hAnsi="Calibri" w:cs="Tahoma"/>
                <w:sz w:val="24"/>
                <w:szCs w:val="24"/>
              </w:rPr>
              <w:t>.</w:t>
            </w:r>
            <w:r w:rsidRPr="00E11BD6">
              <w:rPr>
                <w:rFonts w:ascii="Calibri" w:hAnsi="Calibri" w:cs="Tahoma"/>
                <w:sz w:val="24"/>
                <w:szCs w:val="24"/>
              </w:rPr>
              <w:t>g</w:t>
            </w:r>
            <w:r w:rsidR="002675BD">
              <w:rPr>
                <w:rFonts w:ascii="Calibri" w:hAnsi="Calibri" w:cs="Tahoma"/>
                <w:sz w:val="24"/>
                <w:szCs w:val="24"/>
              </w:rPr>
              <w:t>.</w:t>
            </w:r>
            <w:r w:rsidRPr="00E11BD6">
              <w:rPr>
                <w:rFonts w:ascii="Calibri" w:hAnsi="Calibri" w:cs="Tahoma"/>
                <w:sz w:val="24"/>
                <w:szCs w:val="24"/>
              </w:rPr>
              <w:t xml:space="preserve"> by agreement recorded under section 88(1) of the </w:t>
            </w:r>
            <w:r w:rsidRPr="00E11BD6">
              <w:rPr>
                <w:rFonts w:ascii="Calibri" w:hAnsi="Calibri" w:cs="Tahoma"/>
                <w:i/>
                <w:sz w:val="24"/>
                <w:szCs w:val="24"/>
              </w:rPr>
              <w:t>Transfer of Land Act 1958</w:t>
            </w:r>
            <w:r w:rsidR="002675BD">
              <w:rPr>
                <w:rFonts w:ascii="Calibri" w:hAnsi="Calibri" w:cs="Tahoma"/>
                <w:sz w:val="24"/>
                <w:szCs w:val="24"/>
              </w:rPr>
              <w:t>,</w:t>
            </w:r>
            <w:r w:rsidRPr="00E11BD6">
              <w:rPr>
                <w:rFonts w:ascii="Calibri" w:hAnsi="Calibri" w:cs="Tahoma"/>
                <w:sz w:val="24"/>
                <w:szCs w:val="24"/>
              </w:rPr>
              <w:t xml:space="preserve"> will not be amended.</w:t>
            </w:r>
          </w:p>
        </w:tc>
      </w:tr>
      <w:tr w:rsidR="00E11BD6" w:rsidRPr="00E11BD6" w:rsidTr="00B731E8">
        <w:tc>
          <w:tcPr>
            <w:tcW w:w="460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6</w:t>
            </w:r>
          </w:p>
        </w:tc>
        <w:tc>
          <w:tcPr>
            <w:tcW w:w="4492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 xml:space="preserve">The preferred method to create restrictive covenants/restriction should not be limited to </w:t>
            </w:r>
            <w:r w:rsidR="002675BD">
              <w:rPr>
                <w:rFonts w:ascii="Calibri" w:hAnsi="Calibri" w:cs="Tahoma"/>
                <w:sz w:val="24"/>
                <w:szCs w:val="24"/>
              </w:rPr>
              <w:t>‘</w:t>
            </w:r>
            <w:r w:rsidRPr="00E11BD6">
              <w:rPr>
                <w:rFonts w:ascii="Calibri" w:hAnsi="Calibri" w:cs="Tahoma"/>
                <w:sz w:val="24"/>
                <w:szCs w:val="24"/>
              </w:rPr>
              <w:t>by way of a MCP</w:t>
            </w:r>
            <w:r w:rsidR="002675BD">
              <w:rPr>
                <w:rFonts w:ascii="Calibri" w:hAnsi="Calibri" w:cs="Tahoma"/>
                <w:sz w:val="24"/>
                <w:szCs w:val="24"/>
              </w:rPr>
              <w:t>’</w:t>
            </w:r>
            <w:r w:rsidRPr="00E11BD6">
              <w:rPr>
                <w:rFonts w:ascii="Calibri" w:hAnsi="Calibri" w:cs="Tahoma"/>
                <w:sz w:val="24"/>
                <w:szCs w:val="24"/>
              </w:rPr>
              <w:t xml:space="preserve"> because this will increase the </w:t>
            </w:r>
            <w:r w:rsidR="002675BD">
              <w:rPr>
                <w:rFonts w:ascii="Calibri" w:hAnsi="Calibri" w:cs="Tahoma"/>
                <w:sz w:val="24"/>
                <w:szCs w:val="24"/>
              </w:rPr>
              <w:t xml:space="preserve">overall </w:t>
            </w:r>
            <w:r w:rsidRPr="00E11BD6">
              <w:rPr>
                <w:rFonts w:ascii="Calibri" w:hAnsi="Calibri" w:cs="Tahoma"/>
                <w:sz w:val="24"/>
                <w:szCs w:val="24"/>
              </w:rPr>
              <w:t>cost of conveyancing.</w:t>
            </w:r>
          </w:p>
        </w:tc>
        <w:tc>
          <w:tcPr>
            <w:tcW w:w="1817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None</w:t>
            </w:r>
          </w:p>
        </w:tc>
        <w:tc>
          <w:tcPr>
            <w:tcW w:w="7123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 xml:space="preserve">Any additional charges and costs will be off-set by the </w:t>
            </w:r>
            <w:r w:rsidR="002675BD">
              <w:rPr>
                <w:rFonts w:ascii="Calibri" w:hAnsi="Calibri" w:cs="Tahoma"/>
                <w:sz w:val="24"/>
                <w:szCs w:val="24"/>
              </w:rPr>
              <w:t xml:space="preserve">time </w:t>
            </w:r>
            <w:r w:rsidRPr="00E11BD6">
              <w:rPr>
                <w:rFonts w:ascii="Calibri" w:hAnsi="Calibri" w:cs="Tahoma"/>
                <w:sz w:val="24"/>
                <w:szCs w:val="24"/>
              </w:rPr>
              <w:t>savings in checking multiple documents.</w:t>
            </w:r>
            <w:r w:rsidR="00971879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Pr="00E11BD6">
              <w:rPr>
                <w:rFonts w:ascii="Calibri" w:hAnsi="Calibri" w:cs="Tahoma"/>
                <w:sz w:val="24"/>
                <w:szCs w:val="24"/>
              </w:rPr>
              <w:t>For example, in an estate development</w:t>
            </w:r>
            <w:r w:rsidR="002675BD">
              <w:rPr>
                <w:rFonts w:ascii="Calibri" w:hAnsi="Calibri" w:cs="Tahoma"/>
                <w:sz w:val="24"/>
                <w:szCs w:val="24"/>
              </w:rPr>
              <w:t>,</w:t>
            </w:r>
            <w:r w:rsidRPr="00E11BD6">
              <w:rPr>
                <w:rFonts w:ascii="Calibri" w:hAnsi="Calibri" w:cs="Tahoma"/>
                <w:sz w:val="24"/>
                <w:szCs w:val="24"/>
              </w:rPr>
              <w:t xml:space="preserve"> when restrictive covenants are created in a transfer, the transferees’ representatives must prepare the transfer </w:t>
            </w:r>
            <w:r w:rsidR="002675BD">
              <w:rPr>
                <w:rFonts w:ascii="Calibri" w:hAnsi="Calibri" w:cs="Tahoma"/>
                <w:sz w:val="24"/>
                <w:szCs w:val="24"/>
              </w:rPr>
              <w:t xml:space="preserve">and </w:t>
            </w:r>
            <w:r w:rsidR="002675BD" w:rsidRPr="00E11BD6">
              <w:rPr>
                <w:rFonts w:ascii="Calibri" w:hAnsi="Calibri" w:cs="Tahoma"/>
                <w:sz w:val="24"/>
                <w:szCs w:val="24"/>
              </w:rPr>
              <w:t>check</w:t>
            </w:r>
            <w:r w:rsidR="002675BD">
              <w:rPr>
                <w:rFonts w:ascii="Calibri" w:hAnsi="Calibri" w:cs="Tahoma"/>
                <w:sz w:val="24"/>
                <w:szCs w:val="24"/>
              </w:rPr>
              <w:t xml:space="preserve"> that</w:t>
            </w:r>
            <w:r w:rsidR="002675BD" w:rsidRPr="00E11BD6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Pr="00E11BD6">
              <w:rPr>
                <w:rFonts w:ascii="Calibri" w:hAnsi="Calibri" w:cs="Tahoma"/>
                <w:sz w:val="24"/>
                <w:szCs w:val="24"/>
              </w:rPr>
              <w:t>terms are correct against the contract</w:t>
            </w:r>
            <w:r w:rsidR="002675BD">
              <w:rPr>
                <w:rFonts w:ascii="Calibri" w:hAnsi="Calibri" w:cs="Tahoma"/>
                <w:sz w:val="24"/>
                <w:szCs w:val="24"/>
              </w:rPr>
              <w:t>;</w:t>
            </w:r>
            <w:r w:rsidRPr="00E11BD6">
              <w:rPr>
                <w:rFonts w:ascii="Calibri" w:hAnsi="Calibri" w:cs="Tahoma"/>
                <w:sz w:val="24"/>
                <w:szCs w:val="24"/>
              </w:rPr>
              <w:t xml:space="preserve"> the developer’s representative must then </w:t>
            </w:r>
            <w:r w:rsidRPr="00E11BD6">
              <w:rPr>
                <w:rFonts w:ascii="Calibri" w:hAnsi="Calibri" w:cs="Tahoma"/>
                <w:sz w:val="24"/>
                <w:szCs w:val="24"/>
              </w:rPr>
              <w:lastRenderedPageBreak/>
              <w:t>check each transfer to ensure that it is correct.</w:t>
            </w:r>
          </w:p>
        </w:tc>
      </w:tr>
      <w:tr w:rsidR="00E11BD6" w:rsidRPr="00E11BD6" w:rsidTr="00B731E8">
        <w:tc>
          <w:tcPr>
            <w:tcW w:w="460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lastRenderedPageBreak/>
              <w:t>7</w:t>
            </w:r>
          </w:p>
        </w:tc>
        <w:tc>
          <w:tcPr>
            <w:tcW w:w="4492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 xml:space="preserve">There will be an increased cost of a search to obtain a copy MCP and </w:t>
            </w:r>
            <w:r w:rsidR="002675BD">
              <w:rPr>
                <w:rFonts w:ascii="Calibri" w:hAnsi="Calibri" w:cs="Tahoma"/>
                <w:sz w:val="24"/>
                <w:szCs w:val="24"/>
              </w:rPr>
              <w:t xml:space="preserve">paper </w:t>
            </w:r>
            <w:r w:rsidRPr="00E11BD6">
              <w:rPr>
                <w:rFonts w:ascii="Calibri" w:hAnsi="Calibri" w:cs="Tahoma"/>
                <w:sz w:val="24"/>
                <w:szCs w:val="24"/>
              </w:rPr>
              <w:t>wastage.</w:t>
            </w:r>
          </w:p>
        </w:tc>
        <w:tc>
          <w:tcPr>
            <w:tcW w:w="1817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None</w:t>
            </w:r>
          </w:p>
        </w:tc>
        <w:tc>
          <w:tcPr>
            <w:tcW w:w="7123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A MCP search fee is currently $4.91 (Government Internet service).</w:t>
            </w:r>
            <w:r w:rsidR="00971879">
              <w:rPr>
                <w:rFonts w:ascii="Calibri" w:hAnsi="Calibri" w:cs="Tahoma"/>
                <w:sz w:val="24"/>
                <w:szCs w:val="24"/>
              </w:rPr>
              <w:t xml:space="preserve"> </w:t>
            </w:r>
          </w:p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LUV will investigate whether it is possible to automatically supply the MCP with the transfer/plan referencing it.</w:t>
            </w:r>
          </w:p>
        </w:tc>
      </w:tr>
      <w:tr w:rsidR="00E11BD6" w:rsidRPr="00E11BD6" w:rsidTr="00B731E8">
        <w:tc>
          <w:tcPr>
            <w:tcW w:w="460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8</w:t>
            </w:r>
          </w:p>
        </w:tc>
        <w:tc>
          <w:tcPr>
            <w:tcW w:w="4492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There may be a chance of missing a MCP reference in a plan.</w:t>
            </w:r>
          </w:p>
        </w:tc>
        <w:tc>
          <w:tcPr>
            <w:tcW w:w="1817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None</w:t>
            </w:r>
          </w:p>
        </w:tc>
        <w:tc>
          <w:tcPr>
            <w:tcW w:w="7123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MCPs are already referenced in plans and should be easy to ascertain.</w:t>
            </w:r>
          </w:p>
        </w:tc>
      </w:tr>
      <w:tr w:rsidR="00E11BD6" w:rsidRPr="00E11BD6" w:rsidTr="00B731E8">
        <w:tc>
          <w:tcPr>
            <w:tcW w:w="460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/>
                <w:sz w:val="24"/>
                <w:szCs w:val="24"/>
              </w:rPr>
            </w:pPr>
            <w:r w:rsidRPr="00E11BD6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4492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If reference to a planning permit is allowed it should be possible for a Register search to provide a copy of the permit.</w:t>
            </w:r>
          </w:p>
        </w:tc>
        <w:tc>
          <w:tcPr>
            <w:tcW w:w="1817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None</w:t>
            </w:r>
          </w:p>
        </w:tc>
        <w:tc>
          <w:tcPr>
            <w:tcW w:w="7123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Copies of planning permit are held by councils.</w:t>
            </w:r>
            <w:r w:rsidR="00971879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Pr="00E11BD6">
              <w:rPr>
                <w:rFonts w:ascii="Calibri" w:hAnsi="Calibri" w:cs="Tahoma"/>
                <w:sz w:val="24"/>
                <w:szCs w:val="24"/>
              </w:rPr>
              <w:t>It is not LUV’s role to keep copies of planning permits.</w:t>
            </w:r>
          </w:p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LUV does not recommend use of a planning permit reference because of potential difficulties in, and the cost of, accessing copies of planning permits.</w:t>
            </w:r>
          </w:p>
        </w:tc>
      </w:tr>
      <w:tr w:rsidR="00E11BD6" w:rsidRPr="00E11BD6" w:rsidTr="00B731E8">
        <w:tc>
          <w:tcPr>
            <w:tcW w:w="460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10</w:t>
            </w:r>
          </w:p>
        </w:tc>
        <w:tc>
          <w:tcPr>
            <w:tcW w:w="4492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There should be no references to planning permits because this may result in the possibility of a restrictive covenant/restriction being void for uncertainty or disputed for uncertain wording.</w:t>
            </w:r>
            <w:r w:rsidR="00971879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Pr="00E11BD6">
              <w:rPr>
                <w:rFonts w:ascii="Calibri" w:hAnsi="Calibri" w:cs="Tahoma"/>
                <w:sz w:val="24"/>
                <w:szCs w:val="24"/>
              </w:rPr>
              <w:t>The exact terms of the planning condition should be contained in the restriction.</w:t>
            </w:r>
          </w:p>
        </w:tc>
        <w:tc>
          <w:tcPr>
            <w:tcW w:w="1817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None</w:t>
            </w:r>
          </w:p>
        </w:tc>
        <w:tc>
          <w:tcPr>
            <w:tcW w:w="7123" w:type="dxa"/>
          </w:tcPr>
          <w:p w:rsidR="00E11BD6" w:rsidRPr="00E11BD6" w:rsidRDefault="002675BD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>S</w:t>
            </w:r>
            <w:r w:rsidR="00E11BD6" w:rsidRPr="00E11BD6">
              <w:rPr>
                <w:rFonts w:ascii="Calibri" w:hAnsi="Calibri" w:cs="Tahoma"/>
                <w:sz w:val="24"/>
                <w:szCs w:val="24"/>
              </w:rPr>
              <w:t xml:space="preserve">ome councils </w:t>
            </w:r>
            <w:r>
              <w:rPr>
                <w:rFonts w:ascii="Calibri" w:hAnsi="Calibri" w:cs="Tahoma"/>
                <w:sz w:val="24"/>
                <w:szCs w:val="24"/>
              </w:rPr>
              <w:t>currently</w:t>
            </w:r>
            <w:r w:rsidR="00E11BD6" w:rsidRPr="00E11BD6">
              <w:rPr>
                <w:rFonts w:ascii="Calibri" w:hAnsi="Calibri" w:cs="Tahoma"/>
                <w:sz w:val="24"/>
                <w:szCs w:val="24"/>
              </w:rPr>
              <w:t xml:space="preserve"> require planning permits to be specified in restrictions.</w:t>
            </w:r>
          </w:p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LUV does not recommend use of a planning permit reference because of potential difficulties in, and the cost of, accessing copies of planning permits.</w:t>
            </w:r>
          </w:p>
        </w:tc>
      </w:tr>
      <w:tr w:rsidR="00E11BD6" w:rsidRPr="00E11BD6" w:rsidTr="00B731E8">
        <w:tc>
          <w:tcPr>
            <w:tcW w:w="460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92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Referencing planning permits may be problematic due to the possibility of a permit being amended or re-interpreted.</w:t>
            </w:r>
          </w:p>
        </w:tc>
        <w:tc>
          <w:tcPr>
            <w:tcW w:w="1817" w:type="dxa"/>
          </w:tcPr>
          <w:p w:rsidR="00E11BD6" w:rsidRPr="00E11BD6" w:rsidRDefault="00E11BD6" w:rsidP="00E11BD6">
            <w:pPr>
              <w:tabs>
                <w:tab w:val="left" w:pos="851"/>
              </w:tabs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None</w:t>
            </w:r>
          </w:p>
        </w:tc>
        <w:tc>
          <w:tcPr>
            <w:tcW w:w="7123" w:type="dxa"/>
          </w:tcPr>
          <w:p w:rsidR="00E11BD6" w:rsidRPr="00E11BD6" w:rsidRDefault="00E11BD6" w:rsidP="00E11BD6">
            <w:pPr>
              <w:tabs>
                <w:tab w:val="left" w:pos="851"/>
              </w:tabs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A restrictive covenant/restriction will continue to be interpreted as it is today.</w:t>
            </w:r>
            <w:r w:rsidR="00971879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Pr="00E11BD6">
              <w:rPr>
                <w:rFonts w:ascii="Calibri" w:hAnsi="Calibri" w:cs="Tahoma"/>
                <w:sz w:val="24"/>
                <w:szCs w:val="24"/>
              </w:rPr>
              <w:t>Any changes to referenced documents, unless provided for in the wording of the restrictive covenant/restriction, will not alter the meaning or effect of the restrictive covenant/restriction as at the date it was created.</w:t>
            </w:r>
          </w:p>
          <w:p w:rsidR="00E11BD6" w:rsidRPr="00E11BD6" w:rsidRDefault="00E11BD6" w:rsidP="00E11BD6">
            <w:pPr>
              <w:tabs>
                <w:tab w:val="left" w:pos="851"/>
              </w:tabs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LUV does not recommend use of a planning permit reference because of potential difficulties in, and the cost of, accessing copies of planning permits.</w:t>
            </w:r>
          </w:p>
        </w:tc>
      </w:tr>
      <w:tr w:rsidR="00E11BD6" w:rsidRPr="00E11BD6" w:rsidTr="00B731E8">
        <w:tc>
          <w:tcPr>
            <w:tcW w:w="460" w:type="dxa"/>
          </w:tcPr>
          <w:p w:rsidR="00E11BD6" w:rsidRPr="00E11BD6" w:rsidRDefault="00E11BD6" w:rsidP="00E11BD6">
            <w:pPr>
              <w:tabs>
                <w:tab w:val="left" w:pos="720"/>
                <w:tab w:val="left" w:pos="1701"/>
              </w:tabs>
              <w:spacing w:before="120" w:after="240" w:line="264" w:lineRule="auto"/>
              <w:rPr>
                <w:rFonts w:ascii="Calibri" w:hAnsi="Calibri"/>
                <w:sz w:val="24"/>
                <w:szCs w:val="24"/>
              </w:rPr>
            </w:pPr>
            <w:r w:rsidRPr="00E11BD6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492" w:type="dxa"/>
          </w:tcPr>
          <w:p w:rsidR="00E11BD6" w:rsidRPr="00E11BD6" w:rsidRDefault="00E11BD6" w:rsidP="00E11BD6">
            <w:pPr>
              <w:tabs>
                <w:tab w:val="left" w:pos="720"/>
                <w:tab w:val="left" w:pos="1701"/>
              </w:tabs>
              <w:spacing w:before="120" w:after="240" w:line="264" w:lineRule="auto"/>
              <w:rPr>
                <w:rFonts w:ascii="Calibri" w:hAnsi="Calibri"/>
                <w:sz w:val="24"/>
                <w:szCs w:val="24"/>
              </w:rPr>
            </w:pPr>
            <w:r w:rsidRPr="00E11BD6">
              <w:rPr>
                <w:rFonts w:ascii="Calibri" w:hAnsi="Calibri"/>
                <w:sz w:val="24"/>
                <w:szCs w:val="24"/>
              </w:rPr>
              <w:t>There is a need to broaden the text to include ‘use and development’ and ‘plans endorsed under a planning permit/ development plan/another planning instrument’.</w:t>
            </w:r>
          </w:p>
        </w:tc>
        <w:tc>
          <w:tcPr>
            <w:tcW w:w="1817" w:type="dxa"/>
          </w:tcPr>
          <w:p w:rsidR="00E11BD6" w:rsidRPr="00E11BD6" w:rsidDel="008B7BE0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None</w:t>
            </w:r>
          </w:p>
        </w:tc>
        <w:tc>
          <w:tcPr>
            <w:tcW w:w="7123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LUV does not consider that more detail is required as the restriction should be set out in the planning permit referenced.</w:t>
            </w:r>
          </w:p>
          <w:p w:rsidR="00E11BD6" w:rsidRPr="00E11BD6" w:rsidDel="008B7BE0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LUV does not recommend use of a planning permit reference because of potential difficulties in, and the cost of, accessing copies of planning permits.</w:t>
            </w:r>
          </w:p>
        </w:tc>
      </w:tr>
      <w:tr w:rsidR="00E11BD6" w:rsidRPr="00E11BD6" w:rsidTr="00B731E8">
        <w:tc>
          <w:tcPr>
            <w:tcW w:w="460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13</w:t>
            </w:r>
          </w:p>
        </w:tc>
        <w:tc>
          <w:tcPr>
            <w:tcW w:w="4492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The benefit of reference to a subdivision permit (that is) spent on grant of statement of compliance is queried.</w:t>
            </w:r>
          </w:p>
        </w:tc>
        <w:tc>
          <w:tcPr>
            <w:tcW w:w="1817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None</w:t>
            </w:r>
          </w:p>
        </w:tc>
        <w:tc>
          <w:tcPr>
            <w:tcW w:w="7123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It may be more appropriate to reference the development permit rather than a subdivision permit, unless the subdivision permit also contains restrictions.</w:t>
            </w:r>
          </w:p>
        </w:tc>
      </w:tr>
      <w:tr w:rsidR="00E11BD6" w:rsidRPr="00E11BD6" w:rsidTr="00B731E8">
        <w:tc>
          <w:tcPr>
            <w:tcW w:w="460" w:type="dxa"/>
          </w:tcPr>
          <w:p w:rsidR="00E11BD6" w:rsidRPr="00E11BD6" w:rsidRDefault="00E11BD6" w:rsidP="00E11BD6">
            <w:pPr>
              <w:tabs>
                <w:tab w:val="left" w:pos="720"/>
                <w:tab w:val="left" w:pos="1701"/>
              </w:tabs>
              <w:spacing w:before="120" w:after="240" w:line="264" w:lineRule="auto"/>
              <w:rPr>
                <w:rFonts w:ascii="Calibri" w:hAnsi="Calibri"/>
                <w:sz w:val="24"/>
                <w:szCs w:val="24"/>
              </w:rPr>
            </w:pPr>
            <w:r w:rsidRPr="00E11BD6"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4492" w:type="dxa"/>
          </w:tcPr>
          <w:p w:rsidR="00E11BD6" w:rsidRPr="00E11BD6" w:rsidRDefault="00E11BD6" w:rsidP="00E11BD6">
            <w:pPr>
              <w:tabs>
                <w:tab w:val="left" w:pos="720"/>
                <w:tab w:val="left" w:pos="1701"/>
              </w:tabs>
              <w:spacing w:before="120" w:after="240" w:line="264" w:lineRule="auto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/>
                <w:sz w:val="24"/>
                <w:szCs w:val="24"/>
              </w:rPr>
              <w:t>The ability to modify a plan up until statement of compliance should not be lost.</w:t>
            </w:r>
          </w:p>
        </w:tc>
        <w:tc>
          <w:tcPr>
            <w:tcW w:w="1817" w:type="dxa"/>
          </w:tcPr>
          <w:p w:rsidR="00E11BD6" w:rsidRPr="00E11BD6" w:rsidDel="008B7BE0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None</w:t>
            </w:r>
          </w:p>
        </w:tc>
        <w:tc>
          <w:tcPr>
            <w:tcW w:w="7123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All restrictions should be settled before contract and certification of a plan by council.</w:t>
            </w:r>
          </w:p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There should be no change to a restriction or a MCP number following certification.</w:t>
            </w:r>
            <w:r w:rsidR="00971879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Pr="00E11BD6">
              <w:rPr>
                <w:rFonts w:ascii="Calibri" w:hAnsi="Calibri" w:cs="Tahoma"/>
                <w:sz w:val="24"/>
                <w:szCs w:val="24"/>
              </w:rPr>
              <w:t xml:space="preserve">If the restriction or MCP number is required to be </w:t>
            </w:r>
            <w:r w:rsidRPr="00E11BD6">
              <w:rPr>
                <w:rFonts w:ascii="Calibri" w:hAnsi="Calibri" w:cs="Tahoma"/>
                <w:sz w:val="24"/>
                <w:szCs w:val="24"/>
              </w:rPr>
              <w:lastRenderedPageBreak/>
              <w:t>changed, the plan will require re-certification.</w:t>
            </w:r>
          </w:p>
        </w:tc>
      </w:tr>
      <w:tr w:rsidR="00E11BD6" w:rsidRPr="00E11BD6" w:rsidTr="00B731E8">
        <w:tc>
          <w:tcPr>
            <w:tcW w:w="460" w:type="dxa"/>
          </w:tcPr>
          <w:p w:rsidR="00E11BD6" w:rsidRPr="00E11BD6" w:rsidRDefault="00E11BD6" w:rsidP="00E11BD6">
            <w:pPr>
              <w:tabs>
                <w:tab w:val="left" w:pos="720"/>
                <w:tab w:val="left" w:pos="1701"/>
              </w:tabs>
              <w:spacing w:before="120" w:after="240" w:line="264" w:lineRule="auto"/>
              <w:rPr>
                <w:rFonts w:ascii="Calibri" w:hAnsi="Calibri"/>
                <w:sz w:val="24"/>
                <w:szCs w:val="24"/>
              </w:rPr>
            </w:pPr>
            <w:r w:rsidRPr="00E11BD6">
              <w:rPr>
                <w:rFonts w:ascii="Calibri" w:hAnsi="Calibri"/>
                <w:sz w:val="24"/>
                <w:szCs w:val="24"/>
              </w:rPr>
              <w:lastRenderedPageBreak/>
              <w:t>15</w:t>
            </w:r>
          </w:p>
        </w:tc>
        <w:tc>
          <w:tcPr>
            <w:tcW w:w="4492" w:type="dxa"/>
          </w:tcPr>
          <w:p w:rsidR="00E11BD6" w:rsidRPr="00E11BD6" w:rsidRDefault="00E11BD6" w:rsidP="00E11BD6">
            <w:pPr>
              <w:tabs>
                <w:tab w:val="left" w:pos="720"/>
                <w:tab w:val="left" w:pos="1701"/>
              </w:tabs>
              <w:spacing w:before="120" w:after="240" w:line="264" w:lineRule="auto"/>
              <w:rPr>
                <w:rFonts w:ascii="Calibri" w:hAnsi="Calibri"/>
                <w:sz w:val="24"/>
                <w:szCs w:val="24"/>
              </w:rPr>
            </w:pPr>
            <w:r w:rsidRPr="00E11BD6">
              <w:rPr>
                <w:rFonts w:ascii="Calibri" w:hAnsi="Calibri"/>
                <w:sz w:val="24"/>
                <w:szCs w:val="24"/>
              </w:rPr>
              <w:t>It needs to be possible to vary the short form of restriction.</w:t>
            </w:r>
          </w:p>
        </w:tc>
        <w:tc>
          <w:tcPr>
            <w:tcW w:w="1817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None</w:t>
            </w:r>
          </w:p>
        </w:tc>
        <w:tc>
          <w:tcPr>
            <w:tcW w:w="7123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All restrictions should be settled before contract and certification of a plan by council.</w:t>
            </w:r>
            <w:r w:rsidR="00971879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Pr="00E11BD6">
              <w:rPr>
                <w:rFonts w:ascii="Calibri" w:hAnsi="Calibri" w:cs="Tahoma"/>
                <w:sz w:val="24"/>
                <w:szCs w:val="24"/>
              </w:rPr>
              <w:t>There should be no change to a restriction or a MCP number following certification.</w:t>
            </w:r>
            <w:r w:rsidR="00971879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Pr="00E11BD6">
              <w:rPr>
                <w:rFonts w:ascii="Calibri" w:hAnsi="Calibri" w:cs="Tahoma"/>
                <w:sz w:val="24"/>
                <w:szCs w:val="24"/>
              </w:rPr>
              <w:t>If the restriction or MCP number is required to be changed, the plan will require re-certification.</w:t>
            </w:r>
          </w:p>
          <w:p w:rsidR="00E11BD6" w:rsidRPr="00E11BD6" w:rsidRDefault="00E11BD6" w:rsidP="00E11BD6">
            <w:pPr>
              <w:spacing w:before="120" w:after="240" w:line="264" w:lineRule="auto"/>
              <w:rPr>
                <w:rFonts w:ascii="Calibri" w:hAnsi="Calibri"/>
                <w:sz w:val="24"/>
                <w:szCs w:val="24"/>
              </w:rPr>
            </w:pPr>
            <w:r w:rsidRPr="00E11BD6">
              <w:rPr>
                <w:rFonts w:ascii="Calibri" w:hAnsi="Calibri"/>
                <w:sz w:val="24"/>
                <w:szCs w:val="24"/>
              </w:rPr>
              <w:t xml:space="preserve">There appears to be some confusion </w:t>
            </w:r>
            <w:r w:rsidR="002279EF">
              <w:rPr>
                <w:rFonts w:ascii="Calibri" w:hAnsi="Calibri"/>
                <w:sz w:val="24"/>
                <w:szCs w:val="24"/>
              </w:rPr>
              <w:t>about</w:t>
            </w:r>
            <w:r w:rsidRPr="00E11BD6">
              <w:rPr>
                <w:rFonts w:ascii="Calibri" w:hAnsi="Calibri"/>
                <w:sz w:val="24"/>
                <w:szCs w:val="24"/>
              </w:rPr>
              <w:t xml:space="preserve"> how restrictive covenants/restrictions referencing a MCP can be varied or removed.</w:t>
            </w:r>
            <w:r w:rsidR="0097187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11BD6">
              <w:rPr>
                <w:rFonts w:ascii="Calibri" w:hAnsi="Calibri"/>
                <w:sz w:val="24"/>
                <w:szCs w:val="24"/>
              </w:rPr>
              <w:t>Use of a MCP will not change the way any recorded restrictive covenant/restriction is varied or removed.</w:t>
            </w:r>
          </w:p>
          <w:p w:rsidR="00E11BD6" w:rsidRPr="00E11BD6" w:rsidRDefault="00E11BD6" w:rsidP="00E11BD6">
            <w:pPr>
              <w:spacing w:before="120" w:after="240" w:line="264" w:lineRule="auto"/>
              <w:rPr>
                <w:rFonts w:ascii="Calibri" w:hAnsi="Calibri"/>
                <w:sz w:val="24"/>
                <w:szCs w:val="24"/>
              </w:rPr>
            </w:pPr>
            <w:r w:rsidRPr="00E11BD6">
              <w:rPr>
                <w:rFonts w:ascii="Calibri" w:hAnsi="Calibri"/>
                <w:sz w:val="24"/>
                <w:szCs w:val="24"/>
              </w:rPr>
              <w:t>A MCP is simply a document containing provisions that can be incorporated by reference into instruments and plans subsequently lodged at LUV.</w:t>
            </w:r>
          </w:p>
          <w:p w:rsidR="00E11BD6" w:rsidRPr="00E11BD6" w:rsidRDefault="00E11BD6" w:rsidP="00E11BD6">
            <w:pPr>
              <w:spacing w:before="120" w:after="240" w:line="264" w:lineRule="auto"/>
              <w:rPr>
                <w:rFonts w:ascii="Calibri" w:hAnsi="Calibri"/>
                <w:sz w:val="24"/>
                <w:szCs w:val="24"/>
              </w:rPr>
            </w:pPr>
            <w:r w:rsidRPr="00E11BD6">
              <w:rPr>
                <w:rFonts w:ascii="Calibri" w:hAnsi="Calibri"/>
                <w:sz w:val="24"/>
                <w:szCs w:val="24"/>
              </w:rPr>
              <w:t>A MCP does not itself create a restrictive covenant/restriction.</w:t>
            </w:r>
            <w:r w:rsidR="0097187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11BD6">
              <w:rPr>
                <w:rFonts w:ascii="Calibri" w:hAnsi="Calibri"/>
                <w:sz w:val="24"/>
                <w:szCs w:val="24"/>
              </w:rPr>
              <w:t>A MCP cannot be varied or removed after it is recorded.</w:t>
            </w:r>
          </w:p>
          <w:p w:rsidR="00E11BD6" w:rsidRPr="00E11BD6" w:rsidRDefault="00E11BD6" w:rsidP="00E11BD6">
            <w:pPr>
              <w:spacing w:line="264" w:lineRule="auto"/>
              <w:rPr>
                <w:rFonts w:ascii="Calibri" w:hAnsi="Calibri"/>
                <w:sz w:val="24"/>
                <w:szCs w:val="24"/>
              </w:rPr>
            </w:pPr>
            <w:r w:rsidRPr="00E11BD6">
              <w:rPr>
                <w:rFonts w:ascii="Calibri" w:hAnsi="Calibri"/>
                <w:sz w:val="24"/>
                <w:szCs w:val="24"/>
              </w:rPr>
              <w:t>Any variation or removal of a restrictive covenant/restriction continues to be either:</w:t>
            </w:r>
          </w:p>
          <w:p w:rsidR="00E11BD6" w:rsidRPr="00E11BD6" w:rsidRDefault="00E11BD6" w:rsidP="00E11BD6">
            <w:pPr>
              <w:numPr>
                <w:ilvl w:val="0"/>
                <w:numId w:val="44"/>
              </w:numPr>
              <w:spacing w:after="240" w:line="264" w:lineRule="auto"/>
              <w:ind w:left="714" w:hanging="357"/>
              <w:contextualSpacing/>
              <w:rPr>
                <w:rFonts w:ascii="Calibri" w:hAnsi="Calibri"/>
                <w:sz w:val="24"/>
                <w:szCs w:val="24"/>
              </w:rPr>
            </w:pPr>
            <w:r w:rsidRPr="00E11BD6">
              <w:rPr>
                <w:rFonts w:ascii="Calibri" w:hAnsi="Calibri"/>
                <w:sz w:val="24"/>
                <w:szCs w:val="24"/>
              </w:rPr>
              <w:t xml:space="preserve">under the </w:t>
            </w:r>
            <w:r w:rsidRPr="00E11BD6">
              <w:rPr>
                <w:rFonts w:ascii="Calibri" w:hAnsi="Calibri"/>
                <w:i/>
                <w:sz w:val="24"/>
                <w:szCs w:val="24"/>
              </w:rPr>
              <w:t>Subdivision Act 1988</w:t>
            </w:r>
            <w:r w:rsidR="002279EF">
              <w:rPr>
                <w:rFonts w:ascii="Calibri" w:hAnsi="Calibri"/>
                <w:sz w:val="24"/>
                <w:szCs w:val="24"/>
              </w:rPr>
              <w:t xml:space="preserve"> –</w:t>
            </w:r>
            <w:r w:rsidR="002279EF" w:rsidRPr="00E11BD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11BD6">
              <w:rPr>
                <w:rFonts w:ascii="Calibri" w:hAnsi="Calibri"/>
                <w:sz w:val="24"/>
                <w:szCs w:val="24"/>
              </w:rPr>
              <w:t>by a plan under that Act, including following a planning scheme or planning permit; or</w:t>
            </w:r>
          </w:p>
          <w:p w:rsidR="00E11BD6" w:rsidRPr="00E11BD6" w:rsidRDefault="00E11BD6" w:rsidP="00E11BD6">
            <w:pPr>
              <w:numPr>
                <w:ilvl w:val="0"/>
                <w:numId w:val="44"/>
              </w:numPr>
              <w:spacing w:before="120" w:after="240" w:line="264" w:lineRule="auto"/>
              <w:contextualSpacing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/>
                <w:sz w:val="24"/>
                <w:szCs w:val="24"/>
              </w:rPr>
              <w:t xml:space="preserve">under section 88 of the </w:t>
            </w:r>
            <w:r w:rsidR="002279EF" w:rsidRPr="00AB6BD2">
              <w:rPr>
                <w:rFonts w:ascii="Calibri" w:hAnsi="Calibri"/>
                <w:i/>
                <w:sz w:val="24"/>
                <w:szCs w:val="24"/>
              </w:rPr>
              <w:t>Transfer of Land Act 1958</w:t>
            </w:r>
            <w:r w:rsidR="002279EF" w:rsidRPr="00E11BD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11BD6">
              <w:rPr>
                <w:rFonts w:ascii="Calibri" w:hAnsi="Calibri"/>
                <w:sz w:val="24"/>
                <w:szCs w:val="24"/>
              </w:rPr>
              <w:t xml:space="preserve">– by </w:t>
            </w:r>
            <w:r w:rsidRPr="00E11BD6">
              <w:rPr>
                <w:rFonts w:ascii="Calibri" w:hAnsi="Calibri"/>
                <w:sz w:val="24"/>
                <w:szCs w:val="24"/>
              </w:rPr>
              <w:lastRenderedPageBreak/>
              <w:t xml:space="preserve">agreement of all registered proprietors of the land to be affected by the restrictive covenant and the relevant mortgagees or following a court order under section 84 of the </w:t>
            </w:r>
            <w:r w:rsidRPr="00E11BD6">
              <w:rPr>
                <w:rFonts w:ascii="Calibri" w:hAnsi="Calibri"/>
                <w:i/>
                <w:sz w:val="24"/>
                <w:szCs w:val="24"/>
              </w:rPr>
              <w:t>Property Law Act 1958</w:t>
            </w:r>
            <w:r w:rsidRPr="00E11BD6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E11BD6" w:rsidRPr="00E11BD6" w:rsidTr="00B731E8">
        <w:tc>
          <w:tcPr>
            <w:tcW w:w="460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lastRenderedPageBreak/>
              <w:t>16</w:t>
            </w:r>
          </w:p>
        </w:tc>
        <w:tc>
          <w:tcPr>
            <w:tcW w:w="4492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 xml:space="preserve">Developers may not be </w:t>
            </w:r>
            <w:r w:rsidR="002279EF">
              <w:rPr>
                <w:rFonts w:ascii="Calibri" w:hAnsi="Calibri" w:cs="Tahoma"/>
                <w:sz w:val="24"/>
                <w:szCs w:val="24"/>
              </w:rPr>
              <w:t xml:space="preserve">able </w:t>
            </w:r>
            <w:r w:rsidRPr="00E11BD6">
              <w:rPr>
                <w:rFonts w:ascii="Calibri" w:hAnsi="Calibri" w:cs="Tahoma"/>
                <w:sz w:val="24"/>
                <w:szCs w:val="24"/>
              </w:rPr>
              <w:t>to finalise the wording of a restrictive covenant/restriction until plan referral and approval processes are complete.</w:t>
            </w:r>
          </w:p>
        </w:tc>
        <w:tc>
          <w:tcPr>
            <w:tcW w:w="1817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None</w:t>
            </w:r>
          </w:p>
        </w:tc>
        <w:tc>
          <w:tcPr>
            <w:tcW w:w="7123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All restrictions should be settled before contract and certification of a plan by council.</w:t>
            </w:r>
          </w:p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There should be no change to a restriction or a MCP number following certification without re-certification of the plan.</w:t>
            </w:r>
          </w:p>
        </w:tc>
      </w:tr>
      <w:tr w:rsidR="00E11BD6" w:rsidRPr="00E11BD6" w:rsidTr="00B731E8">
        <w:tc>
          <w:tcPr>
            <w:tcW w:w="460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17</w:t>
            </w:r>
          </w:p>
        </w:tc>
        <w:tc>
          <w:tcPr>
            <w:tcW w:w="4492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Further discussion on expiry dates is required when the calculation of a date is dependent on an event (e</w:t>
            </w:r>
            <w:r w:rsidR="002279EF">
              <w:rPr>
                <w:rFonts w:ascii="Calibri" w:hAnsi="Calibri" w:cs="Tahoma"/>
                <w:sz w:val="24"/>
                <w:szCs w:val="24"/>
              </w:rPr>
              <w:t>.</w:t>
            </w:r>
            <w:r w:rsidRPr="00E11BD6">
              <w:rPr>
                <w:rFonts w:ascii="Calibri" w:hAnsi="Calibri" w:cs="Tahoma"/>
                <w:sz w:val="24"/>
                <w:szCs w:val="24"/>
              </w:rPr>
              <w:t>g</w:t>
            </w:r>
            <w:r w:rsidR="002279EF">
              <w:rPr>
                <w:rFonts w:ascii="Calibri" w:hAnsi="Calibri" w:cs="Tahoma"/>
                <w:sz w:val="24"/>
                <w:szCs w:val="24"/>
              </w:rPr>
              <w:t>.</w:t>
            </w:r>
            <w:r w:rsidRPr="00E11BD6">
              <w:rPr>
                <w:rFonts w:ascii="Calibri" w:hAnsi="Calibri" w:cs="Tahoma"/>
                <w:sz w:val="24"/>
                <w:szCs w:val="24"/>
              </w:rPr>
              <w:t xml:space="preserve"> an event in a planning permit or a certificate of occupancy)</w:t>
            </w:r>
            <w:r w:rsidR="002279EF">
              <w:rPr>
                <w:rFonts w:ascii="Calibri" w:hAnsi="Calibri" w:cs="Tahoma"/>
                <w:sz w:val="24"/>
                <w:szCs w:val="24"/>
              </w:rPr>
              <w:t>,</w:t>
            </w:r>
            <w:r w:rsidRPr="00E11BD6">
              <w:rPr>
                <w:rFonts w:ascii="Calibri" w:hAnsi="Calibri" w:cs="Tahoma"/>
                <w:sz w:val="24"/>
                <w:szCs w:val="24"/>
              </w:rPr>
              <w:t xml:space="preserve"> and where there are multiple expiry dates.</w:t>
            </w:r>
          </w:p>
        </w:tc>
        <w:tc>
          <w:tcPr>
            <w:tcW w:w="1817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None</w:t>
            </w:r>
          </w:p>
        </w:tc>
        <w:tc>
          <w:tcPr>
            <w:tcW w:w="7123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Wherever possible</w:t>
            </w:r>
            <w:r w:rsidR="002279EF">
              <w:rPr>
                <w:rFonts w:ascii="Calibri" w:hAnsi="Calibri" w:cs="Tahoma"/>
                <w:sz w:val="24"/>
                <w:szCs w:val="24"/>
              </w:rPr>
              <w:t>,</w:t>
            </w:r>
            <w:r w:rsidRPr="00E11BD6">
              <w:rPr>
                <w:rFonts w:ascii="Calibri" w:hAnsi="Calibri" w:cs="Tahoma"/>
                <w:sz w:val="24"/>
                <w:szCs w:val="24"/>
              </w:rPr>
              <w:t xml:space="preserve"> dates should be included to provide certainty.</w:t>
            </w:r>
            <w:r w:rsidR="00971879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Pr="00E11BD6">
              <w:rPr>
                <w:rFonts w:ascii="Calibri" w:hAnsi="Calibri"/>
                <w:sz w:val="24"/>
                <w:szCs w:val="24"/>
              </w:rPr>
              <w:t>The expiry of a restrictive covenant/restriction related to an event does n</w:t>
            </w:r>
            <w:r w:rsidR="00AB6BD2">
              <w:rPr>
                <w:rFonts w:ascii="Calibri" w:hAnsi="Calibri"/>
                <w:sz w:val="24"/>
                <w:szCs w:val="24"/>
              </w:rPr>
              <w:t>ot provide certainty and</w:t>
            </w:r>
            <w:r w:rsidRPr="00E11BD6">
              <w:rPr>
                <w:rFonts w:ascii="Calibri" w:hAnsi="Calibri"/>
                <w:sz w:val="24"/>
                <w:szCs w:val="24"/>
              </w:rPr>
              <w:t xml:space="preserve"> is </w:t>
            </w:r>
            <w:r w:rsidR="002279EF">
              <w:rPr>
                <w:rFonts w:ascii="Calibri" w:hAnsi="Calibri"/>
                <w:sz w:val="24"/>
                <w:szCs w:val="24"/>
              </w:rPr>
              <w:t>un</w:t>
            </w:r>
            <w:r w:rsidRPr="00E11BD6">
              <w:rPr>
                <w:rFonts w:ascii="Calibri" w:hAnsi="Calibri"/>
                <w:sz w:val="24"/>
                <w:szCs w:val="24"/>
              </w:rPr>
              <w:t>helpful to users of this information.</w:t>
            </w:r>
            <w:r w:rsidRPr="00E11BD6">
              <w:rPr>
                <w:rFonts w:ascii="Calibri" w:hAnsi="Calibri" w:cs="Tahoma"/>
                <w:sz w:val="24"/>
                <w:szCs w:val="24"/>
              </w:rPr>
              <w:t xml:space="preserve"> </w:t>
            </w:r>
          </w:p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The latest possible expiry date should be stated if there are multiple restrictions and expiry dates. Customers will be advised on this in a guide.</w:t>
            </w:r>
          </w:p>
        </w:tc>
      </w:tr>
      <w:tr w:rsidR="00E11BD6" w:rsidRPr="00E11BD6" w:rsidTr="00B731E8">
        <w:tc>
          <w:tcPr>
            <w:tcW w:w="460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18</w:t>
            </w:r>
          </w:p>
        </w:tc>
        <w:tc>
          <w:tcPr>
            <w:tcW w:w="4492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It should be possible to create a restrictive covenant/restriction in perpetuity.</w:t>
            </w:r>
          </w:p>
        </w:tc>
        <w:tc>
          <w:tcPr>
            <w:tcW w:w="1817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None</w:t>
            </w:r>
          </w:p>
        </w:tc>
        <w:tc>
          <w:tcPr>
            <w:tcW w:w="7123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The proposed change does not alter the ability to create a restrictive covenant/restriction in perpetuity.</w:t>
            </w:r>
            <w:r w:rsidR="00971879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Pr="00E11BD6">
              <w:rPr>
                <w:rFonts w:ascii="Calibri" w:hAnsi="Calibri" w:cs="Tahoma"/>
                <w:sz w:val="24"/>
                <w:szCs w:val="24"/>
              </w:rPr>
              <w:t>If no expiry date is contained in the restrictive covenant/restriction, no date will be displayed in the endorsement.</w:t>
            </w:r>
          </w:p>
        </w:tc>
      </w:tr>
      <w:tr w:rsidR="00E11BD6" w:rsidRPr="00E11BD6" w:rsidTr="00B731E8">
        <w:tc>
          <w:tcPr>
            <w:tcW w:w="460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19</w:t>
            </w:r>
          </w:p>
        </w:tc>
        <w:tc>
          <w:tcPr>
            <w:tcW w:w="4492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 xml:space="preserve">Developers may wish to be able to enforce restrictive covenants/restrictions when </w:t>
            </w:r>
            <w:r w:rsidRPr="00E11BD6">
              <w:rPr>
                <w:rFonts w:ascii="Calibri" w:hAnsi="Calibri" w:cs="Tahoma"/>
                <w:sz w:val="24"/>
                <w:szCs w:val="24"/>
              </w:rPr>
              <w:lastRenderedPageBreak/>
              <w:t>they no longer own any land in the development.</w:t>
            </w:r>
            <w:r w:rsidR="00971879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Pr="00E11BD6">
              <w:rPr>
                <w:rFonts w:ascii="Calibri" w:hAnsi="Calibri" w:cs="Tahoma"/>
                <w:sz w:val="24"/>
                <w:szCs w:val="24"/>
              </w:rPr>
              <w:t>LUV should therefore not recommend inclusion of restrictive covenants/restrictions in plans over transfers.</w:t>
            </w:r>
          </w:p>
        </w:tc>
        <w:tc>
          <w:tcPr>
            <w:tcW w:w="1817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lastRenderedPageBreak/>
              <w:t>None</w:t>
            </w:r>
          </w:p>
        </w:tc>
        <w:tc>
          <w:tcPr>
            <w:tcW w:w="7123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 xml:space="preserve">Even if the restrictive covenant/restriction is created in a transfer, the developer is no longer able to enforce it when both the developer and </w:t>
            </w:r>
            <w:r w:rsidRPr="00E11BD6">
              <w:rPr>
                <w:rFonts w:ascii="Calibri" w:hAnsi="Calibri" w:cs="Tahoma"/>
                <w:sz w:val="24"/>
                <w:szCs w:val="24"/>
              </w:rPr>
              <w:lastRenderedPageBreak/>
              <w:t>the original transferee no longer hold land in the development.</w:t>
            </w:r>
          </w:p>
          <w:p w:rsidR="00E11BD6" w:rsidRPr="00E11BD6" w:rsidRDefault="002279EF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>Because</w:t>
            </w:r>
            <w:r w:rsidRPr="00E11BD6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="00E11BD6" w:rsidRPr="00E11BD6">
              <w:rPr>
                <w:rFonts w:ascii="Calibri" w:hAnsi="Calibri" w:cs="Tahoma"/>
                <w:sz w:val="24"/>
                <w:szCs w:val="24"/>
              </w:rPr>
              <w:t>the restrictive covenants/restrictions are usually contained in the contract, it would be possible to state in the contract that they do not merge on settlement.</w:t>
            </w:r>
            <w:r w:rsidR="00971879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="00E11BD6" w:rsidRPr="00E11BD6">
              <w:rPr>
                <w:rFonts w:ascii="Calibri" w:hAnsi="Calibri" w:cs="Tahoma"/>
                <w:sz w:val="24"/>
                <w:szCs w:val="24"/>
              </w:rPr>
              <w:t>This means that plans can be used.</w:t>
            </w:r>
          </w:p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  <w:highlight w:val="yellow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The use of MCPs has no effect on this issue because the terms in the MCP are incorporated into the creation of a restrictive covenant/restriction.</w:t>
            </w:r>
          </w:p>
        </w:tc>
      </w:tr>
      <w:tr w:rsidR="00E11BD6" w:rsidRPr="00E11BD6" w:rsidTr="00B731E8">
        <w:tc>
          <w:tcPr>
            <w:tcW w:w="460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lastRenderedPageBreak/>
              <w:t>20</w:t>
            </w:r>
          </w:p>
        </w:tc>
        <w:tc>
          <w:tcPr>
            <w:tcW w:w="4492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br w:type="page"/>
              <w:t>The responsibility for enforcement of restrictive covenants/restrictions will be moved to councils if they are required to be created as restrictions in plans.</w:t>
            </w:r>
          </w:p>
        </w:tc>
        <w:tc>
          <w:tcPr>
            <w:tcW w:w="1817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None</w:t>
            </w:r>
          </w:p>
        </w:tc>
        <w:tc>
          <w:tcPr>
            <w:tcW w:w="7123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There will be no movement of responsibility for enforcement</w:t>
            </w:r>
            <w:r w:rsidR="002279EF">
              <w:rPr>
                <w:rFonts w:ascii="Calibri" w:hAnsi="Calibri" w:cs="Tahoma"/>
                <w:sz w:val="24"/>
                <w:szCs w:val="24"/>
              </w:rPr>
              <w:t xml:space="preserve"> because</w:t>
            </w:r>
            <w:r w:rsidRPr="00E11BD6">
              <w:rPr>
                <w:rFonts w:ascii="Calibri" w:hAnsi="Calibri" w:cs="Tahoma"/>
                <w:sz w:val="24"/>
                <w:szCs w:val="24"/>
              </w:rPr>
              <w:t xml:space="preserve"> only the owners of the benefitted land are entitled to enforce the restrictive covenants/restrictions (unless contractual obligations still apply between the original parties to the covenant – see </w:t>
            </w:r>
            <w:r w:rsidR="002279EF">
              <w:rPr>
                <w:rFonts w:ascii="Calibri" w:hAnsi="Calibri" w:cs="Tahoma"/>
                <w:sz w:val="24"/>
                <w:szCs w:val="24"/>
              </w:rPr>
              <w:t>i</w:t>
            </w:r>
            <w:r w:rsidR="002279EF" w:rsidRPr="00E11BD6">
              <w:rPr>
                <w:rFonts w:ascii="Calibri" w:hAnsi="Calibri" w:cs="Tahoma"/>
                <w:sz w:val="24"/>
                <w:szCs w:val="24"/>
              </w:rPr>
              <w:t xml:space="preserve">ssue </w:t>
            </w:r>
            <w:r w:rsidRPr="00E11BD6">
              <w:rPr>
                <w:rFonts w:ascii="Calibri" w:hAnsi="Calibri" w:cs="Tahoma"/>
                <w:sz w:val="24"/>
                <w:szCs w:val="24"/>
              </w:rPr>
              <w:t>19</w:t>
            </w:r>
            <w:r w:rsidR="002279EF">
              <w:rPr>
                <w:rFonts w:ascii="Calibri" w:hAnsi="Calibri" w:cs="Tahoma"/>
                <w:sz w:val="24"/>
                <w:szCs w:val="24"/>
              </w:rPr>
              <w:t xml:space="preserve"> above</w:t>
            </w:r>
            <w:r w:rsidRPr="00E11BD6">
              <w:rPr>
                <w:rFonts w:ascii="Calibri" w:hAnsi="Calibri" w:cs="Tahoma"/>
                <w:sz w:val="24"/>
                <w:szCs w:val="24"/>
              </w:rPr>
              <w:t>).</w:t>
            </w:r>
          </w:p>
        </w:tc>
      </w:tr>
      <w:tr w:rsidR="00E11BD6" w:rsidRPr="00E11BD6" w:rsidTr="00B731E8">
        <w:tc>
          <w:tcPr>
            <w:tcW w:w="460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21</w:t>
            </w:r>
          </w:p>
        </w:tc>
        <w:tc>
          <w:tcPr>
            <w:tcW w:w="4492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LUV’s proposed standard wording for the creation of a restrictive covenant/restriction does not sufficiently create a building scheme.</w:t>
            </w:r>
          </w:p>
        </w:tc>
        <w:tc>
          <w:tcPr>
            <w:tcW w:w="1817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None</w:t>
            </w:r>
          </w:p>
        </w:tc>
        <w:tc>
          <w:tcPr>
            <w:tcW w:w="7123" w:type="dxa"/>
          </w:tcPr>
          <w:p w:rsidR="00E11BD6" w:rsidRPr="00E11BD6" w:rsidRDefault="002279EF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>Because</w:t>
            </w:r>
            <w:r w:rsidRPr="00E11BD6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="00E11BD6" w:rsidRPr="00E11BD6">
              <w:rPr>
                <w:rFonts w:ascii="Calibri" w:hAnsi="Calibri" w:cs="Tahoma"/>
                <w:sz w:val="24"/>
                <w:szCs w:val="24"/>
              </w:rPr>
              <w:t>not all creations of restrictive covenants/restrictions create a building scheme, the intention to create a building scheme should be set out in the relevant MCP or short form restriction.</w:t>
            </w:r>
          </w:p>
        </w:tc>
      </w:tr>
      <w:tr w:rsidR="00E11BD6" w:rsidRPr="00E11BD6" w:rsidTr="00B731E8">
        <w:tc>
          <w:tcPr>
            <w:tcW w:w="460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22</w:t>
            </w:r>
          </w:p>
        </w:tc>
        <w:tc>
          <w:tcPr>
            <w:tcW w:w="4492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Positive and unenforceable covenants may be included.</w:t>
            </w:r>
          </w:p>
        </w:tc>
        <w:tc>
          <w:tcPr>
            <w:tcW w:w="1817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None</w:t>
            </w:r>
          </w:p>
        </w:tc>
        <w:tc>
          <w:tcPr>
            <w:tcW w:w="7123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This occurs today in the creation of a restrictive covenant/restriction in both transfers or plans.</w:t>
            </w:r>
            <w:r w:rsidR="00971879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Pr="00E11BD6">
              <w:rPr>
                <w:rFonts w:ascii="Calibri" w:hAnsi="Calibri" w:cs="Tahoma"/>
                <w:sz w:val="24"/>
                <w:szCs w:val="24"/>
              </w:rPr>
              <w:t xml:space="preserve">Under section 88(3) of the </w:t>
            </w:r>
            <w:r w:rsidR="002279EF">
              <w:rPr>
                <w:rFonts w:ascii="Calibri" w:hAnsi="Calibri" w:cs="Tahoma"/>
                <w:i/>
                <w:sz w:val="24"/>
                <w:szCs w:val="24"/>
              </w:rPr>
              <w:t>Transfer of Land Act 1958</w:t>
            </w:r>
            <w:r w:rsidR="002279EF">
              <w:rPr>
                <w:rFonts w:ascii="Calibri" w:hAnsi="Calibri" w:cs="Tahoma"/>
                <w:sz w:val="24"/>
                <w:szCs w:val="24"/>
              </w:rPr>
              <w:t>,</w:t>
            </w:r>
            <w:r w:rsidR="002279EF" w:rsidRPr="00E11BD6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Pr="00E11BD6">
              <w:rPr>
                <w:rFonts w:ascii="Calibri" w:hAnsi="Calibri" w:cs="Tahoma"/>
                <w:sz w:val="24"/>
                <w:szCs w:val="24"/>
              </w:rPr>
              <w:t>a restrictive covenant/restriction has no greater effect than it has under the instrument creating it (i</w:t>
            </w:r>
            <w:r w:rsidR="002279EF">
              <w:rPr>
                <w:rFonts w:ascii="Calibri" w:hAnsi="Calibri" w:cs="Tahoma"/>
                <w:sz w:val="24"/>
                <w:szCs w:val="24"/>
              </w:rPr>
              <w:t>.</w:t>
            </w:r>
            <w:r w:rsidRPr="00E11BD6">
              <w:rPr>
                <w:rFonts w:ascii="Calibri" w:hAnsi="Calibri" w:cs="Tahoma"/>
                <w:sz w:val="24"/>
                <w:szCs w:val="24"/>
              </w:rPr>
              <w:t>e</w:t>
            </w:r>
            <w:r w:rsidR="002279EF">
              <w:rPr>
                <w:rFonts w:ascii="Calibri" w:hAnsi="Calibri" w:cs="Tahoma"/>
                <w:sz w:val="24"/>
                <w:szCs w:val="24"/>
              </w:rPr>
              <w:t>.</w:t>
            </w:r>
            <w:r w:rsidRPr="00E11BD6">
              <w:rPr>
                <w:rFonts w:ascii="Calibri" w:hAnsi="Calibri" w:cs="Tahoma"/>
                <w:sz w:val="24"/>
                <w:szCs w:val="24"/>
              </w:rPr>
              <w:t xml:space="preserve"> at the common law) or the </w:t>
            </w:r>
            <w:r w:rsidRPr="00E11BD6">
              <w:rPr>
                <w:rFonts w:ascii="Calibri" w:hAnsi="Calibri" w:cs="Tahoma"/>
                <w:sz w:val="24"/>
                <w:szCs w:val="24"/>
              </w:rPr>
              <w:lastRenderedPageBreak/>
              <w:t>Act creating it.</w:t>
            </w:r>
          </w:p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It is for conveyancers and lawyers to advise whether a particular restrictive covenant/restriction is enforceable.</w:t>
            </w:r>
          </w:p>
        </w:tc>
      </w:tr>
      <w:tr w:rsidR="00E11BD6" w:rsidRPr="00E11BD6" w:rsidTr="00B731E8">
        <w:tc>
          <w:tcPr>
            <w:tcW w:w="460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lastRenderedPageBreak/>
              <w:t>23</w:t>
            </w:r>
          </w:p>
        </w:tc>
        <w:tc>
          <w:tcPr>
            <w:tcW w:w="4492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LUV should maintain current practices developed relating to the ability to depict building envelopes.</w:t>
            </w:r>
          </w:p>
        </w:tc>
        <w:tc>
          <w:tcPr>
            <w:tcW w:w="1817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None</w:t>
            </w:r>
          </w:p>
        </w:tc>
        <w:tc>
          <w:tcPr>
            <w:tcW w:w="7123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 xml:space="preserve">LUV considers it more appropriate to include building envelope diagrams in section 173 of the </w:t>
            </w:r>
            <w:r w:rsidRPr="00E11BD6">
              <w:rPr>
                <w:rFonts w:ascii="Calibri" w:hAnsi="Calibri" w:cs="Tahoma"/>
                <w:i/>
                <w:sz w:val="24"/>
                <w:szCs w:val="24"/>
              </w:rPr>
              <w:t xml:space="preserve">Planning and Environment Act 1987 </w:t>
            </w:r>
            <w:r w:rsidRPr="00E11BD6">
              <w:rPr>
                <w:rFonts w:ascii="Calibri" w:hAnsi="Calibri" w:cs="Tahoma"/>
                <w:sz w:val="24"/>
                <w:szCs w:val="24"/>
              </w:rPr>
              <w:t>agreements.</w:t>
            </w:r>
          </w:p>
        </w:tc>
      </w:tr>
      <w:tr w:rsidR="00E11BD6" w:rsidRPr="00E11BD6" w:rsidTr="00B731E8">
        <w:tc>
          <w:tcPr>
            <w:tcW w:w="460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/>
                <w:sz w:val="24"/>
                <w:szCs w:val="24"/>
              </w:rPr>
            </w:pPr>
            <w:r w:rsidRPr="00E11BD6">
              <w:rPr>
                <w:rFonts w:ascii="Calibri" w:hAnsi="Calibri"/>
                <w:sz w:val="24"/>
                <w:szCs w:val="24"/>
              </w:rPr>
              <w:t>24</w:t>
            </w:r>
          </w:p>
        </w:tc>
        <w:tc>
          <w:tcPr>
            <w:tcW w:w="4492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/>
                <w:sz w:val="24"/>
                <w:szCs w:val="24"/>
              </w:rPr>
            </w:pPr>
            <w:r w:rsidRPr="00E11BD6">
              <w:rPr>
                <w:rFonts w:ascii="Calibri" w:hAnsi="Calibri"/>
                <w:sz w:val="24"/>
                <w:szCs w:val="24"/>
              </w:rPr>
              <w:t>All restrictive covenants/restrictions should appear on the face of a title search like the current restrictive COVENANT notation</w:t>
            </w:r>
            <w:r w:rsidR="002279EF">
              <w:rPr>
                <w:rFonts w:ascii="Calibri" w:hAnsi="Calibri"/>
                <w:sz w:val="24"/>
                <w:szCs w:val="24"/>
              </w:rPr>
              <w:t>,</w:t>
            </w:r>
            <w:r w:rsidRPr="00E11BD6">
              <w:rPr>
                <w:rFonts w:ascii="Calibri" w:hAnsi="Calibri"/>
                <w:sz w:val="24"/>
                <w:szCs w:val="24"/>
              </w:rPr>
              <w:t xml:space="preserve"> together with an expiry date.</w:t>
            </w:r>
          </w:p>
        </w:tc>
        <w:tc>
          <w:tcPr>
            <w:tcW w:w="1817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None</w:t>
            </w:r>
          </w:p>
        </w:tc>
        <w:tc>
          <w:tcPr>
            <w:tcW w:w="7123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The current form of the endorsement</w:t>
            </w:r>
            <w:r w:rsidR="002279EF">
              <w:rPr>
                <w:rFonts w:ascii="Calibri" w:hAnsi="Calibri" w:cs="Tahoma"/>
                <w:sz w:val="24"/>
                <w:szCs w:val="24"/>
              </w:rPr>
              <w:t>,</w:t>
            </w:r>
            <w:r w:rsidRPr="00E11BD6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="002279EF" w:rsidRPr="00E11BD6">
              <w:rPr>
                <w:rFonts w:ascii="Calibri" w:hAnsi="Calibri" w:cs="Tahoma"/>
                <w:sz w:val="24"/>
                <w:szCs w:val="24"/>
              </w:rPr>
              <w:t>whe</w:t>
            </w:r>
            <w:r w:rsidR="002279EF">
              <w:rPr>
                <w:rFonts w:ascii="Calibri" w:hAnsi="Calibri" w:cs="Tahoma"/>
                <w:sz w:val="24"/>
                <w:szCs w:val="24"/>
              </w:rPr>
              <w:t>n</w:t>
            </w:r>
            <w:r w:rsidR="002279EF" w:rsidRPr="00E11BD6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Pr="00E11BD6">
              <w:rPr>
                <w:rFonts w:ascii="Calibri" w:hAnsi="Calibri" w:cs="Tahoma"/>
                <w:sz w:val="24"/>
                <w:szCs w:val="24"/>
              </w:rPr>
              <w:t xml:space="preserve">either the transfer or plan dealing number creating the restrictive covenant/restriction is set out including an expiry date </w:t>
            </w:r>
            <w:r w:rsidR="002279EF">
              <w:rPr>
                <w:rFonts w:ascii="Calibri" w:hAnsi="Calibri" w:cs="Tahoma"/>
                <w:sz w:val="24"/>
                <w:szCs w:val="24"/>
              </w:rPr>
              <w:t>(</w:t>
            </w:r>
            <w:r w:rsidRPr="00E11BD6">
              <w:rPr>
                <w:rFonts w:ascii="Calibri" w:hAnsi="Calibri" w:cs="Tahoma"/>
                <w:sz w:val="24"/>
                <w:szCs w:val="24"/>
              </w:rPr>
              <w:t>where relevant</w:t>
            </w:r>
            <w:r w:rsidR="002279EF">
              <w:rPr>
                <w:rFonts w:ascii="Calibri" w:hAnsi="Calibri" w:cs="Tahoma"/>
                <w:sz w:val="24"/>
                <w:szCs w:val="24"/>
              </w:rPr>
              <w:t>)</w:t>
            </w:r>
            <w:r w:rsidRPr="00E11BD6">
              <w:rPr>
                <w:rFonts w:ascii="Calibri" w:hAnsi="Calibri" w:cs="Tahoma"/>
                <w:sz w:val="24"/>
                <w:szCs w:val="24"/>
              </w:rPr>
              <w:t>, will continue.</w:t>
            </w:r>
          </w:p>
        </w:tc>
      </w:tr>
      <w:tr w:rsidR="00E11BD6" w:rsidRPr="00E11BD6" w:rsidTr="00B731E8">
        <w:tc>
          <w:tcPr>
            <w:tcW w:w="460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25</w:t>
            </w:r>
          </w:p>
        </w:tc>
        <w:tc>
          <w:tcPr>
            <w:tcW w:w="4492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Is a change proposed to easement creation in a transfer?</w:t>
            </w:r>
          </w:p>
        </w:tc>
        <w:tc>
          <w:tcPr>
            <w:tcW w:w="1817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None</w:t>
            </w:r>
          </w:p>
        </w:tc>
        <w:tc>
          <w:tcPr>
            <w:tcW w:w="7123" w:type="dxa"/>
          </w:tcPr>
          <w:p w:rsidR="00E11BD6" w:rsidRPr="00E11BD6" w:rsidRDefault="00E11BD6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 w:rsidRPr="00E11BD6">
              <w:rPr>
                <w:rFonts w:ascii="Calibri" w:hAnsi="Calibri" w:cs="Tahoma"/>
                <w:sz w:val="24"/>
                <w:szCs w:val="24"/>
              </w:rPr>
              <w:t>No, the proposed change is not applicable to easements.</w:t>
            </w:r>
          </w:p>
          <w:p w:rsidR="00E11BD6" w:rsidRPr="00E11BD6" w:rsidRDefault="00693A40" w:rsidP="00E11BD6">
            <w:pPr>
              <w:spacing w:after="240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>Typically, e</w:t>
            </w:r>
            <w:r w:rsidRPr="00E11BD6">
              <w:rPr>
                <w:rFonts w:ascii="Calibri" w:hAnsi="Calibri" w:cs="Tahoma"/>
                <w:sz w:val="24"/>
                <w:szCs w:val="24"/>
              </w:rPr>
              <w:t xml:space="preserve">asements </w:t>
            </w:r>
            <w:r w:rsidR="00E11BD6" w:rsidRPr="00E11BD6">
              <w:rPr>
                <w:rFonts w:ascii="Calibri" w:hAnsi="Calibri" w:cs="Tahoma"/>
                <w:sz w:val="24"/>
                <w:szCs w:val="24"/>
              </w:rPr>
              <w:t>are not created in transfers.</w:t>
            </w:r>
          </w:p>
        </w:tc>
      </w:tr>
    </w:tbl>
    <w:p w:rsidR="008F2EFD" w:rsidRPr="00150849" w:rsidRDefault="008F2EFD" w:rsidP="00E11BD6">
      <w:pPr>
        <w:tabs>
          <w:tab w:val="left" w:pos="0"/>
        </w:tabs>
        <w:spacing w:before="120" w:after="240" w:line="276" w:lineRule="auto"/>
      </w:pPr>
    </w:p>
    <w:sectPr w:rsidR="008F2EFD" w:rsidRPr="00150849" w:rsidSect="004C0179">
      <w:type w:val="continuous"/>
      <w:pgSz w:w="16840" w:h="11907" w:orient="landscape" w:code="9"/>
      <w:pgMar w:top="2211" w:right="851" w:bottom="1758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E5D" w:rsidRDefault="009A4E5D">
      <w:r>
        <w:separator/>
      </w:r>
    </w:p>
    <w:p w:rsidR="009A4E5D" w:rsidRDefault="009A4E5D"/>
    <w:p w:rsidR="009A4E5D" w:rsidRDefault="009A4E5D"/>
  </w:endnote>
  <w:endnote w:type="continuationSeparator" w:id="0">
    <w:p w:rsidR="009A4E5D" w:rsidRDefault="009A4E5D">
      <w:r>
        <w:continuationSeparator/>
      </w:r>
    </w:p>
    <w:p w:rsidR="009A4E5D" w:rsidRDefault="009A4E5D"/>
    <w:p w:rsidR="009A4E5D" w:rsidRDefault="009A4E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8D7087" w:rsidTr="00B15B59">
      <w:trPr>
        <w:trHeight w:val="397"/>
      </w:trPr>
      <w:tc>
        <w:tcPr>
          <w:tcW w:w="340" w:type="dxa"/>
        </w:tcPr>
        <w:p w:rsidR="008D7087" w:rsidRPr="00D55628" w:rsidRDefault="008D7087" w:rsidP="008D7087">
          <w:pPr>
            <w:pStyle w:val="FooterEvenPageNumber"/>
            <w:framePr w:wrap="auto" w:vAnchor="margin" w:hAnchor="text" w:yAlign="inline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EB1FC9">
            <w:rPr>
              <w:noProof/>
            </w:rPr>
            <w:t>6</w:t>
          </w:r>
          <w:r w:rsidRPr="00D55628">
            <w:fldChar w:fldCharType="end"/>
          </w:r>
        </w:p>
      </w:tc>
      <w:tc>
        <w:tcPr>
          <w:tcW w:w="9071" w:type="dxa"/>
        </w:tcPr>
        <w:p w:rsidR="008D7087" w:rsidRPr="00D55628" w:rsidRDefault="008D7087" w:rsidP="008D7087">
          <w:pPr>
            <w:pStyle w:val="FooterEven"/>
          </w:pPr>
        </w:p>
      </w:tc>
    </w:tr>
  </w:tbl>
  <w:p w:rsidR="008D7087" w:rsidRPr="008B5730" w:rsidRDefault="008D7087" w:rsidP="008D7087">
    <w:pPr>
      <w:pStyle w:val="Footer"/>
    </w:pPr>
  </w:p>
  <w:p w:rsidR="00E962AA" w:rsidRPr="008D7087" w:rsidRDefault="00E962AA" w:rsidP="008D7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8D7087" w:rsidTr="00B15B59">
      <w:trPr>
        <w:trHeight w:val="397"/>
      </w:trPr>
      <w:tc>
        <w:tcPr>
          <w:tcW w:w="9071" w:type="dxa"/>
        </w:tcPr>
        <w:p w:rsidR="008D7087" w:rsidRPr="00CB1FB7" w:rsidRDefault="008D7087" w:rsidP="008D7087">
          <w:pPr>
            <w:pStyle w:val="FooterOdd"/>
            <w:rPr>
              <w:b/>
            </w:rPr>
          </w:pPr>
        </w:p>
      </w:tc>
      <w:tc>
        <w:tcPr>
          <w:tcW w:w="340" w:type="dxa"/>
        </w:tcPr>
        <w:p w:rsidR="008D7087" w:rsidRPr="00D55628" w:rsidRDefault="008D7087" w:rsidP="008D7087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EB1FC9">
            <w:rPr>
              <w:noProof/>
            </w:rPr>
            <w:t>7</w:t>
          </w:r>
          <w:r w:rsidRPr="00D55628">
            <w:fldChar w:fldCharType="end"/>
          </w:r>
        </w:p>
      </w:tc>
    </w:tr>
  </w:tbl>
  <w:p w:rsidR="008D7087" w:rsidRDefault="008D7087" w:rsidP="008D7087">
    <w:pPr>
      <w:pStyle w:val="Footer"/>
    </w:pPr>
  </w:p>
  <w:p w:rsidR="00E962AA" w:rsidRPr="008D7087" w:rsidRDefault="00E962AA" w:rsidP="008D7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2AA" w:rsidRDefault="00E962AA" w:rsidP="00BF3066">
    <w:pPr>
      <w:pStyle w:val="Footer"/>
      <w:spacing w:before="1600"/>
    </w:pPr>
    <w:r>
      <w:rPr>
        <w:noProof/>
      </w:rPr>
      <w:drawing>
        <wp:anchor distT="0" distB="0" distL="114300" distR="114300" simplePos="0" relativeHeight="251669504" behindDoc="1" locked="1" layoutInCell="1" allowOverlap="1" wp14:anchorId="1CE66EE4" wp14:editId="4F38F14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8753" cy="1085850"/>
          <wp:effectExtent l="0" t="0" r="0" b="0"/>
          <wp:wrapNone/>
          <wp:docPr id="9" name="LogoMon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</w:rPr>
      <w:drawing>
        <wp:anchor distT="0" distB="0" distL="114300" distR="114300" simplePos="0" relativeHeight="251665408" behindDoc="1" locked="1" layoutInCell="1" allowOverlap="1" wp14:anchorId="568DF3F5" wp14:editId="1ED4E7C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10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E5D" w:rsidRPr="008F5280" w:rsidRDefault="009A4E5D" w:rsidP="008F5280">
      <w:pPr>
        <w:pStyle w:val="FootnoteSeparator"/>
      </w:pPr>
    </w:p>
    <w:p w:rsidR="009A4E5D" w:rsidRDefault="009A4E5D"/>
  </w:footnote>
  <w:footnote w:type="continuationSeparator" w:id="0">
    <w:p w:rsidR="009A4E5D" w:rsidRDefault="009A4E5D" w:rsidP="008F5280">
      <w:pPr>
        <w:pStyle w:val="FootnoteSeparator"/>
      </w:pPr>
    </w:p>
    <w:p w:rsidR="009A4E5D" w:rsidRDefault="009A4E5D"/>
    <w:p w:rsidR="009A4E5D" w:rsidRDefault="009A4E5D"/>
  </w:footnote>
  <w:footnote w:type="continuationNotice" w:id="1">
    <w:p w:rsidR="009A4E5D" w:rsidRDefault="009A4E5D" w:rsidP="00D55628"/>
    <w:p w:rsidR="009A4E5D" w:rsidRDefault="009A4E5D"/>
    <w:p w:rsidR="009A4E5D" w:rsidRDefault="009A4E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horzAnchor="margin" w:tblpXSpec="right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14"/>
    </w:tblGrid>
    <w:tr w:rsidR="008F2EFD" w:rsidRPr="00975ED3" w:rsidTr="004C0179">
      <w:trPr>
        <w:trHeight w:hRule="exact" w:val="1418"/>
      </w:trPr>
      <w:tc>
        <w:tcPr>
          <w:tcW w:w="12614" w:type="dxa"/>
          <w:vAlign w:val="center"/>
        </w:tcPr>
        <w:p w:rsidR="008F2EFD" w:rsidRPr="00975ED3" w:rsidRDefault="00750B17" w:rsidP="008F2EFD">
          <w:pPr>
            <w:pStyle w:val="Header"/>
          </w:pPr>
          <w:fldSimple w:instr=" STYLEREF  Title  \* MERGEFORMAT ">
            <w:r w:rsidR="00EB1FC9">
              <w:rPr>
                <w:noProof/>
              </w:rPr>
              <w:t>Stakeholder feedback and Land Use Victoria responses to consultation about creating restrictive covenants in transfers and restrictions in plans</w:t>
            </w:r>
          </w:fldSimple>
        </w:p>
      </w:tc>
    </w:tr>
  </w:tbl>
  <w:p w:rsidR="00254A01" w:rsidRDefault="00225F31" w:rsidP="00254A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3EA5B9C6" wp14:editId="76D4AB1B">
              <wp:simplePos x="0" y="0"/>
              <wp:positionH relativeFrom="page">
                <wp:align>inside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E563F3" id="Rectangle 18" o:spid="_x0000_s1026" style="position:absolute;margin-left:0;margin-top:0;width:21.25pt;height:96.4pt;z-index:251671552;visibility:visible;mso-wrap-style:square;mso-width-percent:0;mso-height-percent:0;mso-wrap-distance-left:9pt;mso-wrap-distance-top:0;mso-wrap-distance-right:9pt;mso-wrap-distance-bottom:0;mso-position-horizontal:in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 fillcolor="white [3212]" stroked="f" strokeweight="2pt">
              <w10:wrap anchorx="page" anchory="page"/>
              <w10:anchorlock/>
            </v:rect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FE8278B" wp14:editId="5841B57B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3BBFB9" id="TriangleRight" o:spid="_x0000_s1026" style="position:absolute;margin-left:56.7pt;margin-top:22.7pt;width:68.05pt;height:70.8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BDC17CB" wp14:editId="7589C2C0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7CD7AD" id="TriangleLeft" o:spid="_x0000_s1026" style="position:absolute;margin-left:22.7pt;margin-top:22.7pt;width:68.05pt;height:70.8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" path="m,l665,1419,1334,,,xe" fillcolor="#b3272f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41013144" wp14:editId="65CBDEBC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1CCFDE" id="Rectangle" o:spid="_x0000_s1026" style="position:absolute;margin-left:22.7pt;margin-top:22.7pt;width:1148.05pt;height:70.8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" fillcolor="#00b2a9 [3204]" stroked="f">
              <w10:wrap anchorx="page" anchory="page"/>
            </v:rect>
          </w:pict>
        </mc:Fallback>
      </mc:AlternateContent>
    </w:r>
  </w:p>
  <w:p w:rsidR="00E962AA" w:rsidRPr="00254A01" w:rsidRDefault="00E962AA" w:rsidP="00254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horzAnchor="margin" w:tblpXSpec="right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14"/>
    </w:tblGrid>
    <w:tr w:rsidR="00254A01" w:rsidRPr="00975ED3" w:rsidTr="004C0179">
      <w:trPr>
        <w:trHeight w:hRule="exact" w:val="1418"/>
      </w:trPr>
      <w:tc>
        <w:tcPr>
          <w:tcW w:w="12614" w:type="dxa"/>
          <w:vAlign w:val="center"/>
        </w:tcPr>
        <w:p w:rsidR="00254A01" w:rsidRPr="00975ED3" w:rsidRDefault="00EB1FC9" w:rsidP="008F2EFD">
          <w:pPr>
            <w:pStyle w:val="Header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>
            <w:rPr>
              <w:noProof/>
            </w:rPr>
            <w:t>Stakeholder feedback and Land Use Victoria responses to consultation about creating restrictive covenants in transfers and restrictions in plans</w:t>
          </w:r>
          <w:r>
            <w:rPr>
              <w:noProof/>
            </w:rPr>
            <w:fldChar w:fldCharType="end"/>
          </w:r>
        </w:p>
      </w:tc>
    </w:tr>
  </w:tbl>
  <w:p w:rsidR="00254A01" w:rsidRDefault="000944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A880560" wp14:editId="2F4314E9">
              <wp:simplePos x="0" y="0"/>
              <wp:positionH relativeFrom="page">
                <wp:align>inside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422760" id="Rectangle 13" o:spid="_x0000_s1026" style="position:absolute;margin-left:0;margin-top:0;width:21.25pt;height:96.4pt;z-index:251663360;visibility:visible;mso-wrap-style:square;mso-width-percent:0;mso-height-percent:0;mso-wrap-distance-left:9pt;mso-wrap-distance-top:0;mso-wrap-distance-right:9pt;mso-wrap-distance-bottom:0;mso-position-horizontal:in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IaaFjK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92CB4C0" wp14:editId="231F1D84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E67D6F" id="TriangleRight" o:spid="_x0000_s1026" style="position:absolute;margin-left:56.7pt;margin-top:22.7pt;width:68.05pt;height:7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BBC1CC7" wp14:editId="7AA8F799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1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E07648" id="TriangleLeft" o:spid="_x0000_s1026" style="position:absolute;margin-left:22.7pt;margin-top:22.7pt;width:68.05pt;height:70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" path="m,l665,1419,1334,,,xe" fillcolor="#b3272f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3F2FABC8" wp14:editId="22DDF398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2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FABBB1" id="Rectangle" o:spid="_x0000_s1026" style="position:absolute;margin-left:22.7pt;margin-top:22.7pt;width:1148.05pt;height:70.8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" fillcolor="#00b2a9 [3204]" stroked="f">
              <w10:wrap anchorx="page" anchory="page"/>
            </v:rect>
          </w:pict>
        </mc:Fallback>
      </mc:AlternateContent>
    </w:r>
    <w:r w:rsidR="00225F31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EA5B9C6" wp14:editId="76D4AB1B">
              <wp:simplePos x="0" y="0"/>
              <wp:positionH relativeFrom="page">
                <wp:align>outside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089BE0" id="Rectangle 19" o:spid="_x0000_s1026" style="position:absolute;margin-left:-29.95pt;margin-top:0;width:21.25pt;height:96.4pt;z-index:251661312;visibility:visible;mso-wrap-style:square;mso-width-percent:0;mso-height-percent:0;mso-wrap-distance-left:9pt;mso-wrap-distance-top:0;mso-wrap-distance-right:9pt;mso-wrap-distance-bottom:0;mso-position-horizontal:out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AIPN3u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31" w:rsidRPr="00E97294" w:rsidRDefault="00E962AA" w:rsidP="00225F31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37D6E330" wp14:editId="49D68187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058F98" id="TriangleRight" o:spid="_x0000_s1026" style="position:absolute;margin-left:56.7pt;margin-top:22.7pt;width:68.05pt;height:70.8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33F0C2" wp14:editId="74A81EB6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E49E79" id="TriangleBottom" o:spid="_x0000_s1026" style="position:absolute;margin-left:56.7pt;margin-top:93.55pt;width:68.05pt;height:7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" path="m,l669,1415,1339,,,xe" fillcolor="#e1a9ac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70AF1CF5" wp14:editId="08F6D1FA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58761D" id="TriangleLeft" o:spid="_x0000_s1026" style="position:absolute;margin-left:22.7pt;margin-top:22.7pt;width:68.05pt;height:70.8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" path="m,l665,1419,1334,,,xe" fillcolor="#b3272f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7FE217BE" wp14:editId="1FB5CF82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F6BC2D" id="Rectangle" o:spid="_x0000_s1026" style="position:absolute;margin-left:22.7pt;margin-top:22.7pt;width:1148.05pt;height:70.8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" fillcolor="#00b2a9 [3204]" stroked="f">
              <w10:wrap anchorx="page" anchory="page"/>
            </v:rect>
          </w:pict>
        </mc:Fallback>
      </mc:AlternateContent>
    </w:r>
    <w:r w:rsidR="00225F31">
      <w:rPr>
        <w:noProof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039E1299" wp14:editId="623C2A28">
              <wp:simplePos x="0" y="0"/>
              <wp:positionH relativeFrom="page">
                <wp:align>outside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0C5A1A" id="Rectangle 17" o:spid="_x0000_s1026" style="position:absolute;margin-left:-29.95pt;margin-top:0;width:21.25pt;height:96.4pt;z-index:251673600;visibility:visible;mso-wrap-style:square;mso-width-percent:0;mso-height-percent:0;mso-wrap-distance-left:9pt;mso-wrap-distance-top:0;mso-wrap-distance-right:9pt;mso-wrap-distance-bottom:0;mso-position-horizontal:out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124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4C6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E6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924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7A2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F81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80F4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7E9A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0A8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AA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1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B3272F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12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3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4" w15:restartNumberingAfterBreak="0">
    <w:nsid w:val="1E013DD2"/>
    <w:multiLevelType w:val="hybridMultilevel"/>
    <w:tmpl w:val="DEEA73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6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45EC4"/>
    <w:multiLevelType w:val="multilevel"/>
    <w:tmpl w:val="6D667388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2" w15:restartNumberingAfterBreak="0">
    <w:nsid w:val="4FCC79FC"/>
    <w:multiLevelType w:val="hybridMultilevel"/>
    <w:tmpl w:val="8CFC46A8"/>
    <w:lvl w:ilvl="0" w:tplc="271CB27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4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3650E12"/>
    <w:multiLevelType w:val="hybridMultilevel"/>
    <w:tmpl w:val="47944B7A"/>
    <w:lvl w:ilvl="0" w:tplc="10222A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8D06DD"/>
    <w:multiLevelType w:val="hybridMultilevel"/>
    <w:tmpl w:val="AE1E4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8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9" w15:restartNumberingAfterBreak="0">
    <w:nsid w:val="67962A4D"/>
    <w:multiLevelType w:val="multilevel"/>
    <w:tmpl w:val="D58626A6"/>
    <w:lvl w:ilvl="0">
      <w:start w:val="1"/>
      <w:numFmt w:val="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cs="Times New Roman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B3272F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32" w15:restartNumberingAfterBreak="0">
    <w:nsid w:val="727F4964"/>
    <w:multiLevelType w:val="multilevel"/>
    <w:tmpl w:val="B05091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3" w15:restartNumberingAfterBreak="0">
    <w:nsid w:val="73F12C63"/>
    <w:multiLevelType w:val="hybridMultilevel"/>
    <w:tmpl w:val="C1FEAE22"/>
    <w:lvl w:ilvl="0" w:tplc="07362070">
      <w:start w:val="1"/>
      <w:numFmt w:val="bullet"/>
      <w:lvlText w:val="•"/>
      <w:lvlJc w:val="left"/>
      <w:pPr>
        <w:ind w:left="587" w:hanging="360"/>
      </w:pPr>
      <w:rPr>
        <w:rFonts w:ascii="Arial" w:hAnsi="Arial" w:hint="default"/>
        <w:color w:val="FFFFFF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4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9"/>
  </w:num>
  <w:num w:numId="2">
    <w:abstractNumId w:val="30"/>
  </w:num>
  <w:num w:numId="3">
    <w:abstractNumId w:val="27"/>
  </w:num>
  <w:num w:numId="4">
    <w:abstractNumId w:val="34"/>
  </w:num>
  <w:num w:numId="5">
    <w:abstractNumId w:val="16"/>
  </w:num>
  <w:num w:numId="6">
    <w:abstractNumId w:val="12"/>
  </w:num>
  <w:num w:numId="7">
    <w:abstractNumId w:val="11"/>
  </w:num>
  <w:num w:numId="8">
    <w:abstractNumId w:val="10"/>
  </w:num>
  <w:num w:numId="9">
    <w:abstractNumId w:val="31"/>
  </w:num>
  <w:num w:numId="10">
    <w:abstractNumId w:val="13"/>
  </w:num>
  <w:num w:numId="11">
    <w:abstractNumId w:val="1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33"/>
    <w:lvlOverride w:ilvl="0">
      <w:startOverride w:val="1"/>
    </w:lvlOverride>
  </w:num>
  <w:num w:numId="29">
    <w:abstractNumId w:val="20"/>
  </w:num>
  <w:num w:numId="30">
    <w:abstractNumId w:val="32"/>
  </w:num>
  <w:num w:numId="31">
    <w:abstractNumId w:val="8"/>
  </w:num>
  <w:num w:numId="32">
    <w:abstractNumId w:val="29"/>
  </w:num>
  <w:num w:numId="33">
    <w:abstractNumId w:val="21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1"/>
  </w:num>
  <w:num w:numId="40">
    <w:abstractNumId w:val="0"/>
  </w:num>
  <w:num w:numId="41">
    <w:abstractNumId w:val="3"/>
  </w:num>
  <w:num w:numId="42">
    <w:abstractNumId w:val="2"/>
  </w:num>
  <w:num w:numId="43">
    <w:abstractNumId w:val="22"/>
  </w:num>
  <w:num w:numId="44">
    <w:abstractNumId w:val="26"/>
  </w:num>
  <w:num w:numId="4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4Landscape" w:val="False"/>
    <w:docVar w:name="A4Portrait" w:val="True"/>
    <w:docVar w:name="AppendixName" w:val="Appendix"/>
    <w:docVar w:name="CoBrandNumber" w:val="0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LocalInfrastructure"/>
    <w:docVar w:name="TOC" w:val="True"/>
    <w:docVar w:name="TOCNew" w:val="True"/>
    <w:docVar w:name="Version" w:val="1"/>
  </w:docVars>
  <w:rsids>
    <w:rsidRoot w:val="00C235F6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4E2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B41"/>
    <w:rsid w:val="0008006E"/>
    <w:rsid w:val="000802A9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4E9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849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37A6"/>
    <w:rsid w:val="001A4197"/>
    <w:rsid w:val="001A45A0"/>
    <w:rsid w:val="001A4BB8"/>
    <w:rsid w:val="001A50A5"/>
    <w:rsid w:val="001A548E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8FF"/>
    <w:rsid w:val="001C591F"/>
    <w:rsid w:val="001C63D2"/>
    <w:rsid w:val="001C6526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5F31"/>
    <w:rsid w:val="002262A7"/>
    <w:rsid w:val="002279EF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AE1"/>
    <w:rsid w:val="00240ED3"/>
    <w:rsid w:val="002412A2"/>
    <w:rsid w:val="00241740"/>
    <w:rsid w:val="00241810"/>
    <w:rsid w:val="00241BEC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079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5BD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531"/>
    <w:rsid w:val="002D47E6"/>
    <w:rsid w:val="002D4B67"/>
    <w:rsid w:val="002D5353"/>
    <w:rsid w:val="002D5398"/>
    <w:rsid w:val="002D5584"/>
    <w:rsid w:val="002D5767"/>
    <w:rsid w:val="002D5E29"/>
    <w:rsid w:val="002D65F7"/>
    <w:rsid w:val="002D66F5"/>
    <w:rsid w:val="002D6A84"/>
    <w:rsid w:val="002D6B9C"/>
    <w:rsid w:val="002D6C05"/>
    <w:rsid w:val="002D70B7"/>
    <w:rsid w:val="002D7C5A"/>
    <w:rsid w:val="002E0210"/>
    <w:rsid w:val="002E0666"/>
    <w:rsid w:val="002E0CE5"/>
    <w:rsid w:val="002E1688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0F2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8D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39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106A"/>
    <w:rsid w:val="003E13A8"/>
    <w:rsid w:val="003E1E9A"/>
    <w:rsid w:val="003E22D4"/>
    <w:rsid w:val="003E24BD"/>
    <w:rsid w:val="003E2C4B"/>
    <w:rsid w:val="003E313F"/>
    <w:rsid w:val="003E3643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91E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22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179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6FC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41D4"/>
    <w:rsid w:val="00554A10"/>
    <w:rsid w:val="005550AC"/>
    <w:rsid w:val="005565AB"/>
    <w:rsid w:val="00556A21"/>
    <w:rsid w:val="00556E29"/>
    <w:rsid w:val="00556EE7"/>
    <w:rsid w:val="00557A63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738"/>
    <w:rsid w:val="005F2CD9"/>
    <w:rsid w:val="005F2DD4"/>
    <w:rsid w:val="005F40BB"/>
    <w:rsid w:val="005F4CC2"/>
    <w:rsid w:val="005F4FED"/>
    <w:rsid w:val="005F551C"/>
    <w:rsid w:val="005F5CE7"/>
    <w:rsid w:val="005F5F36"/>
    <w:rsid w:val="005F618D"/>
    <w:rsid w:val="005F6F53"/>
    <w:rsid w:val="005F70DA"/>
    <w:rsid w:val="005F73D0"/>
    <w:rsid w:val="005F7770"/>
    <w:rsid w:val="005F7C8F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2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502"/>
    <w:rsid w:val="00692877"/>
    <w:rsid w:val="006930DF"/>
    <w:rsid w:val="00693285"/>
    <w:rsid w:val="006934CF"/>
    <w:rsid w:val="00693963"/>
    <w:rsid w:val="00693A40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B17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64A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F77"/>
    <w:rsid w:val="007E7B22"/>
    <w:rsid w:val="007E7E4B"/>
    <w:rsid w:val="007E7F34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249"/>
    <w:rsid w:val="007F4643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B42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087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BC6"/>
    <w:rsid w:val="008E6A3D"/>
    <w:rsid w:val="008E6D8A"/>
    <w:rsid w:val="008E77A1"/>
    <w:rsid w:val="008E78E9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2EFD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122B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17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7CE"/>
    <w:rsid w:val="0095591B"/>
    <w:rsid w:val="00955B2B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53E"/>
    <w:rsid w:val="00966A50"/>
    <w:rsid w:val="00966CA6"/>
    <w:rsid w:val="00966ED7"/>
    <w:rsid w:val="00967ADB"/>
    <w:rsid w:val="00967C82"/>
    <w:rsid w:val="0097010A"/>
    <w:rsid w:val="009706D4"/>
    <w:rsid w:val="00970B6A"/>
    <w:rsid w:val="00970CC4"/>
    <w:rsid w:val="00970D7B"/>
    <w:rsid w:val="00971879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DFF"/>
    <w:rsid w:val="0098555E"/>
    <w:rsid w:val="009856E1"/>
    <w:rsid w:val="009857FB"/>
    <w:rsid w:val="00986423"/>
    <w:rsid w:val="009866B2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6D"/>
    <w:rsid w:val="00990DDE"/>
    <w:rsid w:val="00991123"/>
    <w:rsid w:val="0099117B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E5D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1E1"/>
    <w:rsid w:val="009C5224"/>
    <w:rsid w:val="009C5419"/>
    <w:rsid w:val="009C5BEB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62F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01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6BD2"/>
    <w:rsid w:val="00AB75FC"/>
    <w:rsid w:val="00AB780B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C7C"/>
    <w:rsid w:val="00B15EDE"/>
    <w:rsid w:val="00B160BA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028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0957"/>
    <w:rsid w:val="00B9168D"/>
    <w:rsid w:val="00B9172A"/>
    <w:rsid w:val="00B91993"/>
    <w:rsid w:val="00B927B5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35F6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B1B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DE1"/>
    <w:rsid w:val="00C46F79"/>
    <w:rsid w:val="00C46FC9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68D"/>
    <w:rsid w:val="00CB5968"/>
    <w:rsid w:val="00CB6AFC"/>
    <w:rsid w:val="00CB77DC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BD0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5416"/>
    <w:rsid w:val="00D05502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24E5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1E"/>
    <w:rsid w:val="00D21CA0"/>
    <w:rsid w:val="00D21CD3"/>
    <w:rsid w:val="00D21E8A"/>
    <w:rsid w:val="00D2221E"/>
    <w:rsid w:val="00D2267C"/>
    <w:rsid w:val="00D22895"/>
    <w:rsid w:val="00D23005"/>
    <w:rsid w:val="00D2333E"/>
    <w:rsid w:val="00D23D0E"/>
    <w:rsid w:val="00D24D9F"/>
    <w:rsid w:val="00D25604"/>
    <w:rsid w:val="00D25B8C"/>
    <w:rsid w:val="00D26FC2"/>
    <w:rsid w:val="00D270B3"/>
    <w:rsid w:val="00D27135"/>
    <w:rsid w:val="00D2725B"/>
    <w:rsid w:val="00D30DF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A3E"/>
    <w:rsid w:val="00D72BC8"/>
    <w:rsid w:val="00D72D57"/>
    <w:rsid w:val="00D7356A"/>
    <w:rsid w:val="00D73B6C"/>
    <w:rsid w:val="00D73C62"/>
    <w:rsid w:val="00D73E90"/>
    <w:rsid w:val="00D74012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5D8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162"/>
    <w:rsid w:val="00DB49DE"/>
    <w:rsid w:val="00DB4BD2"/>
    <w:rsid w:val="00DB4EA5"/>
    <w:rsid w:val="00DB571D"/>
    <w:rsid w:val="00DB59FD"/>
    <w:rsid w:val="00DB5A9B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BD6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B85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6D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1FC9"/>
    <w:rsid w:val="00EB2307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5CD"/>
    <w:rsid w:val="00F658E4"/>
    <w:rsid w:val="00F65936"/>
    <w:rsid w:val="00F65C86"/>
    <w:rsid w:val="00F66384"/>
    <w:rsid w:val="00F663C4"/>
    <w:rsid w:val="00F6666A"/>
    <w:rsid w:val="00F667EF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33D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5:docId w15:val="{7B92EB6D-DED9-45CD-93D9-A336630F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B3272F" w:themeColor="text2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B3272F" w:themeColor="text2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B3272F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B3272F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B3272F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B3272F" w:themeColor="text2"/>
        <w:bottom w:val="single" w:sz="8" w:space="0" w:color="B3272F" w:themeColor="text2"/>
        <w:insideH w:val="single" w:sz="8" w:space="0" w:color="B3272F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B3272F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7E9EA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B3272F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B3272F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B3272F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B3272F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B3272F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B3272F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B3272F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B3272F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B3272F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B3272F" w:themeColor="text2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B3272F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7E9EA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7E9EA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B3272F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B3272F" w:themeColor="text2"/>
        <w:left w:val="single" w:sz="4" w:space="0" w:color="B3272F" w:themeColor="text2"/>
        <w:bottom w:val="single" w:sz="4" w:space="0" w:color="B3272F" w:themeColor="text2"/>
        <w:right w:val="single" w:sz="4" w:space="0" w:color="B3272F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272F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B3272F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C235F6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B3272F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B3272F" w:themeColor="text2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3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3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3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33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29"/>
      </w:numPr>
    </w:pPr>
  </w:style>
  <w:style w:type="paragraph" w:customStyle="1" w:styleId="SmallHeading">
    <w:name w:val="Small Heading"/>
    <w:basedOn w:val="xDisclaimerHeading"/>
    <w:next w:val="SmallBodyText"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rsid w:val="004C6213"/>
    <w:rPr>
      <w:color w:val="FF0000"/>
      <w:sz w:val="20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B3272F" w:themeColor="text2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B3272F" w:themeColor="text2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table" w:customStyle="1" w:styleId="TableGrid10">
    <w:name w:val="Table Grid1"/>
    <w:basedOn w:val="TableNormal"/>
    <w:next w:val="TableGrid"/>
    <w:uiPriority w:val="59"/>
    <w:rsid w:val="00E11BD6"/>
    <w:pPr>
      <w:spacing w:line="240" w:lineRule="auto"/>
    </w:pPr>
    <w:rPr>
      <w:rFonts w:eastAsia="Calibri" w:cs="Times New Roman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SE\GroupData\Office%20Templates\DELWP%20Templates\DELWP%20Blank%20A4%20Landscape.dotm" TargetMode="External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B3272F"/>
      </a:dk2>
      <a:lt2>
        <a:srgbClr val="F7E9EA"/>
      </a:lt2>
      <a:accent1>
        <a:srgbClr val="00B2A9"/>
      </a:accent1>
      <a:accent2>
        <a:srgbClr val="B3272F"/>
      </a:accent2>
      <a:accent3>
        <a:srgbClr val="201547"/>
      </a:accent3>
      <a:accent4>
        <a:srgbClr val="99E0DD"/>
      </a:accent4>
      <a:accent5>
        <a:srgbClr val="E1A9AC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7E55-E6A0-4CEA-8170-083C8AEF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DELWP Blank A4 Landscape.dotm</Template>
  <TotalTime>87</TotalTime>
  <Pages>9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Yvonne Baker (DELWP)</dc:creator>
  <cp:keywords/>
  <dc:description/>
  <cp:lastModifiedBy>Wendy Bowran (DELWP)</cp:lastModifiedBy>
  <cp:revision>6</cp:revision>
  <cp:lastPrinted>2016-09-08T07:20:00Z</cp:lastPrinted>
  <dcterms:created xsi:type="dcterms:W3CDTF">2017-08-21T01:49:00Z</dcterms:created>
  <dcterms:modified xsi:type="dcterms:W3CDTF">2017-08-25T00:59:00Z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</Properties>
</file>