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CF87E"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25B8C2A8" w14:textId="5176C10A" w:rsidR="0042508F" w:rsidRDefault="006C5112" w:rsidP="005E32D8">
      <w:pPr>
        <w:pStyle w:val="Title"/>
        <w:framePr w:wrap="around" w:x="871" w:y="1456"/>
      </w:pPr>
      <w:r>
        <w:t>Customer Information Bulletin 224</w:t>
      </w:r>
    </w:p>
    <w:p w14:paraId="3C107E53" w14:textId="1F88EB28" w:rsidR="00CD42AE" w:rsidRPr="00CD42AE" w:rsidRDefault="00CD42AE" w:rsidP="005E32D8">
      <w:pPr>
        <w:pStyle w:val="Subtitle"/>
        <w:framePr w:wrap="around" w:x="871" w:y="1456"/>
      </w:pPr>
    </w:p>
    <w:p w14:paraId="4166EB23" w14:textId="63AE4291" w:rsidR="006C5112" w:rsidRPr="00F029D8" w:rsidRDefault="006C5112" w:rsidP="00F029D8">
      <w:pPr>
        <w:pStyle w:val="Heading1"/>
        <w:rPr>
          <w:sz w:val="32"/>
        </w:rPr>
      </w:pPr>
      <w:bookmarkStart w:id="2" w:name="_Toc74307762"/>
      <w:r w:rsidRPr="008B56CA">
        <w:rPr>
          <w:sz w:val="32"/>
        </w:rPr>
        <w:t xml:space="preserve">Christmas and New Year closure </w:t>
      </w:r>
    </w:p>
    <w:p w14:paraId="24577EC0" w14:textId="77777777" w:rsidR="006C5112" w:rsidRPr="00140264" w:rsidRDefault="00000000" w:rsidP="00CC4159">
      <w:pPr>
        <w:rPr>
          <w:rFonts w:cstheme="minorHAnsi"/>
          <w:color w:val="000000" w:themeColor="text1"/>
          <w:szCs w:val="20"/>
        </w:rPr>
      </w:pPr>
      <w:hyperlink r:id="rId16" w:history="1">
        <w:r w:rsidR="006C5112" w:rsidRPr="00140264">
          <w:rPr>
            <w:rFonts w:cstheme="minorHAnsi"/>
            <w:color w:val="000000" w:themeColor="text1"/>
            <w:szCs w:val="20"/>
          </w:rPr>
          <w:t>Secure Electronic Registries Victoria’s</w:t>
        </w:r>
      </w:hyperlink>
      <w:r w:rsidR="006C5112" w:rsidRPr="00140264">
        <w:rPr>
          <w:rFonts w:cstheme="minorHAnsi"/>
          <w:color w:val="000000" w:themeColor="text1"/>
          <w:szCs w:val="20"/>
        </w:rPr>
        <w:t> </w:t>
      </w:r>
      <w:r w:rsidR="006C5112">
        <w:rPr>
          <w:rFonts w:cstheme="minorHAnsi"/>
          <w:color w:val="000000" w:themeColor="text1"/>
          <w:szCs w:val="20"/>
        </w:rPr>
        <w:t xml:space="preserve">(SERV) </w:t>
      </w:r>
      <w:r w:rsidR="006C5112" w:rsidRPr="00140264">
        <w:rPr>
          <w:rFonts w:cstheme="minorHAnsi"/>
          <w:color w:val="000000" w:themeColor="text1"/>
          <w:szCs w:val="20"/>
        </w:rPr>
        <w:t xml:space="preserve">offices close for the end-of-year holiday period from </w:t>
      </w:r>
      <w:r w:rsidR="006C5112">
        <w:rPr>
          <w:rFonts w:cstheme="minorHAnsi"/>
          <w:color w:val="000000" w:themeColor="text1"/>
          <w:szCs w:val="20"/>
        </w:rPr>
        <w:t xml:space="preserve">3.30 </w:t>
      </w:r>
      <w:r w:rsidR="006C5112" w:rsidRPr="00140264">
        <w:rPr>
          <w:rFonts w:cstheme="minorHAnsi"/>
          <w:color w:val="000000" w:themeColor="text1"/>
          <w:szCs w:val="20"/>
        </w:rPr>
        <w:t>pm Friday 22 December 202</w:t>
      </w:r>
      <w:r w:rsidR="006C5112">
        <w:rPr>
          <w:rFonts w:cstheme="minorHAnsi"/>
          <w:color w:val="000000" w:themeColor="text1"/>
          <w:szCs w:val="20"/>
        </w:rPr>
        <w:t>3</w:t>
      </w:r>
      <w:r w:rsidR="006C5112" w:rsidRPr="00140264">
        <w:rPr>
          <w:rFonts w:cstheme="minorHAnsi"/>
          <w:color w:val="000000" w:themeColor="text1"/>
          <w:szCs w:val="20"/>
        </w:rPr>
        <w:t xml:space="preserve"> and reopen at 8.30 am on Tuesday 2 January 2024. Registration, call centre services, and appointment bookings will be unavailable during this period.</w:t>
      </w:r>
      <w:r w:rsidR="006C5112">
        <w:rPr>
          <w:rFonts w:cstheme="minorHAnsi"/>
          <w:color w:val="000000" w:themeColor="text1"/>
          <w:szCs w:val="20"/>
        </w:rPr>
        <w:t xml:space="preserve"> The SPEAR Service Desk will also be closed during this time. </w:t>
      </w:r>
    </w:p>
    <w:p w14:paraId="4BA647D8" w14:textId="77777777" w:rsidR="006C5112" w:rsidRPr="00140264" w:rsidRDefault="006C5112" w:rsidP="00CC4159">
      <w:pPr>
        <w:rPr>
          <w:rFonts w:cstheme="minorHAnsi"/>
          <w:color w:val="000000" w:themeColor="text1"/>
          <w:szCs w:val="20"/>
        </w:rPr>
      </w:pPr>
      <w:r w:rsidRPr="00140264">
        <w:t xml:space="preserve">Customer queries will be responded to from </w:t>
      </w:r>
      <w:r>
        <w:rPr>
          <w:rFonts w:cstheme="minorHAnsi"/>
          <w:color w:val="000000" w:themeColor="text1"/>
          <w:szCs w:val="20"/>
        </w:rPr>
        <w:t>2</w:t>
      </w:r>
      <w:r w:rsidRPr="00140264">
        <w:rPr>
          <w:rFonts w:cstheme="minorHAnsi"/>
          <w:color w:val="000000" w:themeColor="text1"/>
          <w:szCs w:val="20"/>
        </w:rPr>
        <w:t xml:space="preserve"> January 202</w:t>
      </w:r>
      <w:r>
        <w:rPr>
          <w:rFonts w:cstheme="minorHAnsi"/>
          <w:color w:val="000000" w:themeColor="text1"/>
          <w:szCs w:val="20"/>
        </w:rPr>
        <w:t>4</w:t>
      </w:r>
      <w:r w:rsidRPr="00140264">
        <w:rPr>
          <w:rFonts w:cstheme="minorHAnsi"/>
          <w:color w:val="000000" w:themeColor="text1"/>
          <w:szCs w:val="20"/>
        </w:rPr>
        <w:t xml:space="preserve"> onwards.</w:t>
      </w:r>
    </w:p>
    <w:p w14:paraId="76882F76" w14:textId="31A756A5" w:rsidR="00DF637F" w:rsidRDefault="006C5112" w:rsidP="00CC4159">
      <w:pPr>
        <w:rPr>
          <w:rFonts w:cstheme="minorHAnsi"/>
          <w:color w:val="000000" w:themeColor="text1"/>
          <w:szCs w:val="20"/>
        </w:rPr>
      </w:pPr>
      <w:r w:rsidRPr="00140264">
        <w:t>Online services, including electronic lodgment</w:t>
      </w:r>
      <w:r w:rsidRPr="00140264">
        <w:rPr>
          <w:rFonts w:cstheme="minorHAnsi"/>
          <w:color w:val="000000" w:themeColor="text1"/>
          <w:szCs w:val="20"/>
        </w:rPr>
        <w:t xml:space="preserve"> and search, will continue to be available as normal during this period.</w:t>
      </w:r>
    </w:p>
    <w:p w14:paraId="522B695F" w14:textId="77777777" w:rsidR="00CC4159" w:rsidRDefault="00CC4159" w:rsidP="00CC4159"/>
    <w:p w14:paraId="431192BA" w14:textId="56974EE3" w:rsidR="006C5112" w:rsidRPr="00EF1467" w:rsidRDefault="006C5112" w:rsidP="004B77DD">
      <w:pPr>
        <w:pStyle w:val="Heading1"/>
        <w:spacing w:before="80" w:line="288" w:lineRule="auto"/>
        <w:rPr>
          <w:rFonts w:ascii="Arial" w:eastAsia="Arial" w:hAnsi="Arial" w:cs="Arial"/>
          <w:b w:val="0"/>
          <w:sz w:val="40"/>
          <w:szCs w:val="40"/>
        </w:rPr>
      </w:pPr>
      <w:r w:rsidRPr="008B56CA">
        <w:rPr>
          <w:sz w:val="32"/>
        </w:rPr>
        <w:t>Plan lodgment reminder – Council certification</w:t>
      </w:r>
    </w:p>
    <w:p w14:paraId="1436B58D" w14:textId="77777777" w:rsidR="006C5112" w:rsidRPr="00344DB6" w:rsidRDefault="006C5112" w:rsidP="00C2510C">
      <w:pPr>
        <w:spacing w:line="288" w:lineRule="auto"/>
        <w:rPr>
          <w:szCs w:val="20"/>
        </w:rPr>
      </w:pPr>
      <w:r w:rsidRPr="00344DB6">
        <w:rPr>
          <w:szCs w:val="20"/>
        </w:rPr>
        <w:t xml:space="preserve">Land Use Victoria (LUV) requires sufficient time to be able to process plans lodged under the </w:t>
      </w:r>
      <w:r w:rsidRPr="00344DB6">
        <w:rPr>
          <w:i/>
          <w:szCs w:val="20"/>
        </w:rPr>
        <w:t>Subdivision Act 1988</w:t>
      </w:r>
      <w:r w:rsidRPr="00344DB6">
        <w:rPr>
          <w:szCs w:val="20"/>
        </w:rPr>
        <w:t xml:space="preserve">. A plan cannot be registered if the certification of that plan has expired at the time of registration. </w:t>
      </w:r>
    </w:p>
    <w:p w14:paraId="11DF9CBF" w14:textId="77777777" w:rsidR="006C5112" w:rsidRPr="00344DB6" w:rsidRDefault="006C5112" w:rsidP="00C2510C">
      <w:pPr>
        <w:spacing w:line="288" w:lineRule="auto"/>
        <w:rPr>
          <w:szCs w:val="20"/>
        </w:rPr>
      </w:pPr>
      <w:r w:rsidRPr="00344DB6">
        <w:rPr>
          <w:szCs w:val="20"/>
        </w:rPr>
        <w:t>Customers should therefore allow at least fifteen business days for a plan to be processed after lodgment or risk the plan’s certification expiring while in the queue and lodgment fees being forfeited. Plans will not be expedited on the basis of the certification expiration date.</w:t>
      </w:r>
    </w:p>
    <w:p w14:paraId="5F657A4C" w14:textId="77777777" w:rsidR="00F01F8E" w:rsidRPr="00344DB6" w:rsidRDefault="006C5112" w:rsidP="00C2510C">
      <w:pPr>
        <w:spacing w:line="288" w:lineRule="auto"/>
        <w:rPr>
          <w:szCs w:val="20"/>
        </w:rPr>
      </w:pPr>
      <w:r w:rsidRPr="00344DB6">
        <w:rPr>
          <w:szCs w:val="20"/>
        </w:rPr>
        <w:t xml:space="preserve">Please note that submitting a plan through </w:t>
      </w:r>
      <w:bookmarkStart w:id="3" w:name="_Hlk149839307"/>
      <w:r w:rsidRPr="00344DB6">
        <w:rPr>
          <w:szCs w:val="20"/>
        </w:rPr>
        <w:t>the Record – Notice Transfer of Land Act - Section 104 residual document (Generic Residual Document)</w:t>
      </w:r>
      <w:r w:rsidRPr="00344DB6" w:rsidDel="00227D10">
        <w:rPr>
          <w:szCs w:val="20"/>
        </w:rPr>
        <w:t xml:space="preserve"> </w:t>
      </w:r>
      <w:bookmarkEnd w:id="3"/>
      <w:r w:rsidRPr="00344DB6">
        <w:rPr>
          <w:szCs w:val="20"/>
        </w:rPr>
        <w:t xml:space="preserve">through PEXA does not mean that the plan has been lodged. See the guide on </w:t>
      </w:r>
      <w:hyperlink r:id="rId17" w:history="1">
        <w:r w:rsidRPr="00344DB6">
          <w:rPr>
            <w:rStyle w:val="Hyperlink"/>
            <w:color w:val="auto"/>
            <w:szCs w:val="20"/>
          </w:rPr>
          <w:t>electronic submission of paper instruments</w:t>
        </w:r>
      </w:hyperlink>
      <w:r w:rsidRPr="00344DB6">
        <w:rPr>
          <w:szCs w:val="20"/>
        </w:rPr>
        <w:t xml:space="preserve"> for more information. Please </w:t>
      </w:r>
      <w:hyperlink r:id="rId18">
        <w:r w:rsidRPr="00344DB6">
          <w:rPr>
            <w:rStyle w:val="Hyperlink"/>
            <w:color w:val="auto"/>
            <w:szCs w:val="20"/>
          </w:rPr>
          <w:t>contact this office</w:t>
        </w:r>
      </w:hyperlink>
      <w:r w:rsidRPr="00344DB6">
        <w:rPr>
          <w:szCs w:val="20"/>
        </w:rPr>
        <w:t xml:space="preserve"> if you have submitted a plan that is approaching fifteen days to expiry while in the Generic Residual Document</w:t>
      </w:r>
      <w:r w:rsidRPr="00344DB6" w:rsidDel="00227D10">
        <w:rPr>
          <w:szCs w:val="20"/>
        </w:rPr>
        <w:t xml:space="preserve"> </w:t>
      </w:r>
      <w:r w:rsidRPr="00344DB6">
        <w:rPr>
          <w:szCs w:val="20"/>
        </w:rPr>
        <w:t>queue.</w:t>
      </w:r>
      <w:r w:rsidR="007047A8" w:rsidRPr="00344DB6">
        <w:rPr>
          <w:szCs w:val="20"/>
        </w:rPr>
        <w:t xml:space="preserve"> </w:t>
      </w:r>
    </w:p>
    <w:p w14:paraId="44C4DF7F" w14:textId="77777777" w:rsidR="00E908C9" w:rsidRDefault="00E908C9" w:rsidP="009E6F2F">
      <w:pPr>
        <w:spacing w:line="288" w:lineRule="auto"/>
        <w:rPr>
          <w:szCs w:val="20"/>
        </w:rPr>
      </w:pPr>
    </w:p>
    <w:p w14:paraId="2F83870A" w14:textId="77777777" w:rsidR="00E908C9" w:rsidRPr="00135514" w:rsidRDefault="00E908C9" w:rsidP="00E908C9">
      <w:pPr>
        <w:pStyle w:val="Heading1"/>
        <w:rPr>
          <w:rFonts w:ascii="Arial" w:eastAsia="Arial" w:hAnsi="Arial" w:cs="Arial"/>
          <w:b w:val="0"/>
          <w:sz w:val="40"/>
          <w:szCs w:val="40"/>
        </w:rPr>
      </w:pPr>
      <w:r w:rsidRPr="008B56CA">
        <w:rPr>
          <w:sz w:val="32"/>
        </w:rPr>
        <w:t xml:space="preserve">Ceasing the practice </w:t>
      </w:r>
      <w:r w:rsidRPr="000116C1">
        <w:rPr>
          <w:sz w:val="32"/>
        </w:rPr>
        <w:t>of issuing</w:t>
      </w:r>
      <w:r w:rsidRPr="008B56CA">
        <w:rPr>
          <w:sz w:val="32"/>
        </w:rPr>
        <w:t xml:space="preserve"> a </w:t>
      </w:r>
      <w:r w:rsidRPr="000116C1">
        <w:rPr>
          <w:sz w:val="32"/>
        </w:rPr>
        <w:t>Final Notice</w:t>
      </w:r>
    </w:p>
    <w:p w14:paraId="1143DF47" w14:textId="77777777" w:rsidR="004346EB" w:rsidRDefault="00344DB6" w:rsidP="00C20543">
      <w:pPr>
        <w:spacing w:line="288" w:lineRule="auto"/>
      </w:pPr>
      <w:r w:rsidRPr="00344DB6">
        <w:t xml:space="preserve">LUV currently issues Stop Notices (known as requisitions) to lodging parties when an instrument lodged for registration or recording does not meet requirements in some way.  The Stop Notices identify the issue(s) affecting the instruments(s) and provide an opportunity to lodging parties to resolve the issue(s) within thirty days or withdraw the instrument.  After the expiry of thirty days, historically a Final Notice is issued to lodging parties providing a further thirty days to resolve the issue(s).  </w:t>
      </w:r>
    </w:p>
    <w:p w14:paraId="145FC281" w14:textId="5E7D8AD4" w:rsidR="006C5112" w:rsidRDefault="00344DB6" w:rsidP="00C20543">
      <w:pPr>
        <w:spacing w:line="288" w:lineRule="auto"/>
      </w:pPr>
      <w:r w:rsidRPr="00344DB6">
        <w:t>The process was established at a time when notices were sent by post and there was a risk that post be delayed or be lost. As LUV has transitioned to emailing Stop Notices to the email addresses provided by the lodging parties, the current practice is now obsolete and causes unnecessary delays in the processing of the instrument and any follower instrument.</w:t>
      </w:r>
    </w:p>
    <w:p w14:paraId="096CBF12" w14:textId="77777777" w:rsidR="00EA571F" w:rsidRPr="00EA571F" w:rsidRDefault="00EA571F" w:rsidP="00EA571F">
      <w:pPr>
        <w:spacing w:before="100" w:beforeAutospacing="1" w:after="100" w:afterAutospacing="1"/>
        <w:rPr>
          <w:rFonts w:eastAsia="Times New Roman" w:cstheme="minorHAnsi"/>
          <w:szCs w:val="20"/>
          <w:lang w:eastAsia="en-AU"/>
        </w:rPr>
      </w:pPr>
      <w:r w:rsidRPr="00EA571F">
        <w:rPr>
          <w:rFonts w:eastAsia="Times New Roman" w:cstheme="minorHAnsi"/>
          <w:szCs w:val="20"/>
          <w:lang w:eastAsia="en-AU"/>
        </w:rPr>
        <w:t>LUV will cease the practice of issuing a Final Notice from 1 March 2024. From this date, the Stop Notice will serve as the sole form of notice in the requisition process.</w:t>
      </w:r>
    </w:p>
    <w:p w14:paraId="5A3B2C04" w14:textId="77777777" w:rsidR="00740DB2" w:rsidRDefault="00740DB2" w:rsidP="006C5112"/>
    <w:p w14:paraId="4B0C95C3" w14:textId="77777777" w:rsidR="00740DB2" w:rsidRPr="006C5112" w:rsidRDefault="00740DB2" w:rsidP="006C5112"/>
    <w:p w14:paraId="48AE2F4F" w14:textId="02E5C5AE" w:rsidR="006C5112" w:rsidRDefault="006C5112" w:rsidP="00066115">
      <w:pPr>
        <w:pStyle w:val="Heading1"/>
        <w:rPr>
          <w:rFonts w:ascii="Calibri" w:eastAsia="Calibri" w:hAnsi="Calibri" w:cs="Calibri"/>
          <w:b w:val="0"/>
          <w:sz w:val="22"/>
          <w:szCs w:val="22"/>
        </w:rPr>
      </w:pPr>
      <w:r w:rsidRPr="00066115">
        <w:rPr>
          <w:sz w:val="32"/>
        </w:rPr>
        <w:lastRenderedPageBreak/>
        <w:t xml:space="preserve">Authority to act on behalf of another licensed surveyor </w:t>
      </w:r>
    </w:p>
    <w:p w14:paraId="5D59C3C3" w14:textId="77777777" w:rsidR="006C5112" w:rsidRPr="00140264" w:rsidRDefault="006C5112" w:rsidP="00C20543">
      <w:pPr>
        <w:spacing w:line="288" w:lineRule="auto"/>
        <w:rPr>
          <w:szCs w:val="20"/>
        </w:rPr>
      </w:pPr>
      <w:r w:rsidRPr="00140264">
        <w:rPr>
          <w:szCs w:val="20"/>
        </w:rPr>
        <w:t>In cases whe</w:t>
      </w:r>
      <w:r>
        <w:rPr>
          <w:szCs w:val="20"/>
        </w:rPr>
        <w:t>n</w:t>
      </w:r>
      <w:r w:rsidRPr="00140264">
        <w:rPr>
          <w:szCs w:val="20"/>
        </w:rPr>
        <w:t xml:space="preserve"> a licensed surveyor is unable to make amendments to plan or survey documents in response to </w:t>
      </w:r>
      <w:r>
        <w:rPr>
          <w:szCs w:val="20"/>
        </w:rPr>
        <w:t>LUV</w:t>
      </w:r>
      <w:r w:rsidRPr="00140264">
        <w:rPr>
          <w:szCs w:val="20"/>
        </w:rPr>
        <w:t xml:space="preserve"> requisitions, </w:t>
      </w:r>
      <w:r>
        <w:rPr>
          <w:szCs w:val="20"/>
        </w:rPr>
        <w:t>under</w:t>
      </w:r>
      <w:r w:rsidRPr="00140264">
        <w:rPr>
          <w:szCs w:val="20"/>
        </w:rPr>
        <w:t xml:space="preserve"> Regulation 17 of the </w:t>
      </w:r>
      <w:r w:rsidRPr="001E7C67">
        <w:rPr>
          <w:i/>
          <w:szCs w:val="20"/>
        </w:rPr>
        <w:t>Surveying (Cadastral Surveys) Regulations 2015</w:t>
      </w:r>
      <w:r>
        <w:rPr>
          <w:szCs w:val="20"/>
        </w:rPr>
        <w:t xml:space="preserve"> they may</w:t>
      </w:r>
      <w:r w:rsidRPr="00140264">
        <w:rPr>
          <w:szCs w:val="20"/>
        </w:rPr>
        <w:t xml:space="preserve"> authorise another licensed surveyor to amend abstracts of field records, surveyor's reports, or plans on their behalf.</w:t>
      </w:r>
    </w:p>
    <w:p w14:paraId="303E9936" w14:textId="6729409B" w:rsidR="00CC2E3A" w:rsidRDefault="006C5112" w:rsidP="00A204BF">
      <w:pPr>
        <w:spacing w:line="288" w:lineRule="auto"/>
        <w:rPr>
          <w:szCs w:val="20"/>
        </w:rPr>
      </w:pPr>
      <w:r w:rsidRPr="00140264">
        <w:rPr>
          <w:szCs w:val="20"/>
        </w:rPr>
        <w:t xml:space="preserve"> </w:t>
      </w:r>
      <w:r>
        <w:rPr>
          <w:szCs w:val="20"/>
        </w:rPr>
        <w:t>LUV</w:t>
      </w:r>
      <w:r w:rsidRPr="00140264">
        <w:rPr>
          <w:szCs w:val="20"/>
        </w:rPr>
        <w:t xml:space="preserve"> has recently updated its requirements in this regard. Effective immediately, </w:t>
      </w:r>
      <w:r>
        <w:rPr>
          <w:szCs w:val="20"/>
        </w:rPr>
        <w:t>LUV</w:t>
      </w:r>
      <w:r w:rsidRPr="00140264">
        <w:rPr>
          <w:szCs w:val="20"/>
        </w:rPr>
        <w:t xml:space="preserve"> no longer requires </w:t>
      </w:r>
      <w:r>
        <w:rPr>
          <w:szCs w:val="20"/>
        </w:rPr>
        <w:t xml:space="preserve">the </w:t>
      </w:r>
      <w:r w:rsidRPr="00140264">
        <w:rPr>
          <w:szCs w:val="20"/>
        </w:rPr>
        <w:t xml:space="preserve">citing </w:t>
      </w:r>
      <w:r>
        <w:rPr>
          <w:szCs w:val="20"/>
        </w:rPr>
        <w:t xml:space="preserve">of </w:t>
      </w:r>
      <w:r w:rsidRPr="00140264">
        <w:rPr>
          <w:szCs w:val="20"/>
        </w:rPr>
        <w:t xml:space="preserve">the written authorisation when a licensed surveyor </w:t>
      </w:r>
      <w:r>
        <w:rPr>
          <w:szCs w:val="20"/>
        </w:rPr>
        <w:t>authorises</w:t>
      </w:r>
      <w:r w:rsidRPr="00140264">
        <w:rPr>
          <w:szCs w:val="20"/>
        </w:rPr>
        <w:t xml:space="preserve"> the task of amending plan or survey documents to another licensed surveyor. Licensed surveyors </w:t>
      </w:r>
      <w:r>
        <w:rPr>
          <w:szCs w:val="20"/>
        </w:rPr>
        <w:t>must</w:t>
      </w:r>
      <w:r w:rsidRPr="00140264">
        <w:rPr>
          <w:szCs w:val="20"/>
        </w:rPr>
        <w:t xml:space="preserve"> maintain their own records of </w:t>
      </w:r>
      <w:r>
        <w:rPr>
          <w:szCs w:val="20"/>
        </w:rPr>
        <w:t xml:space="preserve">any </w:t>
      </w:r>
      <w:r w:rsidRPr="00140264">
        <w:rPr>
          <w:szCs w:val="20"/>
        </w:rPr>
        <w:t>written authorisations.</w:t>
      </w:r>
    </w:p>
    <w:p w14:paraId="0894C747" w14:textId="77777777" w:rsidR="00CC4159" w:rsidRDefault="00CC4159" w:rsidP="00A204BF">
      <w:pPr>
        <w:spacing w:line="288" w:lineRule="auto"/>
        <w:rPr>
          <w:szCs w:val="20"/>
        </w:rPr>
      </w:pPr>
    </w:p>
    <w:p w14:paraId="2E6BFE78" w14:textId="77777777" w:rsidR="006C5112" w:rsidRDefault="006C5112" w:rsidP="00066115">
      <w:pPr>
        <w:pStyle w:val="Heading1"/>
        <w:rPr>
          <w:rFonts w:ascii="Arial" w:eastAsia="Calibri" w:hAnsi="Arial" w:cs="Arial"/>
          <w:b w:val="0"/>
          <w:color w:val="CC0000"/>
          <w:sz w:val="40"/>
          <w:szCs w:val="40"/>
        </w:rPr>
      </w:pPr>
      <w:r w:rsidRPr="00066115">
        <w:rPr>
          <w:sz w:val="32"/>
        </w:rPr>
        <w:t>Severance of joint tenancies</w:t>
      </w:r>
    </w:p>
    <w:p w14:paraId="000E1CA3" w14:textId="77777777" w:rsidR="006C5112" w:rsidRPr="00D83704" w:rsidRDefault="006C5112" w:rsidP="00CC4159">
      <w:r w:rsidRPr="00D83704">
        <w:t>A joint tenancy may be severed by the unilateral action of a single joint tenant without the consent or co-operation of the other joint tenants</w:t>
      </w:r>
      <w:r>
        <w:t xml:space="preserve"> using a unilateral transfer</w:t>
      </w:r>
      <w:r w:rsidRPr="00D83704">
        <w:t>.</w:t>
      </w:r>
    </w:p>
    <w:p w14:paraId="386D40ED" w14:textId="77777777" w:rsidR="006C5112" w:rsidRPr="00D83704" w:rsidRDefault="006C5112" w:rsidP="00CC4159">
      <w:r w:rsidRPr="6379A5E7">
        <w:t>Any such joint proprietor may only transfer</w:t>
      </w:r>
      <w:r>
        <w:t xml:space="preserve"> their</w:t>
      </w:r>
      <w:r w:rsidRPr="6379A5E7" w:rsidDel="00DA4ED1">
        <w:t xml:space="preserve"> </w:t>
      </w:r>
      <w:r>
        <w:t xml:space="preserve">notional </w:t>
      </w:r>
      <w:r w:rsidRPr="6379A5E7">
        <w:t>interest</w:t>
      </w:r>
      <w:r>
        <w:t xml:space="preserve">, </w:t>
      </w:r>
      <w:r w:rsidRPr="6379A5E7">
        <w:t>an interest proportional to that held</w:t>
      </w:r>
      <w:r>
        <w:t>.  For example, one of two joint proprietors may only transfer a half share and</w:t>
      </w:r>
      <w:r w:rsidRPr="6379A5E7" w:rsidDel="00D47546">
        <w:t xml:space="preserve"> </w:t>
      </w:r>
      <w:r w:rsidRPr="6379A5E7">
        <w:t>one of three joint proprietors may only transfer a third share.</w:t>
      </w:r>
    </w:p>
    <w:p w14:paraId="5260A847" w14:textId="77777777" w:rsidR="006C5112" w:rsidRDefault="006C5112" w:rsidP="00CC4159">
      <w:r>
        <w:t>Currently t</w:t>
      </w:r>
      <w:r w:rsidRPr="5817AEFC">
        <w:t xml:space="preserve">his </w:t>
      </w:r>
      <w:r>
        <w:t xml:space="preserve">type of </w:t>
      </w:r>
      <w:r w:rsidRPr="5817AEFC">
        <w:t xml:space="preserve">transfer cannot be lodged electronically </w:t>
      </w:r>
      <w:r>
        <w:t>using</w:t>
      </w:r>
      <w:r w:rsidRPr="5817AEFC">
        <w:t xml:space="preserve"> an </w:t>
      </w:r>
      <w:r>
        <w:t>electronic lodgment network (ELN).  Instead, it</w:t>
      </w:r>
      <w:r w:rsidRPr="5817AEFC" w:rsidDel="00D47546">
        <w:t xml:space="preserve"> </w:t>
      </w:r>
      <w:r w:rsidRPr="5817AEFC">
        <w:t xml:space="preserve">must be prepared using a paper </w:t>
      </w:r>
      <w:r>
        <w:t xml:space="preserve">transfer </w:t>
      </w:r>
      <w:r w:rsidRPr="5817AEFC">
        <w:t xml:space="preserve">instrument and lodged </w:t>
      </w:r>
      <w:r>
        <w:t>using</w:t>
      </w:r>
      <w:r w:rsidRPr="5817AEFC">
        <w:t xml:space="preserve"> </w:t>
      </w:r>
      <w:r>
        <w:t>the s</w:t>
      </w:r>
      <w:r w:rsidRPr="006C051B">
        <w:t xml:space="preserve">ection 104 </w:t>
      </w:r>
      <w:r w:rsidRPr="5817AEFC">
        <w:t>Generic Residual Document</w:t>
      </w:r>
      <w:r>
        <w:t xml:space="preserve"> through PEXA</w:t>
      </w:r>
      <w:r w:rsidRPr="5817AEFC">
        <w:t>.</w:t>
      </w:r>
    </w:p>
    <w:p w14:paraId="61248DA6" w14:textId="77777777" w:rsidR="006C5112" w:rsidRPr="00D83704" w:rsidRDefault="006C5112" w:rsidP="00CC4159">
      <w:r>
        <w:t>A transfer will only be considered for registration if</w:t>
      </w:r>
      <w:r w:rsidRPr="05F527A4">
        <w:t>:</w:t>
      </w:r>
    </w:p>
    <w:p w14:paraId="525AFBAF" w14:textId="77777777" w:rsidR="006C5112" w:rsidRPr="00D83704" w:rsidRDefault="006C5112" w:rsidP="006C5112">
      <w:pPr>
        <w:pStyle w:val="BodyText"/>
        <w:numPr>
          <w:ilvl w:val="0"/>
          <w:numId w:val="37"/>
        </w:numPr>
        <w:spacing w:before="100" w:beforeAutospacing="1" w:after="100" w:afterAutospacing="1" w:line="288" w:lineRule="auto"/>
        <w:ind w:left="714" w:hanging="357"/>
        <w:rPr>
          <w:sz w:val="20"/>
        </w:rPr>
      </w:pPr>
      <w:r>
        <w:rPr>
          <w:sz w:val="20"/>
        </w:rPr>
        <w:t>t</w:t>
      </w:r>
      <w:r w:rsidRPr="4C5D783E">
        <w:rPr>
          <w:sz w:val="20"/>
        </w:rPr>
        <w:t xml:space="preserve">he interest share being transferred </w:t>
      </w:r>
      <w:r>
        <w:rPr>
          <w:sz w:val="20"/>
        </w:rPr>
        <w:t>is</w:t>
      </w:r>
      <w:r w:rsidRPr="4C5D783E">
        <w:rPr>
          <w:sz w:val="20"/>
        </w:rPr>
        <w:t xml:space="preserve"> in direct proportion to the number of registered proprietors</w:t>
      </w:r>
      <w:r>
        <w:rPr>
          <w:sz w:val="20"/>
        </w:rPr>
        <w:t>,</w:t>
      </w:r>
    </w:p>
    <w:p w14:paraId="07765560" w14:textId="77777777" w:rsidR="006C5112" w:rsidRPr="00D83704" w:rsidRDefault="006C5112" w:rsidP="006C5112">
      <w:pPr>
        <w:pStyle w:val="BodyText"/>
        <w:numPr>
          <w:ilvl w:val="0"/>
          <w:numId w:val="37"/>
        </w:numPr>
        <w:spacing w:before="100" w:beforeAutospacing="1" w:after="100" w:afterAutospacing="1" w:line="288" w:lineRule="auto"/>
        <w:ind w:left="714" w:hanging="357"/>
        <w:rPr>
          <w:sz w:val="20"/>
        </w:rPr>
      </w:pPr>
      <w:r>
        <w:rPr>
          <w:sz w:val="20"/>
        </w:rPr>
        <w:t>t</w:t>
      </w:r>
      <w:r w:rsidRPr="5CB0A66C">
        <w:rPr>
          <w:sz w:val="20"/>
        </w:rPr>
        <w:t xml:space="preserve">he share portion </w:t>
      </w:r>
      <w:r>
        <w:rPr>
          <w:sz w:val="20"/>
        </w:rPr>
        <w:t>is</w:t>
      </w:r>
      <w:r w:rsidRPr="5CB0A66C">
        <w:rPr>
          <w:sz w:val="20"/>
        </w:rPr>
        <w:t xml:space="preserve"> set out in the Land panel by selecting Part of the Land and entering the share portion in the Description box</w:t>
      </w:r>
      <w:r>
        <w:rPr>
          <w:sz w:val="20"/>
        </w:rPr>
        <w:t>,</w:t>
      </w:r>
    </w:p>
    <w:p w14:paraId="61B5ED75" w14:textId="77777777" w:rsidR="006C5112" w:rsidRPr="00D83704" w:rsidRDefault="006C5112" w:rsidP="006C5112">
      <w:pPr>
        <w:pStyle w:val="BodyText"/>
        <w:numPr>
          <w:ilvl w:val="0"/>
          <w:numId w:val="37"/>
        </w:numPr>
        <w:spacing w:before="100" w:beforeAutospacing="1" w:after="100" w:afterAutospacing="1" w:line="288" w:lineRule="auto"/>
        <w:ind w:left="714" w:hanging="357"/>
        <w:rPr>
          <w:sz w:val="20"/>
        </w:rPr>
      </w:pPr>
      <w:r>
        <w:rPr>
          <w:sz w:val="20"/>
        </w:rPr>
        <w:t>the consideration is non-monetary,</w:t>
      </w:r>
    </w:p>
    <w:p w14:paraId="1B639A71" w14:textId="77777777" w:rsidR="006C5112" w:rsidRPr="00D83704" w:rsidRDefault="006C5112" w:rsidP="006C5112">
      <w:pPr>
        <w:pStyle w:val="BodyText"/>
        <w:numPr>
          <w:ilvl w:val="0"/>
          <w:numId w:val="37"/>
        </w:numPr>
        <w:spacing w:before="100" w:beforeAutospacing="1" w:after="100" w:afterAutospacing="1" w:line="288" w:lineRule="auto"/>
        <w:ind w:left="714" w:hanging="357"/>
        <w:rPr>
          <w:sz w:val="20"/>
        </w:rPr>
      </w:pPr>
      <w:r>
        <w:rPr>
          <w:sz w:val="20"/>
        </w:rPr>
        <w:t>a legal personal representative is not an affected registered proprietor, and</w:t>
      </w:r>
    </w:p>
    <w:p w14:paraId="57289AF8" w14:textId="77777777" w:rsidR="006C5112" w:rsidRPr="00D83704" w:rsidRDefault="006C5112" w:rsidP="006C5112">
      <w:pPr>
        <w:pStyle w:val="BodyText"/>
        <w:numPr>
          <w:ilvl w:val="0"/>
          <w:numId w:val="37"/>
        </w:numPr>
        <w:spacing w:before="100" w:beforeAutospacing="1" w:after="100" w:afterAutospacing="1" w:line="288" w:lineRule="auto"/>
        <w:ind w:left="714" w:hanging="357"/>
        <w:rPr>
          <w:sz w:val="20"/>
        </w:rPr>
      </w:pPr>
      <w:r>
        <w:rPr>
          <w:sz w:val="20"/>
        </w:rPr>
        <w:t>t</w:t>
      </w:r>
      <w:r w:rsidRPr="295F0447">
        <w:rPr>
          <w:sz w:val="20"/>
        </w:rPr>
        <w:t xml:space="preserve">he </w:t>
      </w:r>
      <w:r>
        <w:rPr>
          <w:sz w:val="20"/>
        </w:rPr>
        <w:t>Certificate of Title</w:t>
      </w:r>
      <w:r w:rsidRPr="295F0447">
        <w:rPr>
          <w:sz w:val="20"/>
        </w:rPr>
        <w:t xml:space="preserve"> </w:t>
      </w:r>
      <w:r>
        <w:rPr>
          <w:sz w:val="20"/>
        </w:rPr>
        <w:t>is</w:t>
      </w:r>
      <w:r w:rsidRPr="295F0447">
        <w:rPr>
          <w:sz w:val="20"/>
        </w:rPr>
        <w:t xml:space="preserve"> produced/nominated.</w:t>
      </w:r>
    </w:p>
    <w:p w14:paraId="4BCE0598" w14:textId="77777777" w:rsidR="006C5112" w:rsidRPr="00D83704" w:rsidRDefault="006C5112" w:rsidP="00CC4159">
      <w:r w:rsidRPr="00D83704">
        <w:t xml:space="preserve">The transfer </w:t>
      </w:r>
      <w:r>
        <w:t>does not need to</w:t>
      </w:r>
      <w:r w:rsidRPr="00D83704">
        <w:t xml:space="preserve"> be assessed for payment of duty by the State Revenue Office.</w:t>
      </w:r>
    </w:p>
    <w:p w14:paraId="39B96878" w14:textId="77777777" w:rsidR="006C5112" w:rsidRDefault="006C5112" w:rsidP="00CC4159">
      <w:r w:rsidRPr="4C5D783E">
        <w:t xml:space="preserve">On registration, new </w:t>
      </w:r>
      <w:r>
        <w:t>folios of the Register</w:t>
      </w:r>
      <w:r w:rsidRPr="4C5D783E">
        <w:t xml:space="preserve"> will be created for the interest being transferred and for the remaining interest</w:t>
      </w:r>
      <w:r>
        <w:t>(s)</w:t>
      </w:r>
      <w:r w:rsidRPr="4C5D783E">
        <w:t>.</w:t>
      </w:r>
    </w:p>
    <w:p w14:paraId="49044E01" w14:textId="0DC39932" w:rsidR="006C5112" w:rsidRDefault="006C5112">
      <w:pPr>
        <w:spacing w:before="0" w:after="160" w:line="259" w:lineRule="auto"/>
        <w:rPr>
          <w:rFonts w:asciiTheme="majorHAnsi" w:eastAsiaTheme="majorEastAsia" w:hAnsiTheme="majorHAnsi" w:cstheme="majorBidi"/>
          <w:b/>
          <w:sz w:val="24"/>
          <w:szCs w:val="26"/>
        </w:rPr>
      </w:pPr>
      <w:r>
        <w:br w:type="page"/>
      </w:r>
    </w:p>
    <w:p w14:paraId="4F910482" w14:textId="77777777" w:rsidR="006C5112" w:rsidRPr="00900A36" w:rsidRDefault="006C5112" w:rsidP="00066115">
      <w:pPr>
        <w:pStyle w:val="Heading1"/>
        <w:rPr>
          <w:rFonts w:eastAsia="Arial" w:cs="Arial"/>
          <w:sz w:val="32"/>
          <w:szCs w:val="40"/>
        </w:rPr>
      </w:pPr>
      <w:r w:rsidRPr="00066115">
        <w:rPr>
          <w:sz w:val="32"/>
        </w:rPr>
        <w:lastRenderedPageBreak/>
        <w:t>Leases of flats,</w:t>
      </w:r>
      <w:r w:rsidRPr="00900A36">
        <w:rPr>
          <w:rFonts w:eastAsia="Arial" w:cs="Arial"/>
          <w:sz w:val="32"/>
          <w:szCs w:val="40"/>
        </w:rPr>
        <w:t xml:space="preserve"> apartments, caravan parks etc.</w:t>
      </w:r>
    </w:p>
    <w:p w14:paraId="0966BF2E"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There are a number of folios of the Register over which leases are regularly lodged which are affected by multiple dwellings that have not been the subject of a registered plan, for example</w:t>
      </w:r>
      <w:r>
        <w:rPr>
          <w:rFonts w:eastAsia="Calibri"/>
          <w:szCs w:val="20"/>
          <w:lang w:val="en-GB"/>
        </w:rPr>
        <w:t>,</w:t>
      </w:r>
      <w:r w:rsidRPr="00140264">
        <w:rPr>
          <w:rFonts w:eastAsia="Calibri"/>
          <w:szCs w:val="20"/>
          <w:lang w:val="en-GB"/>
        </w:rPr>
        <w:t xml:space="preserve"> leases of units in a retirement village or sites in a caravan park.</w:t>
      </w:r>
    </w:p>
    <w:p w14:paraId="165A5EA8"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These leases do not always describe the land affected in the same way. Some describe the land affected by referencing a flat number, apartment number or site number. These descriptions cannot be aligned to the diagram location related to the folio.</w:t>
      </w:r>
    </w:p>
    <w:p w14:paraId="7FD53FDE"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Past practice has often been to register such leases ‘as to part’ and include an additional entry referring to the description given, for example ‘AS TO SITE: 123’.</w:t>
      </w:r>
    </w:p>
    <w:p w14:paraId="255C66AB"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To create consistency with other part land descriptions and to permit the leases to be dealt with electronically, this practice will cease.</w:t>
      </w:r>
    </w:p>
    <w:p w14:paraId="53E4E695"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In future, when registering any such lease</w:t>
      </w:r>
      <w:r>
        <w:rPr>
          <w:rFonts w:eastAsia="Calibri"/>
          <w:szCs w:val="20"/>
          <w:lang w:val="en-GB"/>
        </w:rPr>
        <w:t>,</w:t>
      </w:r>
      <w:r w:rsidRPr="00140264">
        <w:rPr>
          <w:rFonts w:eastAsia="Calibri"/>
          <w:szCs w:val="20"/>
          <w:lang w:val="en-GB"/>
        </w:rPr>
        <w:t xml:space="preserve"> the lease will not be registered ‘as to part’ and no additional entry of the description will be made.</w:t>
      </w:r>
    </w:p>
    <w:p w14:paraId="2886AFBD" w14:textId="77777777" w:rsidR="006C5112" w:rsidRDefault="006C5112" w:rsidP="00A204BF">
      <w:pPr>
        <w:spacing w:line="288" w:lineRule="auto"/>
        <w:textAlignment w:val="baseline"/>
        <w:rPr>
          <w:rFonts w:eastAsia="Calibri"/>
          <w:szCs w:val="20"/>
          <w:lang w:val="en-GB"/>
        </w:rPr>
      </w:pPr>
      <w:r w:rsidRPr="00140264">
        <w:rPr>
          <w:rFonts w:eastAsia="Calibri"/>
          <w:szCs w:val="20"/>
          <w:lang w:val="en-GB"/>
        </w:rPr>
        <w:t>This change does not apply to a lease that describes the land ‘as to part’ and defines the part affected with a standard part land description (such as a lot on plan or a Crown allotment) or by reference to a fully dimensioned lease plan which forms part of the lease.</w:t>
      </w:r>
    </w:p>
    <w:p w14:paraId="02932985" w14:textId="3B302E56" w:rsidR="00740DB2" w:rsidRPr="00740DB2" w:rsidRDefault="006C5112" w:rsidP="00CC4159">
      <w:pPr>
        <w:spacing w:line="288" w:lineRule="auto"/>
        <w:textAlignment w:val="baseline"/>
        <w:rPr>
          <w:rFonts w:eastAsia="Calibri"/>
          <w:szCs w:val="20"/>
          <w:lang w:val="en-GB"/>
        </w:rPr>
      </w:pPr>
      <w:r w:rsidRPr="00140264">
        <w:rPr>
          <w:rFonts w:eastAsia="Calibri"/>
          <w:szCs w:val="20"/>
          <w:lang w:val="en-GB"/>
        </w:rPr>
        <w:t xml:space="preserve">More information on describing part land in a lease is available in the Guide to Leases available at </w:t>
      </w:r>
      <w:r>
        <w:rPr>
          <w:rFonts w:eastAsia="Calibri"/>
          <w:szCs w:val="20"/>
          <w:lang w:val="en-GB"/>
        </w:rPr>
        <w:t xml:space="preserve"> </w:t>
      </w:r>
      <w:hyperlink r:id="rId19" w:history="1">
        <w:r>
          <w:rPr>
            <w:rStyle w:val="Hyperlink"/>
          </w:rPr>
          <w:t>Fees, guides and forms (land.vic.gov.au)</w:t>
        </w:r>
      </w:hyperlink>
      <w:r w:rsidRPr="00140264">
        <w:rPr>
          <w:rFonts w:eastAsia="Calibri"/>
          <w:szCs w:val="20"/>
          <w:lang w:val="en-GB"/>
        </w:rPr>
        <w:t xml:space="preserve">. </w:t>
      </w:r>
    </w:p>
    <w:p w14:paraId="6104869E" w14:textId="77777777" w:rsidR="00AA59A4" w:rsidRDefault="00AA59A4" w:rsidP="00BE6E6A">
      <w:pPr>
        <w:pStyle w:val="Heading1"/>
        <w:rPr>
          <w:sz w:val="32"/>
        </w:rPr>
      </w:pPr>
    </w:p>
    <w:p w14:paraId="38F6665A" w14:textId="1EACAA0D" w:rsidR="006C5112" w:rsidRPr="00CC4159" w:rsidRDefault="006C5112" w:rsidP="00BE6E6A">
      <w:pPr>
        <w:pStyle w:val="Heading1"/>
        <w:rPr>
          <w:sz w:val="32"/>
        </w:rPr>
      </w:pPr>
      <w:r w:rsidRPr="00BE6E6A">
        <w:rPr>
          <w:sz w:val="32"/>
        </w:rPr>
        <w:t xml:space="preserve">Subscribers reminded to </w:t>
      </w:r>
      <w:r w:rsidRPr="00CC4159">
        <w:rPr>
          <w:sz w:val="32"/>
        </w:rPr>
        <w:t>deal with control of electronic certificates of title (eCTs) before closing their ELN account. </w:t>
      </w:r>
    </w:p>
    <w:p w14:paraId="18E47153" w14:textId="77777777" w:rsidR="006C5112" w:rsidRDefault="006C5112" w:rsidP="00A204BF">
      <w:pPr>
        <w:spacing w:beforeLines="80" w:before="192" w:line="288" w:lineRule="auto"/>
        <w:textAlignment w:val="baseline"/>
        <w:rPr>
          <w:rFonts w:eastAsia="Calibri"/>
          <w:szCs w:val="20"/>
          <w:lang w:val="en-GB"/>
        </w:rPr>
      </w:pPr>
      <w:r w:rsidRPr="00140264">
        <w:rPr>
          <w:rFonts w:eastAsia="Calibri"/>
          <w:szCs w:val="20"/>
          <w:lang w:val="en-GB"/>
        </w:rPr>
        <w:t>Whe</w:t>
      </w:r>
      <w:r>
        <w:rPr>
          <w:rFonts w:eastAsia="Calibri"/>
          <w:szCs w:val="20"/>
          <w:lang w:val="en-GB"/>
        </w:rPr>
        <w:t>n</w:t>
      </w:r>
      <w:r w:rsidRPr="00140264">
        <w:rPr>
          <w:rFonts w:eastAsia="Calibri"/>
          <w:szCs w:val="20"/>
          <w:lang w:val="en-GB"/>
        </w:rPr>
        <w:t xml:space="preserve"> Subscribers </w:t>
      </w:r>
      <w:r>
        <w:rPr>
          <w:rFonts w:eastAsia="Calibri"/>
          <w:szCs w:val="20"/>
          <w:lang w:val="en-GB"/>
        </w:rPr>
        <w:t>are</w:t>
      </w:r>
      <w:r w:rsidRPr="00140264">
        <w:rPr>
          <w:rFonts w:eastAsia="Calibri"/>
          <w:szCs w:val="20"/>
          <w:lang w:val="en-GB"/>
        </w:rPr>
        <w:t xml:space="preserve"> considering retirement or otherwise closing their </w:t>
      </w:r>
      <w:r>
        <w:rPr>
          <w:rFonts w:eastAsia="Calibri"/>
          <w:szCs w:val="20"/>
          <w:lang w:val="en-GB"/>
        </w:rPr>
        <w:t>business,</w:t>
      </w:r>
      <w:r w:rsidRPr="00140264">
        <w:rPr>
          <w:rFonts w:eastAsia="Calibri"/>
          <w:szCs w:val="20"/>
          <w:lang w:val="en-GB"/>
        </w:rPr>
        <w:t xml:space="preserve"> they </w:t>
      </w:r>
      <w:r>
        <w:rPr>
          <w:rFonts w:eastAsia="Calibri"/>
          <w:szCs w:val="20"/>
          <w:lang w:val="en-GB"/>
        </w:rPr>
        <w:t>must</w:t>
      </w:r>
      <w:r w:rsidRPr="00140264">
        <w:rPr>
          <w:rFonts w:eastAsia="Calibri"/>
          <w:szCs w:val="20"/>
          <w:lang w:val="en-GB"/>
        </w:rPr>
        <w:t xml:space="preserve"> first deal with any eCTs still held in their control. </w:t>
      </w:r>
      <w:r>
        <w:rPr>
          <w:rFonts w:eastAsia="Calibri"/>
          <w:szCs w:val="20"/>
          <w:lang w:val="en-GB"/>
        </w:rPr>
        <w:t>Options to consider are:</w:t>
      </w:r>
    </w:p>
    <w:p w14:paraId="3178D432" w14:textId="77777777" w:rsidR="006C5112" w:rsidRDefault="006C5112" w:rsidP="00A204BF">
      <w:pPr>
        <w:pStyle w:val="ListParagraph"/>
        <w:numPr>
          <w:ilvl w:val="0"/>
          <w:numId w:val="38"/>
        </w:numPr>
        <w:spacing w:beforeLines="80" w:before="192" w:line="288" w:lineRule="auto"/>
        <w:textAlignment w:val="baseline"/>
        <w:rPr>
          <w:rFonts w:eastAsia="Calibri"/>
          <w:szCs w:val="20"/>
          <w:lang w:val="en-GB"/>
        </w:rPr>
      </w:pPr>
      <w:r w:rsidRPr="004C5539">
        <w:rPr>
          <w:rFonts w:eastAsia="Calibri"/>
          <w:szCs w:val="20"/>
          <w:lang w:val="en-GB"/>
        </w:rPr>
        <w:t xml:space="preserve">transferring eCT </w:t>
      </w:r>
      <w:r>
        <w:rPr>
          <w:rFonts w:eastAsia="Calibri"/>
          <w:szCs w:val="20"/>
          <w:lang w:val="en-GB"/>
        </w:rPr>
        <w:t>C</w:t>
      </w:r>
      <w:r w:rsidRPr="004C5539">
        <w:rPr>
          <w:rFonts w:eastAsia="Calibri"/>
          <w:szCs w:val="20"/>
          <w:lang w:val="en-GB"/>
        </w:rPr>
        <w:t>ontrol to a</w:t>
      </w:r>
      <w:r>
        <w:rPr>
          <w:rFonts w:eastAsia="Calibri"/>
          <w:szCs w:val="20"/>
          <w:lang w:val="en-GB"/>
        </w:rPr>
        <w:t>nother</w:t>
      </w:r>
      <w:r w:rsidRPr="004C5539" w:rsidDel="001B4BD7">
        <w:rPr>
          <w:rFonts w:eastAsia="Calibri"/>
          <w:szCs w:val="20"/>
          <w:lang w:val="en-GB"/>
        </w:rPr>
        <w:t xml:space="preserve"> </w:t>
      </w:r>
      <w:r w:rsidRPr="004C5539">
        <w:rPr>
          <w:rFonts w:eastAsia="Calibri"/>
          <w:szCs w:val="20"/>
          <w:lang w:val="en-GB"/>
        </w:rPr>
        <w:t>Subscriber</w:t>
      </w:r>
      <w:r>
        <w:rPr>
          <w:rFonts w:eastAsia="Calibri"/>
          <w:szCs w:val="20"/>
          <w:lang w:val="en-GB"/>
        </w:rPr>
        <w:t xml:space="preserve"> if appropriate using the administrative notice ‘Transfer control of an electronic certificate of title’.</w:t>
      </w:r>
    </w:p>
    <w:p w14:paraId="0371447B" w14:textId="77777777" w:rsidR="006C5112" w:rsidRPr="00140264" w:rsidRDefault="006C5112" w:rsidP="00A204BF">
      <w:pPr>
        <w:pStyle w:val="ListParagraph"/>
        <w:numPr>
          <w:ilvl w:val="0"/>
          <w:numId w:val="38"/>
        </w:numPr>
        <w:spacing w:beforeLines="80" w:before="192" w:line="288" w:lineRule="auto"/>
        <w:textAlignment w:val="baseline"/>
        <w:rPr>
          <w:rFonts w:eastAsia="Calibri"/>
          <w:szCs w:val="20"/>
          <w:lang w:val="en-GB"/>
        </w:rPr>
      </w:pPr>
      <w:r w:rsidRPr="00140264">
        <w:rPr>
          <w:rFonts w:eastAsia="Calibri"/>
          <w:szCs w:val="20"/>
          <w:lang w:val="en-GB"/>
        </w:rPr>
        <w:t xml:space="preserve">requesting the Registrar of Titles </w:t>
      </w:r>
      <w:r>
        <w:rPr>
          <w:rFonts w:eastAsia="Calibri"/>
          <w:szCs w:val="20"/>
          <w:lang w:val="en-GB"/>
        </w:rPr>
        <w:t xml:space="preserve">to </w:t>
      </w:r>
      <w:r w:rsidRPr="00140264">
        <w:rPr>
          <w:rFonts w:eastAsia="Calibri"/>
          <w:szCs w:val="20"/>
          <w:lang w:val="en-GB"/>
        </w:rPr>
        <w:t xml:space="preserve">hold </w:t>
      </w:r>
      <w:r>
        <w:rPr>
          <w:rFonts w:eastAsia="Calibri"/>
          <w:szCs w:val="20"/>
          <w:lang w:val="en-GB"/>
        </w:rPr>
        <w:t xml:space="preserve">control of the </w:t>
      </w:r>
      <w:r w:rsidRPr="00140264">
        <w:rPr>
          <w:rFonts w:eastAsia="Calibri"/>
          <w:szCs w:val="20"/>
          <w:lang w:val="en-GB"/>
        </w:rPr>
        <w:t>eCT</w:t>
      </w:r>
      <w:r>
        <w:rPr>
          <w:rFonts w:eastAsia="Calibri"/>
          <w:szCs w:val="20"/>
          <w:lang w:val="en-GB"/>
        </w:rPr>
        <w:t>(s) using administrative notice ‘Request to transfer</w:t>
      </w:r>
      <w:r w:rsidRPr="00140264">
        <w:rPr>
          <w:rFonts w:eastAsia="Calibri"/>
          <w:szCs w:val="20"/>
          <w:lang w:val="en-GB"/>
        </w:rPr>
        <w:t xml:space="preserve"> control</w:t>
      </w:r>
      <w:r>
        <w:rPr>
          <w:rFonts w:eastAsia="Calibri"/>
          <w:szCs w:val="20"/>
          <w:lang w:val="en-GB"/>
        </w:rPr>
        <w:t xml:space="preserve"> of electronic certificate(s) of title to the Registrar’</w:t>
      </w:r>
      <w:r w:rsidRPr="00140264">
        <w:rPr>
          <w:rFonts w:eastAsia="Calibri"/>
          <w:szCs w:val="20"/>
          <w:lang w:val="en-GB"/>
        </w:rPr>
        <w:t xml:space="preserve">. </w:t>
      </w:r>
      <w:r w:rsidRPr="21753E3B">
        <w:rPr>
          <w:rFonts w:eastAsia="Calibri"/>
          <w:szCs w:val="20"/>
          <w:lang w:val="en-GB"/>
        </w:rPr>
        <w:t xml:space="preserve">To read more about this new feature please refer to </w:t>
      </w:r>
      <w:hyperlink r:id="rId20">
        <w:r w:rsidRPr="21753E3B">
          <w:rPr>
            <w:rStyle w:val="Hyperlink"/>
            <w:rFonts w:eastAsia="Calibri"/>
            <w:szCs w:val="20"/>
            <w:lang w:val="en-GB"/>
          </w:rPr>
          <w:t>Customer Information Bulletin 223</w:t>
        </w:r>
      </w:hyperlink>
      <w:r w:rsidRPr="21753E3B">
        <w:rPr>
          <w:rFonts w:eastAsia="Calibri"/>
          <w:szCs w:val="20"/>
          <w:lang w:val="en-GB"/>
        </w:rPr>
        <w:t>. </w:t>
      </w:r>
    </w:p>
    <w:p w14:paraId="2223A4FE" w14:textId="77777777" w:rsidR="006C5112" w:rsidRDefault="006C5112" w:rsidP="00A204BF">
      <w:pPr>
        <w:spacing w:beforeLines="80" w:before="192" w:line="288" w:lineRule="auto"/>
        <w:textAlignment w:val="baseline"/>
        <w:rPr>
          <w:rFonts w:eastAsia="Calibri"/>
          <w:szCs w:val="20"/>
          <w:lang w:val="en-GB"/>
        </w:rPr>
      </w:pPr>
      <w:r w:rsidRPr="00140264">
        <w:rPr>
          <w:rFonts w:eastAsia="Calibri"/>
          <w:szCs w:val="20"/>
          <w:lang w:val="en-GB"/>
        </w:rPr>
        <w:t xml:space="preserve">If </w:t>
      </w:r>
      <w:r>
        <w:rPr>
          <w:rFonts w:eastAsia="Calibri"/>
          <w:szCs w:val="20"/>
          <w:lang w:val="en-GB"/>
        </w:rPr>
        <w:t xml:space="preserve">an ELN </w:t>
      </w:r>
      <w:r w:rsidRPr="00140264">
        <w:rPr>
          <w:rFonts w:eastAsia="Calibri"/>
          <w:szCs w:val="20"/>
          <w:lang w:val="en-GB"/>
        </w:rPr>
        <w:t xml:space="preserve">account </w:t>
      </w:r>
      <w:r>
        <w:rPr>
          <w:rFonts w:eastAsia="Calibri"/>
          <w:szCs w:val="20"/>
          <w:lang w:val="en-GB"/>
        </w:rPr>
        <w:t xml:space="preserve">is </w:t>
      </w:r>
      <w:r w:rsidRPr="00140264">
        <w:rPr>
          <w:rFonts w:eastAsia="Calibri"/>
          <w:szCs w:val="20"/>
          <w:lang w:val="en-GB"/>
        </w:rPr>
        <w:t>clos</w:t>
      </w:r>
      <w:r>
        <w:rPr>
          <w:rFonts w:eastAsia="Calibri"/>
          <w:szCs w:val="20"/>
          <w:lang w:val="en-GB"/>
        </w:rPr>
        <w:t>ed</w:t>
      </w:r>
      <w:r w:rsidRPr="00140264">
        <w:rPr>
          <w:rFonts w:eastAsia="Calibri"/>
          <w:szCs w:val="20"/>
          <w:lang w:val="en-GB"/>
        </w:rPr>
        <w:t xml:space="preserve"> before </w:t>
      </w:r>
      <w:r>
        <w:rPr>
          <w:rFonts w:eastAsia="Calibri"/>
          <w:szCs w:val="20"/>
          <w:lang w:val="en-GB"/>
        </w:rPr>
        <w:t>any eCTs are dealt with</w:t>
      </w:r>
      <w:r w:rsidRPr="00140264">
        <w:rPr>
          <w:rFonts w:eastAsia="Calibri"/>
          <w:szCs w:val="20"/>
          <w:lang w:val="en-GB"/>
        </w:rPr>
        <w:t xml:space="preserve">, the </w:t>
      </w:r>
      <w:r>
        <w:rPr>
          <w:rFonts w:eastAsia="Calibri"/>
          <w:szCs w:val="20"/>
          <w:lang w:val="en-GB"/>
        </w:rPr>
        <w:t xml:space="preserve">deactivated </w:t>
      </w:r>
      <w:r w:rsidRPr="00140264">
        <w:rPr>
          <w:rFonts w:eastAsia="Calibri"/>
          <w:szCs w:val="20"/>
          <w:lang w:val="en-GB"/>
        </w:rPr>
        <w:t>Subscriber will lose the ability to transfer control or otherwise deal with those folios as it is not possible to re-open the closed account. </w:t>
      </w:r>
    </w:p>
    <w:p w14:paraId="6DBAF92F" w14:textId="2663E846" w:rsidR="006C5112" w:rsidRPr="00CC4159" w:rsidRDefault="006C5112" w:rsidP="00CC4159">
      <w:pPr>
        <w:spacing w:beforeLines="80" w:before="192" w:line="288" w:lineRule="auto"/>
        <w:textAlignment w:val="baseline"/>
        <w:rPr>
          <w:rFonts w:eastAsia="Calibri"/>
          <w:szCs w:val="20"/>
          <w:lang w:val="en-GB"/>
        </w:rPr>
      </w:pPr>
      <w:r>
        <w:rPr>
          <w:rFonts w:eastAsia="Calibri"/>
          <w:szCs w:val="20"/>
          <w:lang w:val="en-GB"/>
        </w:rPr>
        <w:t>Subscribers should also deal with any paper Certificates of Title (pCTs) they may still hold.</w:t>
      </w:r>
    </w:p>
    <w:p w14:paraId="779892D4" w14:textId="77777777" w:rsidR="00CC4159" w:rsidRDefault="00CC4159">
      <w:pPr>
        <w:spacing w:before="0" w:after="160" w:line="259" w:lineRule="auto"/>
        <w:rPr>
          <w:rFonts w:asciiTheme="majorHAnsi" w:eastAsiaTheme="majorEastAsia" w:hAnsiTheme="majorHAnsi" w:cstheme="majorBidi"/>
          <w:b/>
          <w:color w:val="53565A" w:themeColor="accent6"/>
          <w:sz w:val="32"/>
          <w:szCs w:val="32"/>
        </w:rPr>
      </w:pPr>
      <w:r>
        <w:rPr>
          <w:sz w:val="32"/>
        </w:rPr>
        <w:br w:type="page"/>
      </w:r>
    </w:p>
    <w:p w14:paraId="0D8DFF32" w14:textId="77777777" w:rsidR="006C5112" w:rsidRPr="00DC60EE" w:rsidRDefault="006C5112" w:rsidP="00BE6E6A">
      <w:pPr>
        <w:pStyle w:val="Heading1"/>
        <w:rPr>
          <w:sz w:val="32"/>
        </w:rPr>
      </w:pPr>
      <w:r w:rsidRPr="00BE6E6A">
        <w:rPr>
          <w:sz w:val="32"/>
        </w:rPr>
        <w:lastRenderedPageBreak/>
        <w:t>E</w:t>
      </w:r>
      <w:r w:rsidRPr="00DC60EE">
        <w:rPr>
          <w:sz w:val="32"/>
        </w:rPr>
        <w:t>lectronic lodgment updates </w:t>
      </w:r>
    </w:p>
    <w:p w14:paraId="1B83DA1D" w14:textId="77777777" w:rsidR="006C5112" w:rsidRDefault="006C5112" w:rsidP="006C5112">
      <w:pPr>
        <w:spacing w:after="0"/>
        <w:textAlignment w:val="baseline"/>
        <w:rPr>
          <w:rFonts w:eastAsia="Times New Roman" w:cs="Times New Roman"/>
          <w:color w:val="000000" w:themeColor="text1"/>
          <w:szCs w:val="20"/>
        </w:rPr>
      </w:pPr>
      <w:r w:rsidRPr="00140264">
        <w:rPr>
          <w:rFonts w:eastAsia="Times New Roman" w:cs="Times New Roman"/>
          <w:color w:val="000000" w:themeColor="text1"/>
          <w:szCs w:val="20"/>
        </w:rPr>
        <w:t xml:space="preserve">Some Subscribers may have encountered difficulties when attempting to lodge certain applications through PEXA. LUV is investigating these issues and can advise </w:t>
      </w:r>
      <w:r>
        <w:rPr>
          <w:rFonts w:eastAsia="Times New Roman" w:cs="Times New Roman"/>
          <w:color w:val="000000" w:themeColor="text1"/>
          <w:szCs w:val="20"/>
        </w:rPr>
        <w:t>as follows</w:t>
      </w:r>
      <w:r w:rsidRPr="00140264">
        <w:rPr>
          <w:rFonts w:eastAsia="Times New Roman" w:cs="Times New Roman"/>
          <w:color w:val="000000" w:themeColor="text1"/>
          <w:szCs w:val="20"/>
        </w:rPr>
        <w:t>:</w:t>
      </w:r>
    </w:p>
    <w:p w14:paraId="2C533FD0" w14:textId="77777777" w:rsidR="006C5112" w:rsidRPr="00140264" w:rsidRDefault="006C5112" w:rsidP="006C5112">
      <w:pPr>
        <w:spacing w:after="0"/>
        <w:textAlignment w:val="baseline"/>
        <w:rPr>
          <w:rFonts w:eastAsia="Times New Roman" w:cs="Times New Roman"/>
          <w:color w:val="000000" w:themeColor="text1"/>
          <w:szCs w:val="20"/>
        </w:rPr>
      </w:pPr>
      <w:r w:rsidRPr="00140264">
        <w:rPr>
          <w:rFonts w:eastAsia="Times New Roman" w:cs="Times New Roman"/>
          <w:color w:val="000000" w:themeColor="text1"/>
          <w:szCs w:val="20"/>
        </w:rPr>
        <w:t> </w:t>
      </w:r>
    </w:p>
    <w:p w14:paraId="10C3C7A9" w14:textId="77777777" w:rsidR="006C5112" w:rsidRDefault="006C5112" w:rsidP="006C5112">
      <w:pPr>
        <w:pStyle w:val="ListParagraph"/>
        <w:numPr>
          <w:ilvl w:val="0"/>
          <w:numId w:val="39"/>
        </w:numPr>
        <w:spacing w:before="0" w:after="0" w:line="288" w:lineRule="auto"/>
        <w:textAlignment w:val="baseline"/>
        <w:rPr>
          <w:rFonts w:eastAsia="Times New Roman" w:cs="Times New Roman"/>
          <w:color w:val="000000" w:themeColor="text1"/>
          <w:szCs w:val="20"/>
        </w:rPr>
      </w:pPr>
      <w:r w:rsidRPr="00140264">
        <w:rPr>
          <w:rFonts w:eastAsia="Times New Roman" w:cs="Times New Roman"/>
          <w:color w:val="000000" w:themeColor="text1"/>
          <w:szCs w:val="20"/>
        </w:rPr>
        <w:t xml:space="preserve">Application </w:t>
      </w:r>
      <w:r>
        <w:rPr>
          <w:rFonts w:eastAsia="Times New Roman" w:cs="Times New Roman"/>
          <w:color w:val="000000" w:themeColor="text1"/>
          <w:szCs w:val="20"/>
        </w:rPr>
        <w:t xml:space="preserve">- </w:t>
      </w:r>
      <w:r w:rsidRPr="00140264">
        <w:rPr>
          <w:rFonts w:eastAsia="Times New Roman" w:cs="Times New Roman"/>
          <w:color w:val="000000" w:themeColor="text1"/>
          <w:szCs w:val="20"/>
        </w:rPr>
        <w:t xml:space="preserve">Change </w:t>
      </w:r>
      <w:r>
        <w:rPr>
          <w:rFonts w:eastAsia="Times New Roman" w:cs="Times New Roman"/>
          <w:color w:val="000000" w:themeColor="text1"/>
          <w:szCs w:val="20"/>
        </w:rPr>
        <w:t>of</w:t>
      </w:r>
      <w:r w:rsidRPr="00140264">
        <w:rPr>
          <w:rFonts w:eastAsia="Times New Roman" w:cs="Times New Roman"/>
          <w:color w:val="000000" w:themeColor="text1"/>
          <w:szCs w:val="20"/>
        </w:rPr>
        <w:t xml:space="preserve"> </w:t>
      </w:r>
      <w:r>
        <w:rPr>
          <w:rFonts w:eastAsia="Times New Roman" w:cs="Times New Roman"/>
          <w:color w:val="000000" w:themeColor="text1"/>
          <w:szCs w:val="20"/>
        </w:rPr>
        <w:t>n</w:t>
      </w:r>
      <w:r w:rsidRPr="00140264">
        <w:rPr>
          <w:rFonts w:eastAsia="Times New Roman" w:cs="Times New Roman"/>
          <w:color w:val="000000" w:themeColor="text1"/>
          <w:szCs w:val="20"/>
        </w:rPr>
        <w:t xml:space="preserve">ame of Interest </w:t>
      </w:r>
      <w:r>
        <w:rPr>
          <w:rFonts w:eastAsia="Times New Roman" w:cs="Times New Roman"/>
          <w:color w:val="000000" w:themeColor="text1"/>
          <w:szCs w:val="20"/>
        </w:rPr>
        <w:t>holder and if applicable address</w:t>
      </w:r>
      <w:r w:rsidRPr="00140264">
        <w:rPr>
          <w:rFonts w:eastAsia="Times New Roman" w:cs="Times New Roman"/>
          <w:color w:val="000000" w:themeColor="text1"/>
          <w:szCs w:val="20"/>
        </w:rPr>
        <w:t xml:space="preserve"> – This dealing </w:t>
      </w:r>
      <w:r>
        <w:rPr>
          <w:rFonts w:eastAsia="Times New Roman" w:cs="Times New Roman"/>
          <w:color w:val="000000" w:themeColor="text1"/>
          <w:szCs w:val="20"/>
        </w:rPr>
        <w:t>is now</w:t>
      </w:r>
      <w:r w:rsidRPr="00140264">
        <w:rPr>
          <w:rFonts w:eastAsia="Times New Roman" w:cs="Times New Roman"/>
          <w:color w:val="000000" w:themeColor="text1"/>
          <w:szCs w:val="20"/>
        </w:rPr>
        <w:t xml:space="preserve"> fully functional</w:t>
      </w:r>
      <w:r>
        <w:rPr>
          <w:rFonts w:eastAsia="Times New Roman" w:cs="Times New Roman"/>
          <w:color w:val="000000" w:themeColor="text1"/>
          <w:szCs w:val="20"/>
        </w:rPr>
        <w:t xml:space="preserve"> however Subscribers will need to ensure they enter the workspace in the correct capacity so that they can complete the application</w:t>
      </w:r>
      <w:r w:rsidRPr="00F1672A">
        <w:rPr>
          <w:rFonts w:eastAsia="Times New Roman" w:cs="Times New Roman"/>
          <w:color w:val="000000" w:themeColor="text1"/>
          <w:szCs w:val="20"/>
        </w:rPr>
        <w:t xml:space="preserve"> </w:t>
      </w:r>
      <w:r>
        <w:rPr>
          <w:rFonts w:eastAsia="Times New Roman" w:cs="Times New Roman"/>
          <w:color w:val="000000" w:themeColor="text1"/>
          <w:szCs w:val="20"/>
        </w:rPr>
        <w:t xml:space="preserve">correctly. Mortgagees must enter the workspace in their capacity as registered mortgagee, and likewise caveators must enter in their capacity as recorded caveator. The name can then be ‘corrected’ using the justification process as described in </w:t>
      </w:r>
      <w:hyperlink r:id="rId21" w:history="1">
        <w:r w:rsidRPr="00C81E3D">
          <w:rPr>
            <w:rStyle w:val="Hyperlink"/>
            <w:rFonts w:eastAsia="Times New Roman" w:cs="Times New Roman"/>
            <w:szCs w:val="20"/>
          </w:rPr>
          <w:t>Customer Information Bulletin 213</w:t>
        </w:r>
      </w:hyperlink>
      <w:r>
        <w:rPr>
          <w:rFonts w:eastAsia="Times New Roman" w:cs="Times New Roman"/>
          <w:color w:val="000000" w:themeColor="text1"/>
          <w:szCs w:val="20"/>
        </w:rPr>
        <w:t xml:space="preserve">. Other interest holders will need to enter the workspace in the capacity ‘To deal with an interest’ and can then proceed in the same way. </w:t>
      </w:r>
    </w:p>
    <w:p w14:paraId="41CF619B" w14:textId="77777777" w:rsidR="006C5112" w:rsidRPr="007C7578" w:rsidRDefault="006C5112" w:rsidP="006C5112">
      <w:pPr>
        <w:spacing w:after="0"/>
        <w:ind w:left="360"/>
        <w:textAlignment w:val="baseline"/>
        <w:rPr>
          <w:rFonts w:eastAsia="Times New Roman" w:cs="Times New Roman"/>
          <w:color w:val="000000" w:themeColor="text1"/>
          <w:szCs w:val="20"/>
        </w:rPr>
      </w:pPr>
      <w:r w:rsidRPr="007C7578">
        <w:rPr>
          <w:rFonts w:eastAsia="Times New Roman" w:cs="Times New Roman"/>
          <w:color w:val="000000" w:themeColor="text1"/>
          <w:szCs w:val="20"/>
        </w:rPr>
        <w:t xml:space="preserve"> </w:t>
      </w:r>
    </w:p>
    <w:p w14:paraId="4BE04E86" w14:textId="77777777" w:rsidR="006C5112" w:rsidRPr="00140264" w:rsidRDefault="006C5112" w:rsidP="006C5112">
      <w:pPr>
        <w:pStyle w:val="ListParagraph"/>
        <w:numPr>
          <w:ilvl w:val="0"/>
          <w:numId w:val="39"/>
        </w:numPr>
        <w:spacing w:before="0" w:after="0" w:line="288" w:lineRule="auto"/>
        <w:textAlignment w:val="baseline"/>
        <w:rPr>
          <w:rFonts w:eastAsia="Times New Roman" w:cs="Times New Roman"/>
          <w:color w:val="000000" w:themeColor="text1"/>
          <w:szCs w:val="20"/>
        </w:rPr>
      </w:pPr>
      <w:r w:rsidRPr="00140264">
        <w:rPr>
          <w:rFonts w:eastAsia="Times New Roman" w:cs="Times New Roman"/>
          <w:color w:val="000000" w:themeColor="text1"/>
          <w:szCs w:val="20"/>
        </w:rPr>
        <w:t xml:space="preserve">Leases and Sub-leases – </w:t>
      </w:r>
      <w:r>
        <w:rPr>
          <w:rFonts w:eastAsia="Times New Roman" w:cs="Times New Roman"/>
          <w:color w:val="000000" w:themeColor="text1"/>
          <w:szCs w:val="20"/>
        </w:rPr>
        <w:t xml:space="preserve">these electronic instruments are available for use for whole folios or ‘as to part’ in certain circumstances – please note that the ‘Estate and/or Interest’ ‘panel’ relates to the nature of the folio of the Register the lease is sought to be registered against (fee simple, leasehold, life estate or remainder expectant) and not the lease itself. Please see the next section on </w:t>
      </w:r>
      <w:r w:rsidRPr="19EA50FA">
        <w:rPr>
          <w:rFonts w:eastAsia="Times New Roman" w:cs="Times New Roman"/>
          <w:color w:val="000000" w:themeColor="text1"/>
          <w:szCs w:val="20"/>
        </w:rPr>
        <w:t xml:space="preserve">Instruments ‘as to part’ for </w:t>
      </w:r>
      <w:r>
        <w:rPr>
          <w:rFonts w:eastAsia="Times New Roman" w:cs="Times New Roman"/>
          <w:color w:val="000000" w:themeColor="text1"/>
          <w:szCs w:val="20"/>
        </w:rPr>
        <w:t>leases over part of a folio.</w:t>
      </w:r>
      <w:r w:rsidRPr="00140264">
        <w:rPr>
          <w:rFonts w:eastAsia="Times New Roman" w:cs="Times New Roman"/>
          <w:color w:val="000000" w:themeColor="text1"/>
          <w:szCs w:val="20"/>
        </w:rPr>
        <w:t> </w:t>
      </w:r>
    </w:p>
    <w:p w14:paraId="77315500" w14:textId="77777777" w:rsidR="006C5112" w:rsidRPr="007E66AA" w:rsidRDefault="006C5112" w:rsidP="006C5112">
      <w:pPr>
        <w:spacing w:after="0"/>
        <w:ind w:left="360"/>
        <w:textAlignment w:val="baseline"/>
        <w:rPr>
          <w:rFonts w:eastAsia="Times New Roman" w:cs="Times New Roman"/>
          <w:color w:val="000000" w:themeColor="text1"/>
          <w:szCs w:val="20"/>
        </w:rPr>
      </w:pPr>
    </w:p>
    <w:p w14:paraId="3428AAE7" w14:textId="77777777" w:rsidR="00154A34" w:rsidRDefault="006C5112" w:rsidP="006C5112">
      <w:pPr>
        <w:pStyle w:val="ListParagraph"/>
        <w:numPr>
          <w:ilvl w:val="0"/>
          <w:numId w:val="39"/>
        </w:numPr>
        <w:spacing w:before="0" w:after="0" w:line="288" w:lineRule="auto"/>
        <w:textAlignment w:val="baseline"/>
        <w:rPr>
          <w:rFonts w:eastAsia="Times New Roman" w:cs="Times New Roman"/>
          <w:color w:val="000000" w:themeColor="text1"/>
          <w:szCs w:val="20"/>
        </w:rPr>
      </w:pPr>
      <w:r w:rsidRPr="006620CF">
        <w:rPr>
          <w:rFonts w:eastAsia="Times New Roman" w:cs="Times New Roman"/>
          <w:color w:val="000000" w:themeColor="text1"/>
          <w:szCs w:val="20"/>
        </w:rPr>
        <w:t xml:space="preserve">Instruments ‘as to part’ – due to a system limitation, instruments ‘as to part’ can only affect lots on folios of the Register that contain more than one lot or more than one Crown allotment. Instruments that are ‘as to part’ affecting a single lot or single Crown allotment folio must be lodged using the Generic Residual Document until further notice. </w:t>
      </w:r>
      <w:r w:rsidRPr="07D1C52F">
        <w:rPr>
          <w:rFonts w:eastAsia="Times New Roman" w:cs="Times New Roman"/>
          <w:color w:val="000000" w:themeColor="text1"/>
          <w:szCs w:val="20"/>
        </w:rPr>
        <w:t xml:space="preserve">The </w:t>
      </w:r>
      <w:hyperlink r:id="rId22">
        <w:r w:rsidRPr="07D1C52F">
          <w:rPr>
            <w:rStyle w:val="Hyperlink"/>
            <w:rFonts w:eastAsia="Times New Roman" w:cs="Times New Roman"/>
            <w:szCs w:val="20"/>
          </w:rPr>
          <w:t>Guide to Residual Documents</w:t>
        </w:r>
      </w:hyperlink>
      <w:r w:rsidRPr="07D1C52F">
        <w:rPr>
          <w:rFonts w:eastAsia="Times New Roman" w:cs="Times New Roman"/>
          <w:color w:val="000000" w:themeColor="text1"/>
          <w:szCs w:val="20"/>
        </w:rPr>
        <w:t xml:space="preserve"> has been updated accordingly. </w:t>
      </w:r>
      <w:r w:rsidRPr="006620CF">
        <w:rPr>
          <w:rFonts w:eastAsia="Times New Roman" w:cs="Times New Roman"/>
          <w:color w:val="000000" w:themeColor="text1"/>
          <w:szCs w:val="20"/>
        </w:rPr>
        <w:t>LUV will provide a further notification once this system issue is resolved</w:t>
      </w:r>
      <w:r w:rsidR="004C7BD2">
        <w:rPr>
          <w:rFonts w:eastAsia="Times New Roman" w:cs="Times New Roman"/>
          <w:color w:val="000000" w:themeColor="text1"/>
          <w:szCs w:val="20"/>
        </w:rPr>
        <w:t>.</w:t>
      </w:r>
    </w:p>
    <w:p w14:paraId="5EBFFD8F" w14:textId="64488958" w:rsidR="00CC4159" w:rsidRDefault="00CC4159" w:rsidP="00CC4159">
      <w:pPr>
        <w:spacing w:before="0" w:after="160" w:line="259" w:lineRule="auto"/>
        <w:rPr>
          <w:rFonts w:eastAsia="Times New Roman" w:cs="Times New Roman"/>
          <w:color w:val="000000" w:themeColor="text1"/>
          <w:szCs w:val="20"/>
        </w:rPr>
      </w:pPr>
    </w:p>
    <w:p w14:paraId="1A98D95E" w14:textId="77777777" w:rsidR="00FE4005" w:rsidRPr="00FE4005" w:rsidRDefault="00FE4005" w:rsidP="00FE4005">
      <w:pPr>
        <w:pStyle w:val="Heading1"/>
        <w:rPr>
          <w:sz w:val="32"/>
        </w:rPr>
      </w:pPr>
      <w:r w:rsidRPr="00FE4005">
        <w:rPr>
          <w:rStyle w:val="Strong"/>
          <w:b/>
          <w:bCs w:val="0"/>
          <w:sz w:val="32"/>
        </w:rPr>
        <w:t>Lodging of multiple cases within one</w:t>
      </w:r>
      <w:r w:rsidRPr="00FE4005">
        <w:rPr>
          <w:sz w:val="32"/>
        </w:rPr>
        <w:t xml:space="preserve"> </w:t>
      </w:r>
      <w:r w:rsidRPr="00FE4005">
        <w:rPr>
          <w:rStyle w:val="Strong"/>
          <w:b/>
          <w:bCs w:val="0"/>
          <w:sz w:val="32"/>
        </w:rPr>
        <w:t>Generic Residual Document</w:t>
      </w:r>
    </w:p>
    <w:p w14:paraId="74D7A2D1" w14:textId="77777777" w:rsidR="00FE4005" w:rsidRDefault="00FE4005" w:rsidP="00FE4005">
      <w:r>
        <w:t>A customer must only submit a single 'case' when lodging paper instruments using the Generic Residual Document.</w:t>
      </w:r>
    </w:p>
    <w:p w14:paraId="0F8E2A8F" w14:textId="77777777" w:rsidR="00FE4005" w:rsidRDefault="00FE4005" w:rsidP="00FE4005">
      <w:r>
        <w:t>A case consists of one or more instruments affecting the same folio(s). For example, a single caveat presented for lodgment would be a case; a combination of dealings such as a discharge of mortgage/transfer of land/mortgage affecting the same folio(s) presented for lodgment would also be a case.</w:t>
      </w:r>
    </w:p>
    <w:p w14:paraId="5C036286" w14:textId="0705A2A6" w:rsidR="00FE4005" w:rsidRDefault="00FE4005" w:rsidP="00FE4005">
      <w:r>
        <w:t xml:space="preserve">The </w:t>
      </w:r>
      <w:hyperlink r:id="rId23" w:history="1">
        <w:r>
          <w:rPr>
            <w:rStyle w:val="Hyperlink"/>
          </w:rPr>
          <w:t>electronic submission of paper instruments</w:t>
        </w:r>
      </w:hyperlink>
      <w:r>
        <w:t xml:space="preserve"> page has been updated to clarify this requirement. Failure to comply with this requirement will result in a lodgment refusal.</w:t>
      </w:r>
    </w:p>
    <w:p w14:paraId="4DC9EA28" w14:textId="77777777" w:rsidR="00FE4005" w:rsidRDefault="00FE4005" w:rsidP="00CC4159">
      <w:pPr>
        <w:spacing w:before="0" w:after="160" w:line="259" w:lineRule="auto"/>
        <w:rPr>
          <w:rFonts w:eastAsia="Times New Roman" w:cs="Times New Roman"/>
          <w:color w:val="000000" w:themeColor="text1"/>
          <w:szCs w:val="20"/>
        </w:rPr>
      </w:pPr>
    </w:p>
    <w:p w14:paraId="7652DD26" w14:textId="77777777" w:rsidR="00CC4159" w:rsidRDefault="00CC4159" w:rsidP="00CC4159">
      <w:pPr>
        <w:spacing w:before="0" w:after="160" w:line="259" w:lineRule="auto"/>
        <w:rPr>
          <w:rFonts w:eastAsia="Times New Roman" w:cs="Times New Roman"/>
          <w:color w:val="000000" w:themeColor="text1"/>
          <w:szCs w:val="20"/>
        </w:rPr>
      </w:pPr>
    </w:p>
    <w:p w14:paraId="51EE46AA" w14:textId="77777777" w:rsidR="00FE4005" w:rsidRDefault="00FE4005" w:rsidP="00CC4159">
      <w:pPr>
        <w:spacing w:before="0" w:after="160" w:line="259" w:lineRule="auto"/>
        <w:rPr>
          <w:rFonts w:eastAsia="Times New Roman" w:cs="Times New Roman"/>
          <w:color w:val="000000" w:themeColor="text1"/>
          <w:szCs w:val="20"/>
        </w:rPr>
      </w:pPr>
    </w:p>
    <w:p w14:paraId="3415F633" w14:textId="11C1BBD2" w:rsidR="006C5112" w:rsidRPr="00BE6E6A" w:rsidRDefault="006C5112" w:rsidP="00CC4159">
      <w:pPr>
        <w:spacing w:before="0" w:after="160" w:line="259" w:lineRule="auto"/>
        <w:rPr>
          <w:rFonts w:eastAsia="Times New Roman" w:cs="Times New Roman"/>
          <w:color w:val="000000" w:themeColor="text1"/>
          <w:szCs w:val="20"/>
        </w:rPr>
      </w:pPr>
      <w:r w:rsidRPr="006620CF">
        <w:rPr>
          <w:rFonts w:eastAsia="Times New Roman" w:cs="Times New Roman"/>
          <w:color w:val="000000" w:themeColor="text1"/>
          <w:szCs w:val="20"/>
        </w:rPr>
        <w:t xml:space="preserve">  </w:t>
      </w:r>
    </w:p>
    <w:p w14:paraId="0BE819BE" w14:textId="77777777" w:rsidR="006C5112" w:rsidRPr="00CC4159" w:rsidRDefault="006C5112" w:rsidP="00BE6E6A">
      <w:pPr>
        <w:pStyle w:val="Heading1"/>
        <w:rPr>
          <w:rFonts w:ascii="Segoe UI" w:hAnsi="Segoe UI" w:cs="Segoe UI"/>
          <w:b w:val="0"/>
          <w:sz w:val="32"/>
        </w:rPr>
      </w:pPr>
      <w:r w:rsidRPr="00CC4159">
        <w:rPr>
          <w:rStyle w:val="normaltextrun"/>
          <w:rFonts w:ascii="Arial" w:hAnsi="Arial" w:cs="Arial"/>
          <w:i/>
          <w:sz w:val="32"/>
        </w:rPr>
        <w:t>Contact us</w:t>
      </w:r>
      <w:r w:rsidRPr="00CC4159">
        <w:rPr>
          <w:rStyle w:val="eop"/>
          <w:rFonts w:ascii="Arial" w:hAnsi="Arial" w:cs="Arial"/>
          <w:b w:val="0"/>
          <w:sz w:val="32"/>
        </w:rPr>
        <w:t> </w:t>
      </w:r>
    </w:p>
    <w:p w14:paraId="62305833" w14:textId="77777777" w:rsidR="006C5112" w:rsidRDefault="006C5112" w:rsidP="006C5112">
      <w:pPr>
        <w:pStyle w:val="paragraph"/>
        <w:spacing w:before="0" w:beforeAutospacing="0" w:after="0" w:afterAutospacing="0"/>
        <w:textAlignment w:val="baseline"/>
        <w:rPr>
          <w:rStyle w:val="normaltextrun"/>
          <w:rFonts w:ascii="Arial" w:hAnsi="Arial" w:cs="Arial"/>
          <w:i/>
          <w:iCs/>
          <w:color w:val="363534"/>
          <w:sz w:val="20"/>
          <w:szCs w:val="20"/>
        </w:rPr>
      </w:pPr>
    </w:p>
    <w:p w14:paraId="73B495FC" w14:textId="77777777" w:rsidR="006C5112" w:rsidRDefault="006C5112" w:rsidP="006C5112">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location and contact details, please go to </w:t>
      </w:r>
      <w:hyperlink r:id="rId24"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p w14:paraId="1AA375BA" w14:textId="77777777" w:rsidR="006C5112" w:rsidRPr="006C5112" w:rsidRDefault="006C5112" w:rsidP="006C5112"/>
    <w:bookmarkEnd w:id="2"/>
    <w:p w14:paraId="2FBFA2DC" w14:textId="77777777" w:rsidR="00D938C6" w:rsidRPr="00D938C6" w:rsidRDefault="00D938C6" w:rsidP="00D938C6"/>
    <w:p w14:paraId="197E5C36" w14:textId="2F0CADEE" w:rsidR="004411F6" w:rsidRDefault="004411F6" w:rsidP="009827C2">
      <w:pPr>
        <w:keepNext/>
        <w:keepLines/>
      </w:pPr>
    </w:p>
    <w:sectPr w:rsidR="004411F6" w:rsidSect="009827C2">
      <w:headerReference w:type="default" r:id="rId25"/>
      <w:footerReference w:type="default" r:id="rId2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65F0" w14:textId="77777777" w:rsidR="001E56FE" w:rsidRDefault="001E56FE" w:rsidP="00C37A29">
      <w:pPr>
        <w:spacing w:after="0"/>
      </w:pPr>
      <w:r>
        <w:separator/>
      </w:r>
    </w:p>
  </w:endnote>
  <w:endnote w:type="continuationSeparator" w:id="0">
    <w:p w14:paraId="08DDCFA0" w14:textId="77777777" w:rsidR="001E56FE" w:rsidRDefault="001E56FE" w:rsidP="00C37A29">
      <w:pPr>
        <w:spacing w:after="0"/>
      </w:pPr>
      <w:r>
        <w:continuationSeparator/>
      </w:r>
    </w:p>
  </w:endnote>
  <w:endnote w:type="continuationNotice" w:id="1">
    <w:p w14:paraId="149A890A" w14:textId="77777777" w:rsidR="001E56FE" w:rsidRDefault="001E56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381B3CBA" w:rsidR="000D7EE8" w:rsidRDefault="003003A9" w:rsidP="009C006B">
    <w:pPr>
      <w:pStyle w:val="Footer"/>
    </w:pPr>
    <w:r>
      <w:rPr>
        <w:noProof/>
      </w:rPr>
      <mc:AlternateContent>
        <mc:Choice Requires="wps">
          <w:drawing>
            <wp:anchor distT="0" distB="0" distL="114300" distR="114300" simplePos="0" relativeHeight="251659265" behindDoc="0" locked="0" layoutInCell="0" allowOverlap="1" wp14:anchorId="07F589FC" wp14:editId="3F088F4D">
              <wp:simplePos x="0" y="0"/>
              <wp:positionH relativeFrom="page">
                <wp:posOffset>0</wp:posOffset>
              </wp:positionH>
              <wp:positionV relativeFrom="page">
                <wp:posOffset>10227945</wp:posOffset>
              </wp:positionV>
              <wp:extent cx="7560310" cy="273050"/>
              <wp:effectExtent l="0" t="0" r="0" b="12700"/>
              <wp:wrapNone/>
              <wp:docPr id="2" name="MSIPCMbc5a418fa80370e99e660ba1"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CFB2B" w14:textId="7479F185" w:rsidR="003003A9" w:rsidRPr="003003A9" w:rsidRDefault="003003A9" w:rsidP="003003A9">
                          <w:pPr>
                            <w:spacing w:before="0" w:after="0"/>
                            <w:jc w:val="center"/>
                            <w:rPr>
                              <w:rFonts w:ascii="Calibri" w:hAnsi="Calibri" w:cs="Calibri"/>
                              <w:color w:val="000000"/>
                              <w:sz w:val="24"/>
                            </w:rPr>
                          </w:pPr>
                          <w:r w:rsidRPr="003003A9">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F589FC" id="_x0000_t202" coordsize="21600,21600" o:spt="202" path="m,l,21600r21600,l21600,xe">
              <v:stroke joinstyle="miter"/>
              <v:path gradientshapeok="t" o:connecttype="rect"/>
            </v:shapetype>
            <v:shape id="MSIPCMbc5a418fa80370e99e660ba1" o:spid="_x0000_s1026" type="#_x0000_t202" alt="{&quot;HashCode&quot;:873767321,&quot;Height&quot;:841.0,&quot;Width&quot;:595.0,&quot;Placement&quot;:&quot;Footer&quot;,&quot;Index&quot;:&quot;Primary&quot;,&quot;Section&quot;:1,&quot;Top&quot;:0.0,&quot;Left&quot;:0.0}" style="position:absolute;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8ECFB2B" w14:textId="7479F185" w:rsidR="003003A9" w:rsidRPr="003003A9" w:rsidRDefault="003003A9" w:rsidP="003003A9">
                    <w:pPr>
                      <w:spacing w:before="0" w:after="0"/>
                      <w:jc w:val="center"/>
                      <w:rPr>
                        <w:rFonts w:ascii="Calibri" w:hAnsi="Calibri" w:cs="Calibri"/>
                        <w:color w:val="000000"/>
                        <w:sz w:val="24"/>
                      </w:rPr>
                    </w:pPr>
                    <w:r w:rsidRPr="003003A9">
                      <w:rPr>
                        <w:rFonts w:ascii="Calibri" w:hAnsi="Calibri" w:cs="Calibri"/>
                        <w:color w:val="000000"/>
                        <w:sz w:val="24"/>
                      </w:rPr>
                      <w:t>Unofficial</w:t>
                    </w:r>
                  </w:p>
                </w:txbxContent>
              </v:textbox>
              <w10:wrap anchorx="page" anchory="page"/>
            </v:shape>
          </w:pict>
        </mc:Fallback>
      </mc:AlternateContent>
    </w:r>
    <w:r w:rsidR="007A2B3E">
      <w:rPr>
        <w:noProof/>
      </w:rPr>
      <mc:AlternateContent>
        <mc:Choice Requires="wps">
          <w:drawing>
            <wp:anchor distT="0" distB="0" distL="114300" distR="114300" simplePos="0" relativeHeight="251658241" behindDoc="0" locked="0" layoutInCell="0" allowOverlap="1" wp14:anchorId="36F79D53" wp14:editId="246A82B2">
              <wp:simplePos x="0" y="0"/>
              <wp:positionH relativeFrom="page">
                <wp:posOffset>0</wp:posOffset>
              </wp:positionH>
              <wp:positionV relativeFrom="page">
                <wp:posOffset>10227945</wp:posOffset>
              </wp:positionV>
              <wp:extent cx="7560310" cy="273050"/>
              <wp:effectExtent l="0" t="0" r="0" b="12700"/>
              <wp:wrapNone/>
              <wp:docPr id="1" name="Text Box 1"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22AF3" w14:textId="3ADE80EA" w:rsidR="007A2B3E" w:rsidRPr="007A2B3E" w:rsidRDefault="007A2B3E" w:rsidP="007A2B3E">
                          <w:pPr>
                            <w:spacing w:before="0" w:after="0"/>
                            <w:jc w:val="center"/>
                            <w:rPr>
                              <w:rFonts w:ascii="Calibri" w:hAnsi="Calibri" w:cs="Calibri"/>
                              <w:color w:val="000000"/>
                              <w:sz w:val="24"/>
                            </w:rPr>
                          </w:pPr>
                          <w:r w:rsidRPr="007A2B3E">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F79D53" id="Text Box 1" o:spid="_x0000_s1027" type="#_x0000_t202" alt="{&quot;HashCode&quot;:873767321,&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6322AF3" w14:textId="3ADE80EA" w:rsidR="007A2B3E" w:rsidRPr="007A2B3E" w:rsidRDefault="007A2B3E" w:rsidP="007A2B3E">
                    <w:pPr>
                      <w:spacing w:before="0" w:after="0"/>
                      <w:jc w:val="center"/>
                      <w:rPr>
                        <w:rFonts w:ascii="Calibri" w:hAnsi="Calibri" w:cs="Calibri"/>
                        <w:color w:val="000000"/>
                        <w:sz w:val="24"/>
                      </w:rPr>
                    </w:pPr>
                    <w:r w:rsidRPr="007A2B3E">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8" w:name="Title_TableFooter"/>
          <w:bookmarkEnd w:id="8"/>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18D20564" w:rsidR="004B7536" w:rsidRPr="009C006B" w:rsidRDefault="006C511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224</w:t>
          </w:r>
        </w:p>
        <w:p w14:paraId="156F9DA1" w14:textId="3DFA3510" w:rsidR="004B7536" w:rsidRDefault="004B7536" w:rsidP="006C5112">
          <w:pPr>
            <w:pStyle w:val="Foote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B60E" w14:textId="77777777" w:rsidR="001E56FE" w:rsidRDefault="001E56FE" w:rsidP="00C37A29">
      <w:pPr>
        <w:spacing w:after="0"/>
      </w:pPr>
      <w:r>
        <w:separator/>
      </w:r>
    </w:p>
  </w:footnote>
  <w:footnote w:type="continuationSeparator" w:id="0">
    <w:p w14:paraId="03472186" w14:textId="77777777" w:rsidR="001E56FE" w:rsidRDefault="001E56FE" w:rsidP="00C37A29">
      <w:pPr>
        <w:spacing w:after="0"/>
      </w:pPr>
      <w:r>
        <w:continuationSeparator/>
      </w:r>
    </w:p>
  </w:footnote>
  <w:footnote w:type="continuationNotice" w:id="1">
    <w:p w14:paraId="06ADFA8F" w14:textId="77777777" w:rsidR="001E56FE" w:rsidRDefault="001E56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28719759"/>
  <w:bookmarkStart w:id="5" w:name="_Hlk128719760"/>
  <w:bookmarkStart w:id="6" w:name="_Hlk128720388"/>
  <w:bookmarkStart w:id="7"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6A3D835"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78E25D3"/>
    <w:multiLevelType w:val="multilevel"/>
    <w:tmpl w:val="D97275E8"/>
    <w:numStyleLink w:val="Bullets"/>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D97275E8"/>
    <w:numStyleLink w:val="Bullets"/>
  </w:abstractNum>
  <w:abstractNum w:abstractNumId="21" w15:restartNumberingAfterBreak="0">
    <w:nsid w:val="3FBF3A52"/>
    <w:multiLevelType w:val="hybridMultilevel"/>
    <w:tmpl w:val="C598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83439EA"/>
    <w:multiLevelType w:val="multilevel"/>
    <w:tmpl w:val="D97275E8"/>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D97275E8"/>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72A5072B"/>
    <w:multiLevelType w:val="hybridMultilevel"/>
    <w:tmpl w:val="6558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4D0736"/>
    <w:multiLevelType w:val="multilevel"/>
    <w:tmpl w:val="97DAEA0E"/>
    <w:numStyleLink w:val="Numbering"/>
  </w:abstractNum>
  <w:abstractNum w:abstractNumId="34" w15:restartNumberingAfterBreak="0">
    <w:nsid w:val="7D5CF49B"/>
    <w:multiLevelType w:val="hybridMultilevel"/>
    <w:tmpl w:val="26D4E59A"/>
    <w:lvl w:ilvl="0" w:tplc="CE58C316">
      <w:start w:val="1"/>
      <w:numFmt w:val="bullet"/>
      <w:lvlText w:val=""/>
      <w:lvlJc w:val="left"/>
      <w:pPr>
        <w:ind w:left="720" w:hanging="360"/>
      </w:pPr>
      <w:rPr>
        <w:rFonts w:ascii="Symbol" w:hAnsi="Symbol" w:hint="default"/>
      </w:rPr>
    </w:lvl>
    <w:lvl w:ilvl="1" w:tplc="D6D4366A">
      <w:start w:val="1"/>
      <w:numFmt w:val="bullet"/>
      <w:lvlText w:val="o"/>
      <w:lvlJc w:val="left"/>
      <w:pPr>
        <w:ind w:left="1440" w:hanging="360"/>
      </w:pPr>
      <w:rPr>
        <w:rFonts w:ascii="Courier New" w:hAnsi="Courier New" w:hint="default"/>
      </w:rPr>
    </w:lvl>
    <w:lvl w:ilvl="2" w:tplc="F030E878">
      <w:start w:val="1"/>
      <w:numFmt w:val="bullet"/>
      <w:lvlText w:val=""/>
      <w:lvlJc w:val="left"/>
      <w:pPr>
        <w:ind w:left="2160" w:hanging="360"/>
      </w:pPr>
      <w:rPr>
        <w:rFonts w:ascii="Wingdings" w:hAnsi="Wingdings" w:hint="default"/>
      </w:rPr>
    </w:lvl>
    <w:lvl w:ilvl="3" w:tplc="C316DF72">
      <w:start w:val="1"/>
      <w:numFmt w:val="bullet"/>
      <w:lvlText w:val=""/>
      <w:lvlJc w:val="left"/>
      <w:pPr>
        <w:ind w:left="2880" w:hanging="360"/>
      </w:pPr>
      <w:rPr>
        <w:rFonts w:ascii="Symbol" w:hAnsi="Symbol" w:hint="default"/>
      </w:rPr>
    </w:lvl>
    <w:lvl w:ilvl="4" w:tplc="A232CAC8">
      <w:start w:val="1"/>
      <w:numFmt w:val="bullet"/>
      <w:lvlText w:val="o"/>
      <w:lvlJc w:val="left"/>
      <w:pPr>
        <w:ind w:left="3600" w:hanging="360"/>
      </w:pPr>
      <w:rPr>
        <w:rFonts w:ascii="Courier New" w:hAnsi="Courier New" w:hint="default"/>
      </w:rPr>
    </w:lvl>
    <w:lvl w:ilvl="5" w:tplc="16564166">
      <w:start w:val="1"/>
      <w:numFmt w:val="bullet"/>
      <w:lvlText w:val=""/>
      <w:lvlJc w:val="left"/>
      <w:pPr>
        <w:ind w:left="4320" w:hanging="360"/>
      </w:pPr>
      <w:rPr>
        <w:rFonts w:ascii="Wingdings" w:hAnsi="Wingdings" w:hint="default"/>
      </w:rPr>
    </w:lvl>
    <w:lvl w:ilvl="6" w:tplc="53B0E998">
      <w:start w:val="1"/>
      <w:numFmt w:val="bullet"/>
      <w:lvlText w:val=""/>
      <w:lvlJc w:val="left"/>
      <w:pPr>
        <w:ind w:left="5040" w:hanging="360"/>
      </w:pPr>
      <w:rPr>
        <w:rFonts w:ascii="Symbol" w:hAnsi="Symbol" w:hint="default"/>
      </w:rPr>
    </w:lvl>
    <w:lvl w:ilvl="7" w:tplc="F788B9A8">
      <w:start w:val="1"/>
      <w:numFmt w:val="bullet"/>
      <w:lvlText w:val="o"/>
      <w:lvlJc w:val="left"/>
      <w:pPr>
        <w:ind w:left="5760" w:hanging="360"/>
      </w:pPr>
      <w:rPr>
        <w:rFonts w:ascii="Courier New" w:hAnsi="Courier New" w:hint="default"/>
      </w:rPr>
    </w:lvl>
    <w:lvl w:ilvl="8" w:tplc="0A384E22">
      <w:start w:val="1"/>
      <w:numFmt w:val="bullet"/>
      <w:lvlText w:val=""/>
      <w:lvlJc w:val="left"/>
      <w:pPr>
        <w:ind w:left="6480" w:hanging="360"/>
      </w:pPr>
      <w:rPr>
        <w:rFonts w:ascii="Wingdings" w:hAnsi="Wingdings" w:hint="default"/>
      </w:rPr>
    </w:lvl>
  </w:abstractNum>
  <w:num w:numId="1" w16cid:durableId="511378831">
    <w:abstractNumId w:val="8"/>
  </w:num>
  <w:num w:numId="2" w16cid:durableId="183203968">
    <w:abstractNumId w:val="6"/>
  </w:num>
  <w:num w:numId="3" w16cid:durableId="1217204981">
    <w:abstractNumId w:val="5"/>
  </w:num>
  <w:num w:numId="4" w16cid:durableId="1065026392">
    <w:abstractNumId w:val="18"/>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0"/>
  </w:num>
  <w:num w:numId="14" w16cid:durableId="846598071">
    <w:abstractNumId w:val="14"/>
  </w:num>
  <w:num w:numId="15" w16cid:durableId="1311640227">
    <w:abstractNumId w:val="33"/>
  </w:num>
  <w:num w:numId="16" w16cid:durableId="881941196">
    <w:abstractNumId w:val="26"/>
  </w:num>
  <w:num w:numId="17" w16cid:durableId="533617442">
    <w:abstractNumId w:val="31"/>
  </w:num>
  <w:num w:numId="18" w16cid:durableId="250312982">
    <w:abstractNumId w:val="9"/>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8"/>
  </w:num>
  <w:num w:numId="26" w16cid:durableId="974717717">
    <w:abstractNumId w:val="27"/>
  </w:num>
  <w:num w:numId="27" w16cid:durableId="444039133">
    <w:abstractNumId w:val="16"/>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3"/>
  </w:num>
  <w:num w:numId="31" w16cid:durableId="93674957">
    <w:abstractNumId w:val="23"/>
  </w:num>
  <w:num w:numId="32" w16cid:durableId="1548949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401946219">
    <w:abstractNumId w:val="10"/>
  </w:num>
  <w:num w:numId="36" w16cid:durableId="1893927797">
    <w:abstractNumId w:val="24"/>
  </w:num>
  <w:num w:numId="37" w16cid:durableId="1979071557">
    <w:abstractNumId w:val="34"/>
  </w:num>
  <w:num w:numId="38" w16cid:durableId="1880971561">
    <w:abstractNumId w:val="32"/>
  </w:num>
  <w:num w:numId="39" w16cid:durableId="4612674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116C1"/>
    <w:rsid w:val="000210B6"/>
    <w:rsid w:val="00027052"/>
    <w:rsid w:val="000300AF"/>
    <w:rsid w:val="000335CE"/>
    <w:rsid w:val="00044C18"/>
    <w:rsid w:val="00066115"/>
    <w:rsid w:val="000724AE"/>
    <w:rsid w:val="0008037D"/>
    <w:rsid w:val="00081E37"/>
    <w:rsid w:val="000A4E6A"/>
    <w:rsid w:val="000B497F"/>
    <w:rsid w:val="000D7EE8"/>
    <w:rsid w:val="000E5811"/>
    <w:rsid w:val="00103CEB"/>
    <w:rsid w:val="00112E8F"/>
    <w:rsid w:val="00115986"/>
    <w:rsid w:val="001268BC"/>
    <w:rsid w:val="00141C61"/>
    <w:rsid w:val="00147108"/>
    <w:rsid w:val="00154A34"/>
    <w:rsid w:val="00162E6F"/>
    <w:rsid w:val="00182E05"/>
    <w:rsid w:val="001875B4"/>
    <w:rsid w:val="001A0D77"/>
    <w:rsid w:val="001A5586"/>
    <w:rsid w:val="001C7835"/>
    <w:rsid w:val="001C7FC4"/>
    <w:rsid w:val="001D58B0"/>
    <w:rsid w:val="001E4C19"/>
    <w:rsid w:val="001E56FE"/>
    <w:rsid w:val="001F13C1"/>
    <w:rsid w:val="001F37B8"/>
    <w:rsid w:val="001F446D"/>
    <w:rsid w:val="001F6314"/>
    <w:rsid w:val="00205625"/>
    <w:rsid w:val="002068CA"/>
    <w:rsid w:val="00221AB7"/>
    <w:rsid w:val="00224369"/>
    <w:rsid w:val="002300F6"/>
    <w:rsid w:val="00246435"/>
    <w:rsid w:val="00246BCF"/>
    <w:rsid w:val="00260854"/>
    <w:rsid w:val="00270834"/>
    <w:rsid w:val="00271BE0"/>
    <w:rsid w:val="00272F78"/>
    <w:rsid w:val="002814E6"/>
    <w:rsid w:val="002965C0"/>
    <w:rsid w:val="002A2DFD"/>
    <w:rsid w:val="002A5B8B"/>
    <w:rsid w:val="002C400F"/>
    <w:rsid w:val="002C63D9"/>
    <w:rsid w:val="002D6CDB"/>
    <w:rsid w:val="002E0EDA"/>
    <w:rsid w:val="002E7A9E"/>
    <w:rsid w:val="003003A9"/>
    <w:rsid w:val="00302171"/>
    <w:rsid w:val="00305171"/>
    <w:rsid w:val="003157DA"/>
    <w:rsid w:val="003305D0"/>
    <w:rsid w:val="003324B2"/>
    <w:rsid w:val="00344DB6"/>
    <w:rsid w:val="0034680A"/>
    <w:rsid w:val="00363FF8"/>
    <w:rsid w:val="003657EF"/>
    <w:rsid w:val="00366BDC"/>
    <w:rsid w:val="00373D5D"/>
    <w:rsid w:val="00374847"/>
    <w:rsid w:val="0037721D"/>
    <w:rsid w:val="0038102A"/>
    <w:rsid w:val="003A796A"/>
    <w:rsid w:val="003B2396"/>
    <w:rsid w:val="003D23A3"/>
    <w:rsid w:val="003D3729"/>
    <w:rsid w:val="003D5856"/>
    <w:rsid w:val="003E7563"/>
    <w:rsid w:val="00404E4F"/>
    <w:rsid w:val="00410B49"/>
    <w:rsid w:val="00412CDA"/>
    <w:rsid w:val="0041673A"/>
    <w:rsid w:val="0042339A"/>
    <w:rsid w:val="0042508F"/>
    <w:rsid w:val="004346EB"/>
    <w:rsid w:val="004411F6"/>
    <w:rsid w:val="004635FD"/>
    <w:rsid w:val="004B609E"/>
    <w:rsid w:val="004B7536"/>
    <w:rsid w:val="004B77DD"/>
    <w:rsid w:val="004C7BD2"/>
    <w:rsid w:val="004D0322"/>
    <w:rsid w:val="004E0833"/>
    <w:rsid w:val="004E26F7"/>
    <w:rsid w:val="004E28C6"/>
    <w:rsid w:val="004F138F"/>
    <w:rsid w:val="00500C61"/>
    <w:rsid w:val="00502144"/>
    <w:rsid w:val="0050670B"/>
    <w:rsid w:val="00510D22"/>
    <w:rsid w:val="005141E8"/>
    <w:rsid w:val="005259E6"/>
    <w:rsid w:val="005328D8"/>
    <w:rsid w:val="00533190"/>
    <w:rsid w:val="00534D4F"/>
    <w:rsid w:val="0054731C"/>
    <w:rsid w:val="00550C99"/>
    <w:rsid w:val="00553413"/>
    <w:rsid w:val="00560EDB"/>
    <w:rsid w:val="00577E2E"/>
    <w:rsid w:val="0058369E"/>
    <w:rsid w:val="00593314"/>
    <w:rsid w:val="00594496"/>
    <w:rsid w:val="005C6618"/>
    <w:rsid w:val="005C6BFA"/>
    <w:rsid w:val="005E32D8"/>
    <w:rsid w:val="005E47E9"/>
    <w:rsid w:val="00602C13"/>
    <w:rsid w:val="00603FD5"/>
    <w:rsid w:val="00606728"/>
    <w:rsid w:val="00611A41"/>
    <w:rsid w:val="00611F4C"/>
    <w:rsid w:val="00616DC8"/>
    <w:rsid w:val="006229FB"/>
    <w:rsid w:val="0064570B"/>
    <w:rsid w:val="0067014A"/>
    <w:rsid w:val="006854FF"/>
    <w:rsid w:val="00685F58"/>
    <w:rsid w:val="0068724F"/>
    <w:rsid w:val="00693358"/>
    <w:rsid w:val="0069578E"/>
    <w:rsid w:val="006A1DEF"/>
    <w:rsid w:val="006B3887"/>
    <w:rsid w:val="006C4AF4"/>
    <w:rsid w:val="006C5112"/>
    <w:rsid w:val="006D3F2F"/>
    <w:rsid w:val="006D5D8A"/>
    <w:rsid w:val="006E3536"/>
    <w:rsid w:val="006F5547"/>
    <w:rsid w:val="0070342B"/>
    <w:rsid w:val="007047A8"/>
    <w:rsid w:val="00714488"/>
    <w:rsid w:val="007251DF"/>
    <w:rsid w:val="007254A7"/>
    <w:rsid w:val="00740DB2"/>
    <w:rsid w:val="00762D79"/>
    <w:rsid w:val="00774429"/>
    <w:rsid w:val="00777BD4"/>
    <w:rsid w:val="00792F12"/>
    <w:rsid w:val="007A0363"/>
    <w:rsid w:val="007A2584"/>
    <w:rsid w:val="007A2B3E"/>
    <w:rsid w:val="007B27B1"/>
    <w:rsid w:val="007C57D9"/>
    <w:rsid w:val="007E57ED"/>
    <w:rsid w:val="0081533C"/>
    <w:rsid w:val="00834AA1"/>
    <w:rsid w:val="0085439B"/>
    <w:rsid w:val="0089026B"/>
    <w:rsid w:val="00891FA5"/>
    <w:rsid w:val="008B05C3"/>
    <w:rsid w:val="008B4965"/>
    <w:rsid w:val="008B56CA"/>
    <w:rsid w:val="008D1ABD"/>
    <w:rsid w:val="008F70D1"/>
    <w:rsid w:val="00900A36"/>
    <w:rsid w:val="0090137A"/>
    <w:rsid w:val="00902AB2"/>
    <w:rsid w:val="0091171B"/>
    <w:rsid w:val="009264A2"/>
    <w:rsid w:val="0092760F"/>
    <w:rsid w:val="00936068"/>
    <w:rsid w:val="0094497E"/>
    <w:rsid w:val="00947402"/>
    <w:rsid w:val="009517CC"/>
    <w:rsid w:val="009615D4"/>
    <w:rsid w:val="00967564"/>
    <w:rsid w:val="00974677"/>
    <w:rsid w:val="009813BA"/>
    <w:rsid w:val="009827C2"/>
    <w:rsid w:val="00990966"/>
    <w:rsid w:val="00996B09"/>
    <w:rsid w:val="009A2F17"/>
    <w:rsid w:val="009B3C30"/>
    <w:rsid w:val="009C006B"/>
    <w:rsid w:val="009C01F4"/>
    <w:rsid w:val="009C5432"/>
    <w:rsid w:val="009D24F5"/>
    <w:rsid w:val="009E1349"/>
    <w:rsid w:val="009E6F2F"/>
    <w:rsid w:val="009F1343"/>
    <w:rsid w:val="00A13664"/>
    <w:rsid w:val="00A204BF"/>
    <w:rsid w:val="00A24EF4"/>
    <w:rsid w:val="00A27FD6"/>
    <w:rsid w:val="00A33747"/>
    <w:rsid w:val="00A56EB5"/>
    <w:rsid w:val="00A57BEA"/>
    <w:rsid w:val="00A60369"/>
    <w:rsid w:val="00A66161"/>
    <w:rsid w:val="00A81745"/>
    <w:rsid w:val="00A90151"/>
    <w:rsid w:val="00A9359B"/>
    <w:rsid w:val="00A94AFE"/>
    <w:rsid w:val="00AA163B"/>
    <w:rsid w:val="00AA2B33"/>
    <w:rsid w:val="00AA518E"/>
    <w:rsid w:val="00AA59A4"/>
    <w:rsid w:val="00AB5F12"/>
    <w:rsid w:val="00AC0558"/>
    <w:rsid w:val="00AE2574"/>
    <w:rsid w:val="00AF2097"/>
    <w:rsid w:val="00B153EB"/>
    <w:rsid w:val="00B23603"/>
    <w:rsid w:val="00B251A4"/>
    <w:rsid w:val="00B255CB"/>
    <w:rsid w:val="00B32D6C"/>
    <w:rsid w:val="00B3749D"/>
    <w:rsid w:val="00B45F09"/>
    <w:rsid w:val="00B65DAA"/>
    <w:rsid w:val="00B66B2F"/>
    <w:rsid w:val="00B74F7F"/>
    <w:rsid w:val="00B75B08"/>
    <w:rsid w:val="00B87859"/>
    <w:rsid w:val="00B91D47"/>
    <w:rsid w:val="00BA3CB8"/>
    <w:rsid w:val="00BA7623"/>
    <w:rsid w:val="00BB341C"/>
    <w:rsid w:val="00BD0A92"/>
    <w:rsid w:val="00BD1BCE"/>
    <w:rsid w:val="00BE6E6A"/>
    <w:rsid w:val="00BF68C8"/>
    <w:rsid w:val="00C01C2C"/>
    <w:rsid w:val="00C01E68"/>
    <w:rsid w:val="00C04C28"/>
    <w:rsid w:val="00C11924"/>
    <w:rsid w:val="00C1443F"/>
    <w:rsid w:val="00C20543"/>
    <w:rsid w:val="00C2510C"/>
    <w:rsid w:val="00C326F9"/>
    <w:rsid w:val="00C37A29"/>
    <w:rsid w:val="00C41DED"/>
    <w:rsid w:val="00C55B88"/>
    <w:rsid w:val="00C55C51"/>
    <w:rsid w:val="00C55F57"/>
    <w:rsid w:val="00C70EFC"/>
    <w:rsid w:val="00C755A9"/>
    <w:rsid w:val="00C932F3"/>
    <w:rsid w:val="00CB7680"/>
    <w:rsid w:val="00CC2E3A"/>
    <w:rsid w:val="00CC4159"/>
    <w:rsid w:val="00CD38C9"/>
    <w:rsid w:val="00CD42AE"/>
    <w:rsid w:val="00CD61EB"/>
    <w:rsid w:val="00CE1F67"/>
    <w:rsid w:val="00CF02F0"/>
    <w:rsid w:val="00D0471C"/>
    <w:rsid w:val="00D16F74"/>
    <w:rsid w:val="00D567C3"/>
    <w:rsid w:val="00D57926"/>
    <w:rsid w:val="00D60649"/>
    <w:rsid w:val="00D61E88"/>
    <w:rsid w:val="00D82889"/>
    <w:rsid w:val="00D83923"/>
    <w:rsid w:val="00D938C6"/>
    <w:rsid w:val="00D9419D"/>
    <w:rsid w:val="00DA0931"/>
    <w:rsid w:val="00DA6E27"/>
    <w:rsid w:val="00DB40C3"/>
    <w:rsid w:val="00DC60EE"/>
    <w:rsid w:val="00DF4E3E"/>
    <w:rsid w:val="00DF637F"/>
    <w:rsid w:val="00E02F52"/>
    <w:rsid w:val="00E0453D"/>
    <w:rsid w:val="00E05FA6"/>
    <w:rsid w:val="00E25474"/>
    <w:rsid w:val="00E32F93"/>
    <w:rsid w:val="00E42E3C"/>
    <w:rsid w:val="00E47FB6"/>
    <w:rsid w:val="00E54B2B"/>
    <w:rsid w:val="00E6210A"/>
    <w:rsid w:val="00E80F52"/>
    <w:rsid w:val="00E908C9"/>
    <w:rsid w:val="00E956EC"/>
    <w:rsid w:val="00EA1943"/>
    <w:rsid w:val="00EA571F"/>
    <w:rsid w:val="00EC5640"/>
    <w:rsid w:val="00EC7A0E"/>
    <w:rsid w:val="00ED3430"/>
    <w:rsid w:val="00EE6F14"/>
    <w:rsid w:val="00EF3F23"/>
    <w:rsid w:val="00F01F8E"/>
    <w:rsid w:val="00F029D8"/>
    <w:rsid w:val="00F16030"/>
    <w:rsid w:val="00F162D4"/>
    <w:rsid w:val="00F4010B"/>
    <w:rsid w:val="00F459F3"/>
    <w:rsid w:val="00F4702C"/>
    <w:rsid w:val="00F505B8"/>
    <w:rsid w:val="00F53397"/>
    <w:rsid w:val="00F634F6"/>
    <w:rsid w:val="00F64343"/>
    <w:rsid w:val="00F8331E"/>
    <w:rsid w:val="00F863F7"/>
    <w:rsid w:val="00F87B07"/>
    <w:rsid w:val="00F90745"/>
    <w:rsid w:val="00F922BC"/>
    <w:rsid w:val="00F93598"/>
    <w:rsid w:val="00F94880"/>
    <w:rsid w:val="00FB0D65"/>
    <w:rsid w:val="00FB4A9F"/>
    <w:rsid w:val="00FC2D8B"/>
    <w:rsid w:val="00FD0FBF"/>
    <w:rsid w:val="00FD3306"/>
    <w:rsid w:val="00FE4005"/>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996111B4-459C-4959-8D99-F79B4FF4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ind w:left="284" w:hanging="284"/>
      <w:contextualSpacing/>
    </w:pPr>
  </w:style>
  <w:style w:type="paragraph" w:styleId="ListBullet2">
    <w:name w:val="List Bullet 2"/>
    <w:basedOn w:val="Normal"/>
    <w:uiPriority w:val="99"/>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rsid w:val="006C5112"/>
    <w:pPr>
      <w:spacing w:before="60" w:after="200" w:line="240" w:lineRule="atLeast"/>
    </w:pPr>
    <w:rPr>
      <w:rFonts w:eastAsia="Times New Roman" w:cs="Times New Roman"/>
      <w:color w:val="000000" w:themeColor="text1"/>
      <w:sz w:val="21"/>
      <w:szCs w:val="20"/>
    </w:rPr>
  </w:style>
  <w:style w:type="character" w:customStyle="1" w:styleId="BodyTextChar">
    <w:name w:val="Body Text Char"/>
    <w:basedOn w:val="DefaultParagraphFont"/>
    <w:link w:val="BodyText"/>
    <w:rsid w:val="006C5112"/>
    <w:rPr>
      <w:rFonts w:eastAsia="Times New Roman" w:cs="Times New Roman"/>
      <w:color w:val="000000" w:themeColor="text1"/>
      <w:sz w:val="21"/>
      <w:szCs w:val="20"/>
    </w:rPr>
  </w:style>
  <w:style w:type="paragraph" w:styleId="NormalWeb">
    <w:name w:val="Normal (Web)"/>
    <w:basedOn w:val="Normal"/>
    <w:uiPriority w:val="99"/>
    <w:unhideWhenUsed/>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5112"/>
  </w:style>
  <w:style w:type="character" w:customStyle="1" w:styleId="eop">
    <w:name w:val="eop"/>
    <w:basedOn w:val="DefaultParagraphFont"/>
    <w:rsid w:val="006C5112"/>
  </w:style>
  <w:style w:type="character" w:styleId="Strong">
    <w:name w:val="Strong"/>
    <w:basedOn w:val="DefaultParagraphFont"/>
    <w:uiPriority w:val="22"/>
    <w:qFormat/>
    <w:rsid w:val="00FE4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56784">
      <w:bodyDiv w:val="1"/>
      <w:marLeft w:val="0"/>
      <w:marRight w:val="0"/>
      <w:marTop w:val="0"/>
      <w:marBottom w:val="0"/>
      <w:divBdr>
        <w:top w:val="none" w:sz="0" w:space="0" w:color="auto"/>
        <w:left w:val="none" w:sz="0" w:space="0" w:color="auto"/>
        <w:bottom w:val="none" w:sz="0" w:space="0" w:color="auto"/>
        <w:right w:val="none" w:sz="0" w:space="0" w:color="auto"/>
      </w:divBdr>
      <w:divsChild>
        <w:div w:id="927159104">
          <w:marLeft w:val="0"/>
          <w:marRight w:val="0"/>
          <w:marTop w:val="0"/>
          <w:marBottom w:val="0"/>
          <w:divBdr>
            <w:top w:val="none" w:sz="0" w:space="0" w:color="auto"/>
            <w:left w:val="none" w:sz="0" w:space="0" w:color="auto"/>
            <w:bottom w:val="none" w:sz="0" w:space="0" w:color="auto"/>
            <w:right w:val="none" w:sz="0" w:space="0" w:color="auto"/>
          </w:divBdr>
        </w:div>
      </w:divsChild>
    </w:div>
    <w:div w:id="1854999800">
      <w:bodyDiv w:val="1"/>
      <w:marLeft w:val="0"/>
      <w:marRight w:val="0"/>
      <w:marTop w:val="0"/>
      <w:marBottom w:val="0"/>
      <w:divBdr>
        <w:top w:val="none" w:sz="0" w:space="0" w:color="auto"/>
        <w:left w:val="none" w:sz="0" w:space="0" w:color="auto"/>
        <w:bottom w:val="none" w:sz="0" w:space="0" w:color="auto"/>
        <w:right w:val="none" w:sz="0" w:space="0" w:color="auto"/>
      </w:divBdr>
      <w:divsChild>
        <w:div w:id="1629122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servictoria.com.au/contact/submit-an-enqui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nd.vic.gov.au/land-registration/customer-information-bulletins/2021/213"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land-registration/for-professionals/electronic-submission-of-paper-instrum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rvictoria.com.au/" TargetMode="External"/><Relationship Id="rId20" Type="http://schemas.openxmlformats.org/officeDocument/2006/relationships/hyperlink" Target="https://www.land.vic.gov.au/land-registration/customer-information-bulletins/2023/22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and.vic.gov.au/contact-us"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file:///C:\Users\ms77\Downloads\%3fa=635723"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land.vic.gov.au/land-registration/fees-guides-and-form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vic.gov.au/__data/assets/word_doc/0032/689117/Guide-to-Residual-Documents.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DOCID429-1761784066-735</_dlc_DocId>
    <_dlc_DocIdUrl xmlns="a5f32de4-e402-4188-b034-e71ca7d22e54">
      <Url>https://delwpvicgovau.sharepoint.com/sites/ecm_429/_layouts/15/DocIdRedir.aspx?ID=DOCID429-1761784066-735</Url>
      <Description>DOCID429-1761784066-735</Description>
    </_dlc_DocIdUrl>
  </documentManagement>
</p:properties>
</file>

<file path=customXml/item2.xml><?xml version="1.0" encoding="utf-8"?>
<?mso-contentType ?>
<SharedContentType xmlns="Microsoft.SharePoint.Taxonomy.ContentTypeSync" SourceId="797aeec6-0273-40f2-ab3e-beee73212332" ContentTypeId="0x0101002517F445A0F35E449C98AAD631F2B03849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c7a62468-d88b-4184-abb9-bf4a6a56f50b"/>
  </ds:schemaRefs>
</ds:datastoreItem>
</file>

<file path=customXml/itemProps2.xml><?xml version="1.0" encoding="utf-8"?>
<ds:datastoreItem xmlns:ds="http://schemas.openxmlformats.org/officeDocument/2006/customXml" ds:itemID="{0082821C-600E-4BA6-833B-D379583EC134}">
  <ds:schemaRefs>
    <ds:schemaRef ds:uri="Microsoft.SharePoint.Taxonomy.ContentTypeSync"/>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7EE7DF2C-6000-4912-81E0-FF0ADEF99DC2}">
  <ds:schemaRefs>
    <ds:schemaRef ds:uri="http://schemas.microsoft.com/office/2006/metadata/customXsn"/>
  </ds:schemaRefs>
</ds:datastoreItem>
</file>

<file path=customXml/itemProps5.xml><?xml version="1.0" encoding="utf-8"?>
<ds:datastoreItem xmlns:ds="http://schemas.openxmlformats.org/officeDocument/2006/customXml" ds:itemID="{C4EC31A4-F10A-4FDA-80D5-958F3DC44635}">
  <ds:schemaRefs>
    <ds:schemaRef ds:uri="http://schemas.microsoft.com/sharepoint/events"/>
  </ds:schemaRefs>
</ds:datastoreItem>
</file>

<file path=customXml/itemProps6.xml><?xml version="1.0" encoding="utf-8"?>
<ds:datastoreItem xmlns:ds="http://schemas.openxmlformats.org/officeDocument/2006/customXml" ds:itemID="{706FF470-759B-483E-902E-2F09FBA4E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Mark D Spence (DEECA)</cp:lastModifiedBy>
  <cp:revision>3</cp:revision>
  <cp:lastPrinted>2022-12-28T22:22:00Z</cp:lastPrinted>
  <dcterms:created xsi:type="dcterms:W3CDTF">2023-12-03T23:25:00Z</dcterms:created>
  <dcterms:modified xsi:type="dcterms:W3CDTF">2023-12-03T23:26:00Z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_dlc_DocIdItemGuid">
    <vt:lpwstr>1de2f0ea-2719-49de-9751-69e8b1aac26c</vt:lpwstr>
  </property>
  <property fmtid="{D5CDD505-2E9C-101B-9397-08002B2CF9AE}" pid="5" name="Section">
    <vt:lpwstr>7;#All|8270565e-a836-42c0-aa61-1ac7b0ff14aa</vt:lpwstr>
  </property>
  <property fmtid="{D5CDD505-2E9C-101B-9397-08002B2CF9AE}" pid="6" name="Agency">
    <vt:lpwstr>1;#Department of Environment, Land, Water and Planning|607a3f87-1228-4cd9-82a5-076aa8776274</vt:lpwstr>
  </property>
  <property fmtid="{D5CDD505-2E9C-101B-9397-08002B2CF9AE}" pid="7" name="Branch">
    <vt:lpwstr>4;#Land Registry Services|49f83574-4e0d-42dc-acdb-b58e9d81ab9b</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MSIP_Label_b92b7feb-b287-442c-a072-f385b02ec972_Enabled">
    <vt:lpwstr>true</vt:lpwstr>
  </property>
  <property fmtid="{D5CDD505-2E9C-101B-9397-08002B2CF9AE}" pid="21" name="MSIP_Label_b92b7feb-b287-442c-a072-f385b02ec972_SetDate">
    <vt:lpwstr>2023-12-03T23:26:09Z</vt:lpwstr>
  </property>
  <property fmtid="{D5CDD505-2E9C-101B-9397-08002B2CF9AE}" pid="22" name="MSIP_Label_b92b7feb-b287-442c-a072-f385b02ec972_Method">
    <vt:lpwstr>Privileged</vt:lpwstr>
  </property>
  <property fmtid="{D5CDD505-2E9C-101B-9397-08002B2CF9AE}" pid="23" name="MSIP_Label_b92b7feb-b287-442c-a072-f385b02ec972_Name">
    <vt:lpwstr>Unofficial</vt:lpwstr>
  </property>
  <property fmtid="{D5CDD505-2E9C-101B-9397-08002B2CF9AE}" pid="24" name="MSIP_Label_b92b7feb-b287-442c-a072-f385b02ec972_SiteId">
    <vt:lpwstr>e8bdd6f7-fc18-4e48-a554-7f547927223b</vt:lpwstr>
  </property>
  <property fmtid="{D5CDD505-2E9C-101B-9397-08002B2CF9AE}" pid="25" name="MSIP_Label_b92b7feb-b287-442c-a072-f385b02ec972_ActionId">
    <vt:lpwstr>b28acb04-6120-4fa4-9ce3-01f8c6118e7d</vt:lpwstr>
  </property>
  <property fmtid="{D5CDD505-2E9C-101B-9397-08002B2CF9AE}" pid="26" name="MSIP_Label_b92b7feb-b287-442c-a072-f385b02ec972_ContentBits">
    <vt:lpwstr>2</vt:lpwstr>
  </property>
</Properties>
</file>