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34"/>
        <w:rPr>
          <w:rFonts w:ascii="Times New Roman"/>
        </w:rPr>
      </w:pPr>
      <w:r>
        <w:rPr>
          <w:rFonts w:ascii="Times New Roman"/>
        </w:rPr>
        <w:pict>
          <v:group style="width:552.75pt;height:141.7pt;mso-position-horizontal-relative:char;mso-position-vertical-relative:line" coordorigin="0,0" coordsize="11055,2834">
            <v:rect style="position:absolute;left:0;top:0;width:11055;height:1417" filled="true" fillcolor="#00b1a9" stroked="false">
              <v:fill type="solid"/>
            </v:rect>
            <v:shape style="position:absolute;left:0;top:0;width:1360;height:1417" coordorigin="0,0" coordsize="1360,1417" path="m1360,0l0,0,678,1417,1360,0xe" filled="true" fillcolor="#b3272e" stroked="false">
              <v:path arrowok="t"/>
              <v:fill type="solid"/>
            </v:shape>
            <v:shape style="position:absolute;left:680;top:0;width:1360;height:1417" coordorigin="680,0" coordsize="1360,1417" path="m1360,0l680,1417,2040,1417,1360,0xe" filled="true" fillcolor="#1f1546" stroked="false">
              <v:path arrowok="t"/>
              <v:fill type="solid"/>
            </v:shape>
            <v:shape style="position:absolute;left:680;top:1417;width:1360;height:1417" coordorigin="680,1417" coordsize="1360,1417" path="m2040,1417l680,1417,1360,2834,2040,1417xe" filled="true" fillcolor="#e0a9ac" stroked="false">
              <v:path arrowok="t"/>
              <v:fill type="solid"/>
            </v:shape>
            <v:shapetype id="_x0000_t202" o:spt="202" coordsize="21600,21600" path="m,l,21600r21600,l21600,xe">
              <v:stroke joinstyle="miter"/>
              <v:path gradientshapeok="t" o:connecttype="rect"/>
            </v:shapetype>
            <v:shape style="position:absolute;left:4693;top:479;width:6039;height:447" type="#_x0000_t202" filled="false" stroked="false">
              <v:textbox inset="0,0,0,0">
                <w:txbxContent>
                  <w:p>
                    <w:pPr>
                      <w:spacing w:line="447" w:lineRule="exact" w:before="0"/>
                      <w:ind w:left="0" w:right="0" w:firstLine="0"/>
                      <w:jc w:val="left"/>
                      <w:rPr>
                        <w:b/>
                        <w:sz w:val="40"/>
                      </w:rPr>
                    </w:pPr>
                    <w:r>
                      <w:rPr>
                        <w:b/>
                        <w:color w:val="FFFFFF"/>
                        <w:sz w:val="40"/>
                      </w:rPr>
                      <w:t>Vicmap™ </w:t>
                    </w:r>
                    <w:r>
                      <w:rPr>
                        <w:b/>
                        <w:color w:val="FFFFFF"/>
                        <w:spacing w:val="-3"/>
                        <w:sz w:val="40"/>
                      </w:rPr>
                      <w:t>Product</w:t>
                    </w:r>
                    <w:r>
                      <w:rPr>
                        <w:b/>
                        <w:color w:val="FFFFFF"/>
                        <w:spacing w:val="-33"/>
                        <w:sz w:val="40"/>
                      </w:rPr>
                      <w:t> </w:t>
                    </w:r>
                    <w:r>
                      <w:rPr>
                        <w:b/>
                        <w:color w:val="FFFFFF"/>
                        <w:sz w:val="40"/>
                      </w:rPr>
                      <w:t>Development</w:t>
                    </w:r>
                  </w:p>
                </w:txbxContent>
              </v:textbox>
              <w10:wrap type="none"/>
            </v:shape>
            <v:shape style="position:absolute;left:6124;top:1883;width:4612;height:313" type="#_x0000_t202" filled="false" stroked="false">
              <v:textbox inset="0,0,0,0">
                <w:txbxContent>
                  <w:p>
                    <w:pPr>
                      <w:spacing w:line="313" w:lineRule="exact" w:before="0"/>
                      <w:ind w:left="0" w:right="0" w:firstLine="0"/>
                      <w:jc w:val="left"/>
                      <w:rPr>
                        <w:sz w:val="28"/>
                      </w:rPr>
                    </w:pPr>
                    <w:r>
                      <w:rPr>
                        <w:color w:val="B3272E"/>
                        <w:sz w:val="28"/>
                      </w:rPr>
                      <w:t>Change </w:t>
                    </w:r>
                    <w:r>
                      <w:rPr>
                        <w:color w:val="B3272E"/>
                        <w:spacing w:val="-3"/>
                        <w:sz w:val="28"/>
                      </w:rPr>
                      <w:t>Notice </w:t>
                    </w:r>
                    <w:r>
                      <w:rPr>
                        <w:color w:val="B3272E"/>
                        <w:sz w:val="28"/>
                      </w:rPr>
                      <w:t># 249 </w:t>
                    </w:r>
                    <w:r>
                      <w:rPr>
                        <w:color w:val="B3272E"/>
                        <w:spacing w:val="-3"/>
                        <w:sz w:val="28"/>
                      </w:rPr>
                      <w:t>Advisory </w:t>
                    </w:r>
                    <w:r>
                      <w:rPr>
                        <w:color w:val="B3272E"/>
                        <w:sz w:val="28"/>
                      </w:rPr>
                      <w:t>Notice</w:t>
                    </w:r>
                  </w:p>
                </w:txbxContent>
              </v:textbox>
              <w10:wrap type="none"/>
            </v:shape>
          </v:group>
        </w:pict>
      </w:r>
      <w:r>
        <w:rPr>
          <w:rFonts w:ascii="Times New Roman"/>
        </w:rPr>
      </w:r>
    </w:p>
    <w:p>
      <w:pPr>
        <w:pStyle w:val="BodyText"/>
        <w:rPr>
          <w:rFonts w:ascii="Times New Roman"/>
          <w:sz w:val="9"/>
        </w:rPr>
      </w:pPr>
      <w:r>
        <w:rPr/>
        <w:drawing>
          <wp:anchor distT="0" distB="0" distL="0" distR="0" allowOverlap="1" layoutInCell="1" locked="0" behindDoc="0" simplePos="0" relativeHeight="3">
            <wp:simplePos x="0" y="0"/>
            <wp:positionH relativeFrom="page">
              <wp:posOffset>269875</wp:posOffset>
            </wp:positionH>
            <wp:positionV relativeFrom="paragraph">
              <wp:posOffset>90805</wp:posOffset>
            </wp:positionV>
            <wp:extent cx="7013762" cy="1975103"/>
            <wp:effectExtent l="0" t="0" r="0" b="0"/>
            <wp:wrapTopAndBottom/>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7013762" cy="1975103"/>
                    </a:xfrm>
                    <a:prstGeom prst="rect">
                      <a:avLst/>
                    </a:prstGeom>
                  </pic:spPr>
                </pic:pic>
              </a:graphicData>
            </a:graphic>
          </wp:anchor>
        </w:drawing>
      </w:r>
    </w:p>
    <w:p>
      <w:pPr>
        <w:pStyle w:val="Title"/>
      </w:pPr>
      <w:r>
        <w:rPr>
          <w:color w:val="B3272E"/>
        </w:rPr>
        <w:t>Vicmap Address</w:t>
      </w:r>
    </w:p>
    <w:p>
      <w:pPr>
        <w:pStyle w:val="Heading1"/>
        <w:spacing w:before="246"/>
      </w:pPr>
      <w:bookmarkStart w:name="What is happening" w:id="1"/>
      <w:bookmarkEnd w:id="1"/>
      <w:r>
        <w:rPr>
          <w:b w:val="0"/>
        </w:rPr>
      </w:r>
      <w:r>
        <w:rPr>
          <w:color w:val="B3272E"/>
        </w:rPr>
        <w:t>What is happening</w:t>
      </w:r>
    </w:p>
    <w:p>
      <w:pPr>
        <w:pStyle w:val="BodyText"/>
        <w:spacing w:before="3"/>
        <w:rPr>
          <w:b/>
          <w:sz w:val="22"/>
        </w:rPr>
      </w:pPr>
    </w:p>
    <w:p>
      <w:pPr>
        <w:pStyle w:val="BodyText"/>
        <w:spacing w:line="249" w:lineRule="auto"/>
        <w:ind w:left="530" w:right="555"/>
      </w:pPr>
      <w:r>
        <w:rPr/>
        <w:t>A new attribute COMPLEX_SITE will be added to the Vicmap Address product. This attribute will identify addresses that are associated with complex sites ie retirement villages, caravan parks.</w:t>
      </w:r>
    </w:p>
    <w:p>
      <w:pPr>
        <w:pStyle w:val="BodyText"/>
        <w:spacing w:before="122"/>
        <w:ind w:left="530"/>
      </w:pPr>
      <w:r>
        <w:rPr/>
        <w:t>The valid attributes for these attributes are in the table below.</w:t>
      </w:r>
    </w:p>
    <w:p>
      <w:pPr>
        <w:pStyle w:val="BodyText"/>
        <w:spacing w:before="2"/>
        <w:rPr>
          <w:sz w:val="10"/>
        </w:rPr>
      </w:pPr>
    </w:p>
    <w:tbl>
      <w:tblPr>
        <w:tblW w:w="0" w:type="auto"/>
        <w:jc w:val="left"/>
        <w:tblInd w:w="5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371"/>
        <w:gridCol w:w="6848"/>
      </w:tblGrid>
      <w:tr>
        <w:trPr>
          <w:trHeight w:val="400" w:hRule="atLeast"/>
        </w:trPr>
        <w:tc>
          <w:tcPr>
            <w:tcW w:w="3371" w:type="dxa"/>
            <w:tcBorders>
              <w:top w:val="single" w:sz="8" w:space="0" w:color="B3272E"/>
              <w:bottom w:val="single" w:sz="8" w:space="0" w:color="B3272E"/>
            </w:tcBorders>
            <w:shd w:val="clear" w:color="auto" w:fill="D9D9D9"/>
          </w:tcPr>
          <w:p>
            <w:pPr>
              <w:pStyle w:val="TableParagraph"/>
              <w:ind w:left="124"/>
              <w:rPr>
                <w:sz w:val="18"/>
              </w:rPr>
            </w:pPr>
            <w:r>
              <w:rPr>
                <w:sz w:val="18"/>
              </w:rPr>
              <w:t>Attribute Name</w:t>
            </w:r>
          </w:p>
        </w:tc>
        <w:tc>
          <w:tcPr>
            <w:tcW w:w="6848" w:type="dxa"/>
            <w:tcBorders>
              <w:top w:val="single" w:sz="8" w:space="0" w:color="B3272E"/>
              <w:bottom w:val="single" w:sz="8" w:space="0" w:color="B3272E"/>
            </w:tcBorders>
            <w:shd w:val="clear" w:color="auto" w:fill="D9D9D9"/>
          </w:tcPr>
          <w:p>
            <w:pPr>
              <w:pStyle w:val="TableParagraph"/>
              <w:ind w:left="1865"/>
              <w:rPr>
                <w:sz w:val="18"/>
              </w:rPr>
            </w:pPr>
            <w:r>
              <w:rPr>
                <w:sz w:val="18"/>
              </w:rPr>
              <w:t>Valid Attributes</w:t>
            </w:r>
          </w:p>
        </w:tc>
      </w:tr>
      <w:tr>
        <w:trPr>
          <w:trHeight w:val="400" w:hRule="atLeast"/>
        </w:trPr>
        <w:tc>
          <w:tcPr>
            <w:tcW w:w="3371" w:type="dxa"/>
            <w:tcBorders>
              <w:top w:val="single" w:sz="8" w:space="0" w:color="B3272E"/>
              <w:bottom w:val="single" w:sz="8" w:space="0" w:color="B3272E"/>
            </w:tcBorders>
          </w:tcPr>
          <w:p>
            <w:pPr>
              <w:pStyle w:val="TableParagraph"/>
              <w:ind w:left="124"/>
              <w:rPr>
                <w:sz w:val="18"/>
              </w:rPr>
            </w:pPr>
            <w:r>
              <w:rPr>
                <w:sz w:val="18"/>
              </w:rPr>
              <w:t>COMPLEX_SITE</w:t>
            </w:r>
          </w:p>
        </w:tc>
        <w:tc>
          <w:tcPr>
            <w:tcW w:w="6848" w:type="dxa"/>
            <w:tcBorders>
              <w:top w:val="single" w:sz="8" w:space="0" w:color="B3272E"/>
              <w:bottom w:val="single" w:sz="8" w:space="0" w:color="B3272E"/>
            </w:tcBorders>
          </w:tcPr>
          <w:p>
            <w:pPr>
              <w:pStyle w:val="TableParagraph"/>
              <w:ind w:left="1865"/>
              <w:rPr>
                <w:sz w:val="18"/>
              </w:rPr>
            </w:pPr>
            <w:r>
              <w:rPr>
                <w:sz w:val="18"/>
              </w:rPr>
              <w:t>Y or N</w:t>
            </w:r>
          </w:p>
        </w:tc>
      </w:tr>
    </w:tbl>
    <w:p>
      <w:pPr>
        <w:pStyle w:val="BodyText"/>
        <w:rPr>
          <w:sz w:val="22"/>
        </w:rPr>
      </w:pPr>
    </w:p>
    <w:p>
      <w:pPr>
        <w:pStyle w:val="BodyText"/>
      </w:pPr>
    </w:p>
    <w:p>
      <w:pPr>
        <w:pStyle w:val="Heading1"/>
      </w:pPr>
      <w:bookmarkStart w:name="Why this change is occurring" w:id="2"/>
      <w:bookmarkEnd w:id="2"/>
      <w:r>
        <w:rPr>
          <w:b w:val="0"/>
        </w:rPr>
      </w:r>
      <w:r>
        <w:rPr>
          <w:color w:val="B3272E"/>
        </w:rPr>
        <w:t>Why this change is occurring</w:t>
      </w:r>
    </w:p>
    <w:p>
      <w:pPr>
        <w:spacing w:before="116"/>
        <w:ind w:left="530" w:right="0" w:firstLine="0"/>
        <w:jc w:val="left"/>
        <w:rPr>
          <w:b/>
          <w:sz w:val="20"/>
        </w:rPr>
      </w:pPr>
      <w:r>
        <w:rPr>
          <w:b/>
          <w:sz w:val="20"/>
        </w:rPr>
        <w:t>Vicmap Address - Complex Site</w:t>
      </w:r>
    </w:p>
    <w:p>
      <w:pPr>
        <w:pStyle w:val="BodyText"/>
        <w:spacing w:line="249" w:lineRule="auto" w:before="131"/>
        <w:ind w:left="530" w:right="830"/>
        <w:jc w:val="both"/>
      </w:pPr>
      <w:r>
        <w:rPr/>
        <w:t>Not all complex sites are individually rated by Local Government and therefore these sites are assigned a single property and address. This has proven to be an issue for emergency dispatch. To satisfy the emergency service dispatch, individual complex site addresses have been captured through an internal project. Whilst this corrected the problem at a point in time no sustainable maintenance regime was put in place to keep it current.</w:t>
      </w:r>
    </w:p>
    <w:p>
      <w:pPr>
        <w:pStyle w:val="BodyText"/>
        <w:spacing w:line="249" w:lineRule="auto" w:before="123"/>
        <w:ind w:left="530" w:right="776"/>
      </w:pPr>
      <w:r>
        <w:rPr/>
        <w:t>Also, automation processes in the address maintenance process, have over written or retired these captured complex site addresses with the single LGA address information. Thus, undoing all the good work of the complex addressing project.</w:t>
      </w:r>
    </w:p>
    <w:p>
      <w:pPr>
        <w:pStyle w:val="BodyText"/>
        <w:spacing w:line="249" w:lineRule="auto" w:before="123"/>
        <w:ind w:left="530" w:right="920"/>
      </w:pPr>
      <w:r>
        <w:rPr/>
        <w:pict>
          <v:rect style="position:absolute;margin-left:491.053986pt;margin-top:140.913559pt;width:.256594pt;height:24.112685pt;mso-position-horizontal-relative:page;mso-position-vertical-relative:paragraph;z-index:15732224" filled="true" fillcolor="#0062a4" stroked="false">
            <v:fill type="solid"/>
            <w10:wrap type="none"/>
          </v:rect>
        </w:pict>
      </w:r>
      <w:r>
        <w:rPr/>
        <w:t>The addition of this attribute will enable the maintainer to flag that an address edit is trying to change a complex site address, instead of over writing the information. These flagged records will need to be verified as valid corrections prior to changes occurring.</w:t>
      </w:r>
    </w:p>
    <w:p>
      <w:pPr>
        <w:pStyle w:val="BodyText"/>
      </w:pPr>
    </w:p>
    <w:p>
      <w:pPr>
        <w:pStyle w:val="BodyText"/>
      </w:pPr>
    </w:p>
    <w:p>
      <w:pPr>
        <w:pStyle w:val="BodyText"/>
      </w:pPr>
    </w:p>
    <w:p>
      <w:pPr>
        <w:pStyle w:val="BodyText"/>
      </w:pPr>
    </w:p>
    <w:p>
      <w:pPr>
        <w:pStyle w:val="BodyText"/>
      </w:pPr>
    </w:p>
    <w:p>
      <w:pPr>
        <w:pStyle w:val="BodyText"/>
      </w:pPr>
    </w:p>
    <w:p>
      <w:pPr>
        <w:pStyle w:val="BodyText"/>
        <w:spacing w:before="2"/>
        <w:rPr>
          <w:sz w:val="23"/>
        </w:rPr>
      </w:pPr>
      <w:r>
        <w:rPr/>
        <w:drawing>
          <wp:anchor distT="0" distB="0" distL="0" distR="0" allowOverlap="1" layoutInCell="1" locked="0" behindDoc="0" simplePos="0" relativeHeight="4">
            <wp:simplePos x="0" y="0"/>
            <wp:positionH relativeFrom="page">
              <wp:posOffset>542925</wp:posOffset>
            </wp:positionH>
            <wp:positionV relativeFrom="paragraph">
              <wp:posOffset>263400</wp:posOffset>
            </wp:positionV>
            <wp:extent cx="486433" cy="504063"/>
            <wp:effectExtent l="0" t="0" r="0" b="0"/>
            <wp:wrapTopAndBottom/>
            <wp:docPr id="3" name="image2.png"/>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486433" cy="504063"/>
                    </a:xfrm>
                    <a:prstGeom prst="rect">
                      <a:avLst/>
                    </a:prstGeom>
                  </pic:spPr>
                </pic:pic>
              </a:graphicData>
            </a:graphic>
          </wp:anchor>
        </w:drawing>
      </w:r>
      <w:r>
        <w:rPr/>
        <w:pict>
          <v:group style="position:absolute;margin-left:404.587646pt;margin-top:15.281992pt;width:76.25pt;height:43.65pt;mso-position-horizontal-relative:page;mso-position-vertical-relative:paragraph;z-index:-15726080;mso-wrap-distance-left:0;mso-wrap-distance-right:0" coordorigin="8092,306" coordsize="1525,873">
            <v:shape style="position:absolute;left:9415;top:598;width:201;height:190" type="#_x0000_t75" stroked="false">
              <v:imagedata r:id="rId7" o:title=""/>
            </v:shape>
            <v:shape style="position:absolute;left:8091;top:305;width:827;height:873" coordorigin="8092,306" coordsize="827,873" path="m8918,306l8092,306,8230,598,8513,598,8513,788,8323,788,8502,1178,8687,793,8641,793,8601,786,8568,765,8546,735,8538,696,8546,654,8568,621,8601,600,8641,593,8782,593,8918,306xm8692,783l8680,789,8666,792,8653,793,8641,793,8687,793,8692,783xm8461,598l8446,598,8353,788,8461,788,8461,598xm8846,644l8795,644,8795,788,8846,788,8846,644xm8641,644l8623,648,8608,658,8598,675,8595,696,8598,714,8608,728,8623,738,8641,742,8655,741,8668,737,8678,731,8687,721,8720,721,8749,665,8687,665,8678,655,8668,649,8655,645,8641,644xm8720,721l8687,721,8713,737,8720,721xm8384,598l8287,598,8338,701,8384,598xm8782,593l8641,593,8668,596,8693,604,8715,619,8733,639,8687,665,8749,665,8759,644,8903,644,8903,598,8779,598,8782,593xe" filled="true" fillcolor="#0062a4" stroked="false">
              <v:path arrowok="t"/>
              <v:fill type="solid"/>
            </v:shape>
            <v:shape style="position:absolute;left:8907;top:592;width:483;height:201" type="#_x0000_t75" stroked="false">
              <v:imagedata r:id="rId8" o:title=""/>
            </v:shape>
            <v:shape style="position:absolute;left:8789;top:864;width:791;height:216" coordorigin="8790,865" coordsize="791,216" path="m8861,916l8851,906,8836,906,8820,901,8810,901,8810,885,8815,880,8831,880,8841,891,8856,885,8855,880,8851,870,8841,865,8826,865,8811,867,8800,872,8792,880,8790,891,8790,911,8805,916,8815,916,8831,921,8841,921,8841,937,8836,942,8815,942,8805,932,8790,937,8795,946,8804,953,8814,956,8826,957,8840,955,8851,950,8859,942,8859,942,8861,932,8861,916xm8882,1029l8841,1029,8841,1044,8861,1044,8861,1060,8851,1065,8836,1065,8825,1063,8815,1057,8808,1048,8805,1034,8808,1024,8815,1016,8825,1010,8836,1009,8851,1009,8856,1014,8864,1009,8872,1003,8861,993,8851,988,8836,988,8818,992,8803,1001,8793,1016,8790,1034,8793,1054,8803,1069,8818,1077,8836,1080,8854,1077,8869,1069,8871,1065,8878,1054,8882,1034,8882,1029xm8923,952l8920,942,8918,937,8913,942,8903,942,8897,937,8897,906,8918,906,8918,891,8897,891,8897,870,8877,870,8877,891,8867,891,8867,906,8877,906,8877,932,8879,944,8885,952,8894,956,8908,957,8918,957,8923,952xm8959,1050l8956,1035,8952,1029,8949,1024,8944,1021,8944,1034,8944,1060,8933,1065,8913,1065,8903,1060,8903,1034,8913,1029,8933,1029,8944,1034,8944,1021,8937,1016,8923,1014,8909,1016,8897,1024,8890,1035,8887,1050,8890,1063,8897,1073,8909,1078,8923,1080,8937,1078,8949,1073,8955,1065,8956,1063,8959,1050xm8995,891l8980,891,8980,896,8980,911,8980,937,8969,942,8949,942,8944,937,8944,911,8949,901,8969,901,8980,911,8980,896,8979,896,8974,891,8964,885,8959,885,8945,888,8933,896,8926,907,8923,921,8926,936,8933,947,8945,954,8959,957,8974,957,8980,952,8980,957,8995,957,8995,952,8995,942,8995,901,8995,896,8995,891xm9036,1014l9015,1014,9000,1060,8980,1014,8964,1014,8990,1080,9010,1080,9036,1014xm9062,952l9058,942,9056,937,9051,942,9041,942,9036,937,9036,906,9056,906,9056,891,9036,891,9036,870,9015,870,9015,891,9005,891,9005,906,9015,906,9015,932,9017,944,9023,952,9033,956,9046,957,9056,957,9062,952xm9108,1044l9107,1039,9105,1031,9104,1029,9098,1021,9087,1016,9087,1029,9087,1039,9056,1039,9056,1029,9087,1029,9087,1016,9086,1016,9072,1014,9061,1016,9051,1024,9044,1035,9041,1050,9044,1063,9051,1073,9061,1078,9072,1080,9098,1080,9103,1070,9087,1060,9087,1065,9077,1070,9067,1070,9056,1060,9056,1055,9108,1055,9108,1044xm9133,921l9131,916,9128,907,9123,901,9119,896,9113,891,9113,906,9113,916,9082,916,9082,906,9092,901,9103,901,9113,906,9113,891,9109,888,9098,885,9083,888,9072,896,9064,907,9062,921,9064,936,9072,947,9083,954,9098,957,9113,957,9123,952,9128,942,9113,937,9108,942,9087,942,9082,937,9082,926,9133,926,9133,921xm9164,1014l9149,1014,9139,1019,9133,1024,9133,1014,9118,1014,9118,1080,9133,1080,9133,1060,9135,1046,9141,1037,9149,1031,9159,1029,9164,1029,9164,1024,9164,1014xm9236,1024l9231,1019,9226,1014,9195,1014,9190,1019,9190,1014,9174,1014,9174,1080,9190,1080,9190,1034,9195,1029,9216,1029,9221,1034,9221,1080,9236,1080,9236,1029,9236,1024xm9364,1039l9362,1029,9362,1029,9358,1024,9355,1021,9345,1015,9334,1014,9323,1014,9313,1024,9310,1019,9308,1014,9272,1014,9251,1014,9251,1080,9272,1080,9272,1034,9277,1029,9293,1029,9298,1034,9298,1080,9318,1080,9318,1034,9323,1029,9339,1029,9344,1034,9344,1080,9364,1080,9364,1039xm9441,1044l9439,1039,9436,1031,9434,1029,9427,1021,9421,1018,9421,1029,9421,1039,9390,1039,9390,1029,9421,1029,9421,1018,9417,1016,9405,1014,9391,1016,9380,1024,9372,1035,9370,1050,9372,1063,9380,1073,9391,1078,9405,1080,9431,1080,9436,1070,9421,1060,9411,1070,9395,1070,9390,1060,9390,1055,9441,1055,9441,1044xm9513,1024l9508,1019,9503,1014,9472,1014,9467,1019,9467,1014,9452,1014,9452,1080,9467,1080,9467,1034,9472,1029,9493,1029,9498,1034,9498,1080,9513,1080,9513,1029,9513,1024xm9580,1080l9575,1065,9554,1065,9554,1029,9575,1029,9575,1014,9554,1014,9554,993,9534,993,9534,1014,9518,1014,9518,1029,9534,1029,9534,1075,9544,1080,9580,1080xe" filled="true" fillcolor="#0062a4" stroked="false">
              <v:path arrowok="t"/>
              <v:fill type="solid"/>
            </v:shape>
            <w10:wrap type="topAndBottom"/>
          </v:group>
        </w:pict>
      </w:r>
      <w:r>
        <w:rPr/>
        <w:drawing>
          <wp:anchor distT="0" distB="0" distL="0" distR="0" allowOverlap="1" layoutInCell="1" locked="0" behindDoc="0" simplePos="0" relativeHeight="6">
            <wp:simplePos x="0" y="0"/>
            <wp:positionH relativeFrom="page">
              <wp:posOffset>6363428</wp:posOffset>
            </wp:positionH>
            <wp:positionV relativeFrom="paragraph">
              <wp:posOffset>376520</wp:posOffset>
            </wp:positionV>
            <wp:extent cx="674094" cy="325469"/>
            <wp:effectExtent l="0" t="0" r="0" b="0"/>
            <wp:wrapTopAndBottom/>
            <wp:docPr id="5" name="image5.png"/>
            <wp:cNvGraphicFramePr>
              <a:graphicFrameLocks noChangeAspect="1"/>
            </wp:cNvGraphicFramePr>
            <a:graphic>
              <a:graphicData uri="http://schemas.openxmlformats.org/drawingml/2006/picture">
                <pic:pic>
                  <pic:nvPicPr>
                    <pic:cNvPr id="6" name="image5.png"/>
                    <pic:cNvPicPr/>
                  </pic:nvPicPr>
                  <pic:blipFill>
                    <a:blip r:embed="rId9" cstate="print"/>
                    <a:stretch>
                      <a:fillRect/>
                    </a:stretch>
                  </pic:blipFill>
                  <pic:spPr>
                    <a:xfrm>
                      <a:off x="0" y="0"/>
                      <a:ext cx="674094" cy="325469"/>
                    </a:xfrm>
                    <a:prstGeom prst="rect">
                      <a:avLst/>
                    </a:prstGeom>
                  </pic:spPr>
                </pic:pic>
              </a:graphicData>
            </a:graphic>
          </wp:anchor>
        </w:drawing>
      </w:r>
    </w:p>
    <w:p>
      <w:pPr>
        <w:spacing w:after="0"/>
        <w:rPr>
          <w:sz w:val="23"/>
        </w:rPr>
        <w:sectPr>
          <w:type w:val="continuous"/>
          <w:pgSz w:w="11910" w:h="16840"/>
          <w:pgMar w:top="460" w:bottom="280" w:left="320" w:right="280"/>
        </w:sectPr>
      </w:pPr>
    </w:p>
    <w:p>
      <w:pPr>
        <w:pStyle w:val="BodyText"/>
        <w:ind w:left="134"/>
      </w:pPr>
      <w:r>
        <w:rPr/>
        <w:pict>
          <v:group style="position:absolute;margin-left:42.806484pt;margin-top:672.200317pt;width:51.1pt;height:17.75pt;mso-position-horizontal-relative:page;mso-position-vertical-relative:page;z-index:-15812096" coordorigin="856,13444" coordsize="1022,355">
            <v:rect style="position:absolute;left:861;top:13448;width:1012;height:345" filled="true" fillcolor="#abb1ac" stroked="false">
              <v:fill type="solid"/>
            </v:rect>
            <v:shape style="position:absolute;left:856;top:13444;width:1022;height:355" coordorigin="856,13444" coordsize="1022,355" path="m1873,13444l866,13444,856,13454,856,13798,1878,13798,1878,13773,1031,13773,991,13768,955,13752,924,13727,901,13693,866,13693,866,13459,871,13454,1878,13454,1873,13444xm1878,13454l1868,13454,1873,13459,1873,13693,1167,13693,1141,13727,1110,13752,1074,13768,1031,13773,1878,13773,1878,13454xe" filled="true" fillcolor="#000000" stroked="false">
              <v:path arrowok="t"/>
              <v:fill type="solid"/>
            </v:shape>
            <v:shape style="position:absolute;left:1457;top:13723;width:106;height:55" coordorigin="1457,13723" coordsize="106,55" path="m1507,13753l1502,13753,1502,13748,1497,13748,1502,13743,1502,13733,1502,13728,1497,13723,1492,13723,1492,13733,1492,13743,1492,13753,1492,13768,1472,13768,1472,13753,1492,13753,1492,13743,1472,13743,1472,13733,1492,13733,1492,13723,1457,13723,1457,13778,1497,13778,1497,13773,1502,13773,1502,13768,1507,13768,1507,13753xm1562,13723l1547,13723,1537,13743,1522,13723,1507,13723,1527,13758,1527,13778,1542,13778,1542,13758,1562,13723xe" filled="true" fillcolor="#ffffff" stroked="false">
              <v:path arrowok="t"/>
              <v:fill type="solid"/>
            </v:shape>
            <v:shape style="position:absolute;left:901;top:13478;width:266;height:265" type="#_x0000_t75" stroked="false">
              <v:imagedata r:id="rId10" o:title=""/>
            </v:shape>
            <v:shape style="position:absolute;left:1407;top:13473;width:201;height:195" type="#_x0000_t75" stroked="false">
              <v:imagedata r:id="rId11" o:title=""/>
            </v:shape>
            <w10:wrap type="none"/>
          </v:group>
        </w:pict>
      </w:r>
      <w:r>
        <w:rPr/>
        <w:pict>
          <v:group style="width:552.75pt;height:70.850pt;mso-position-horizontal-relative:char;mso-position-vertical-relative:line" coordorigin="0,0" coordsize="11055,1417">
            <v:rect style="position:absolute;left:0;top:0;width:11055;height:1417" filled="true" fillcolor="#00b1a9" stroked="false">
              <v:fill type="solid"/>
            </v:rect>
            <v:shape style="position:absolute;left:0;top:0;width:1360;height:1417" coordorigin="0,0" coordsize="1360,1417" path="m1360,0l0,0,678,1417,1360,0xe" filled="true" fillcolor="#b3272e" stroked="false">
              <v:path arrowok="t"/>
              <v:fill type="solid"/>
            </v:shape>
            <v:shape style="position:absolute;left:680;top:0;width:1360;height:1417" coordorigin="680,0" coordsize="1360,1417" path="m1360,0l680,1417,2040,1417,1360,0xe" filled="true" fillcolor="#1f1546" stroked="false">
              <v:path arrowok="t"/>
              <v:fill type="solid"/>
            </v:shape>
            <v:shape style="position:absolute;left:0;top:0;width:11055;height:1417" type="#_x0000_t202" filled="false" stroked="false">
              <v:textbox inset="0,0,0,0">
                <w:txbxContent>
                  <w:p>
                    <w:pPr>
                      <w:spacing w:line="240" w:lineRule="auto" w:before="6"/>
                      <w:rPr>
                        <w:sz w:val="40"/>
                      </w:rPr>
                    </w:pPr>
                  </w:p>
                  <w:p>
                    <w:pPr>
                      <w:spacing w:before="0"/>
                      <w:ind w:left="4643" w:right="0" w:firstLine="0"/>
                      <w:jc w:val="left"/>
                      <w:rPr>
                        <w:b/>
                        <w:sz w:val="40"/>
                      </w:rPr>
                    </w:pPr>
                    <w:r>
                      <w:rPr>
                        <w:b/>
                        <w:color w:val="FFFFFF"/>
                        <w:sz w:val="40"/>
                      </w:rPr>
                      <w:t>Vicmap™ Product Development</w:t>
                    </w:r>
                  </w:p>
                </w:txbxContent>
              </v:textbox>
              <w10:wrap type="none"/>
            </v:shape>
          </v:group>
        </w:pict>
      </w:r>
      <w:r>
        <w:rPr/>
      </w:r>
    </w:p>
    <w:p>
      <w:pPr>
        <w:pStyle w:val="BodyText"/>
        <w:spacing w:before="4"/>
        <w:rPr>
          <w:sz w:val="18"/>
        </w:rPr>
      </w:pPr>
    </w:p>
    <w:p>
      <w:pPr>
        <w:pStyle w:val="Heading1"/>
        <w:spacing w:before="93"/>
      </w:pPr>
      <w:bookmarkStart w:name="Who will it affect?" w:id="3"/>
      <w:bookmarkEnd w:id="3"/>
      <w:r>
        <w:rPr>
          <w:b w:val="0"/>
        </w:rPr>
      </w:r>
      <w:r>
        <w:rPr>
          <w:color w:val="B3272E"/>
        </w:rPr>
        <w:t>Who will it affect?</w:t>
      </w:r>
    </w:p>
    <w:p>
      <w:pPr>
        <w:pStyle w:val="BodyText"/>
        <w:spacing w:line="249" w:lineRule="auto" w:before="116"/>
        <w:ind w:left="530" w:right="776"/>
      </w:pPr>
      <w:r>
        <w:rPr>
          <w:color w:val="363534"/>
        </w:rPr>
        <w:t>This</w:t>
      </w:r>
      <w:r>
        <w:rPr>
          <w:color w:val="363534"/>
          <w:spacing w:val="-3"/>
        </w:rPr>
        <w:t> </w:t>
      </w:r>
      <w:r>
        <w:rPr>
          <w:color w:val="363534"/>
        </w:rPr>
        <w:t>change</w:t>
      </w:r>
      <w:r>
        <w:rPr>
          <w:color w:val="363534"/>
          <w:spacing w:val="-4"/>
        </w:rPr>
        <w:t> </w:t>
      </w:r>
      <w:r>
        <w:rPr>
          <w:color w:val="363534"/>
        </w:rPr>
        <w:t>will</w:t>
      </w:r>
      <w:r>
        <w:rPr>
          <w:color w:val="363534"/>
          <w:spacing w:val="-2"/>
        </w:rPr>
        <w:t> </w:t>
      </w:r>
      <w:r>
        <w:rPr>
          <w:color w:val="363534"/>
        </w:rPr>
        <w:t>affect</w:t>
      </w:r>
      <w:r>
        <w:rPr>
          <w:color w:val="363534"/>
          <w:spacing w:val="-5"/>
        </w:rPr>
        <w:t> </w:t>
      </w:r>
      <w:r>
        <w:rPr>
          <w:color w:val="363534"/>
        </w:rPr>
        <w:t>LGA’s</w:t>
      </w:r>
      <w:r>
        <w:rPr>
          <w:color w:val="363534"/>
          <w:spacing w:val="-2"/>
        </w:rPr>
        <w:t> </w:t>
      </w:r>
      <w:r>
        <w:rPr>
          <w:color w:val="363534"/>
        </w:rPr>
        <w:t>as</w:t>
      </w:r>
      <w:r>
        <w:rPr>
          <w:color w:val="363534"/>
          <w:spacing w:val="-4"/>
        </w:rPr>
        <w:t> </w:t>
      </w:r>
      <w:r>
        <w:rPr>
          <w:color w:val="363534"/>
        </w:rPr>
        <w:t>they</w:t>
      </w:r>
      <w:r>
        <w:rPr>
          <w:color w:val="363534"/>
          <w:spacing w:val="-3"/>
        </w:rPr>
        <w:t> </w:t>
      </w:r>
      <w:r>
        <w:rPr>
          <w:color w:val="363534"/>
        </w:rPr>
        <w:t>will</w:t>
      </w:r>
      <w:r>
        <w:rPr>
          <w:color w:val="363534"/>
          <w:spacing w:val="-4"/>
        </w:rPr>
        <w:t> </w:t>
      </w:r>
      <w:r>
        <w:rPr>
          <w:color w:val="363534"/>
        </w:rPr>
        <w:t>be</w:t>
      </w:r>
      <w:r>
        <w:rPr>
          <w:color w:val="363534"/>
          <w:spacing w:val="-4"/>
        </w:rPr>
        <w:t> </w:t>
      </w:r>
      <w:r>
        <w:rPr>
          <w:color w:val="363534"/>
        </w:rPr>
        <w:t>required</w:t>
      </w:r>
      <w:r>
        <w:rPr>
          <w:color w:val="363534"/>
          <w:spacing w:val="-4"/>
        </w:rPr>
        <w:t> </w:t>
      </w:r>
      <w:r>
        <w:rPr>
          <w:color w:val="363534"/>
        </w:rPr>
        <w:t>to</w:t>
      </w:r>
      <w:r>
        <w:rPr>
          <w:color w:val="363534"/>
          <w:spacing w:val="-5"/>
        </w:rPr>
        <w:t> </w:t>
      </w:r>
      <w:r>
        <w:rPr>
          <w:color w:val="363534"/>
        </w:rPr>
        <w:t>verify</w:t>
      </w:r>
      <w:r>
        <w:rPr>
          <w:color w:val="363534"/>
          <w:spacing w:val="-3"/>
        </w:rPr>
        <w:t> </w:t>
      </w:r>
      <w:r>
        <w:rPr>
          <w:color w:val="363534"/>
        </w:rPr>
        <w:t>that</w:t>
      </w:r>
      <w:r>
        <w:rPr>
          <w:color w:val="363534"/>
          <w:spacing w:val="1"/>
        </w:rPr>
        <w:t> </w:t>
      </w:r>
      <w:r>
        <w:rPr>
          <w:color w:val="363534"/>
        </w:rPr>
        <w:t>the</w:t>
      </w:r>
      <w:r>
        <w:rPr>
          <w:color w:val="363534"/>
          <w:spacing w:val="-5"/>
        </w:rPr>
        <w:t> </w:t>
      </w:r>
      <w:r>
        <w:rPr>
          <w:color w:val="363534"/>
        </w:rPr>
        <w:t>complex</w:t>
      </w:r>
      <w:r>
        <w:rPr>
          <w:color w:val="363534"/>
          <w:spacing w:val="2"/>
        </w:rPr>
        <w:t> </w:t>
      </w:r>
      <w:r>
        <w:rPr>
          <w:color w:val="363534"/>
        </w:rPr>
        <w:t>address</w:t>
      </w:r>
      <w:r>
        <w:rPr>
          <w:color w:val="363534"/>
          <w:spacing w:val="-4"/>
        </w:rPr>
        <w:t> </w:t>
      </w:r>
      <w:r>
        <w:rPr>
          <w:color w:val="363534"/>
        </w:rPr>
        <w:t>no</w:t>
      </w:r>
      <w:r>
        <w:rPr>
          <w:color w:val="363534"/>
          <w:spacing w:val="-4"/>
        </w:rPr>
        <w:t> </w:t>
      </w:r>
      <w:r>
        <w:rPr>
          <w:color w:val="363534"/>
        </w:rPr>
        <w:t>longer</w:t>
      </w:r>
      <w:r>
        <w:rPr>
          <w:color w:val="363534"/>
          <w:spacing w:val="-5"/>
        </w:rPr>
        <w:t> </w:t>
      </w:r>
      <w:r>
        <w:rPr>
          <w:color w:val="363534"/>
        </w:rPr>
        <w:t>exists</w:t>
      </w:r>
      <w:r>
        <w:rPr>
          <w:color w:val="363534"/>
          <w:spacing w:val="-3"/>
        </w:rPr>
        <w:t> </w:t>
      </w:r>
      <w:r>
        <w:rPr>
          <w:color w:val="363534"/>
        </w:rPr>
        <w:t>and</w:t>
      </w:r>
      <w:r>
        <w:rPr>
          <w:color w:val="363534"/>
          <w:spacing w:val="-5"/>
        </w:rPr>
        <w:t> </w:t>
      </w:r>
      <w:r>
        <w:rPr>
          <w:color w:val="363534"/>
        </w:rPr>
        <w:t>all users of Vicmap Address product will receive two extra</w:t>
      </w:r>
      <w:r>
        <w:rPr>
          <w:color w:val="363534"/>
          <w:spacing w:val="-6"/>
        </w:rPr>
        <w:t> </w:t>
      </w:r>
      <w:r>
        <w:rPr>
          <w:color w:val="363534"/>
        </w:rPr>
        <w:t>attributes.</w:t>
      </w:r>
    </w:p>
    <w:p>
      <w:pPr>
        <w:pStyle w:val="BodyText"/>
        <w:spacing w:before="3"/>
      </w:pPr>
    </w:p>
    <w:p>
      <w:pPr>
        <w:pStyle w:val="Heading1"/>
      </w:pPr>
      <w:bookmarkStart w:name="When the change will occur | How to prov" w:id="4"/>
      <w:bookmarkEnd w:id="4"/>
      <w:r>
        <w:rPr>
          <w:b w:val="0"/>
        </w:rPr>
      </w:r>
      <w:r>
        <w:rPr>
          <w:color w:val="B3272E"/>
        </w:rPr>
        <w:t>When the change will occur | How to provide feedback</w:t>
      </w:r>
      <w:r>
        <w:rPr>
          <w:color w:val="B3272E"/>
          <w:spacing w:val="-20"/>
        </w:rPr>
        <w:t> </w:t>
      </w:r>
      <w:r>
        <w:rPr>
          <w:color w:val="B3272E"/>
        </w:rPr>
        <w:t>|</w:t>
      </w:r>
    </w:p>
    <w:p>
      <w:pPr>
        <w:pStyle w:val="Heading2"/>
        <w:spacing w:before="104"/>
        <w:rPr>
          <w:b/>
        </w:rPr>
      </w:pPr>
      <w:r>
        <w:rPr/>
        <w:t>The change will be implemented into the full file supply of Vicmap Address on the </w:t>
      </w:r>
      <w:r>
        <w:rPr>
          <w:b/>
          <w:color w:val="FF0000"/>
        </w:rPr>
        <w:t>12/11/2019.</w:t>
      </w:r>
    </w:p>
    <w:p>
      <w:pPr>
        <w:spacing w:before="112"/>
        <w:ind w:left="530" w:right="1084" w:firstLine="0"/>
        <w:jc w:val="left"/>
        <w:rPr>
          <w:rFonts w:ascii="Carlito"/>
          <w:sz w:val="22"/>
        </w:rPr>
      </w:pPr>
      <w:r>
        <w:rPr>
          <w:rFonts w:ascii="Carlito"/>
          <w:sz w:val="22"/>
        </w:rPr>
        <w:t>The change will be implemented into the Incremental Update format (IUF) file supply on the </w:t>
      </w:r>
      <w:r>
        <w:rPr>
          <w:rFonts w:ascii="Carlito"/>
          <w:b/>
          <w:color w:val="FF0000"/>
          <w:sz w:val="22"/>
        </w:rPr>
        <w:t>14/02/2020 </w:t>
      </w:r>
      <w:r>
        <w:rPr>
          <w:rFonts w:ascii="Carlito"/>
          <w:sz w:val="22"/>
        </w:rPr>
        <w:t>(to coincide with the IUF Seed file creation)</w:t>
      </w:r>
    </w:p>
    <w:p>
      <w:pPr>
        <w:pStyle w:val="BodyText"/>
        <w:rPr>
          <w:rFonts w:ascii="Carlito"/>
          <w:sz w:val="22"/>
        </w:rPr>
      </w:pPr>
    </w:p>
    <w:p>
      <w:pPr>
        <w:pStyle w:val="BodyText"/>
        <w:spacing w:before="9"/>
        <w:rPr>
          <w:rFonts w:ascii="Carlito"/>
          <w:sz w:val="18"/>
        </w:rPr>
      </w:pPr>
    </w:p>
    <w:p>
      <w:pPr>
        <w:spacing w:line="338" w:lineRule="auto" w:before="1"/>
        <w:ind w:left="530" w:right="3204" w:firstLine="0"/>
        <w:jc w:val="left"/>
        <w:rPr>
          <w:rFonts w:ascii="Carlito"/>
          <w:sz w:val="22"/>
        </w:rPr>
      </w:pPr>
      <w:r>
        <w:rPr>
          <w:rFonts w:ascii="Carlito"/>
          <w:sz w:val="22"/>
        </w:rPr>
        <w:t>For Vicmap Product change notices and bulletins, go to the </w:t>
      </w:r>
      <w:hyperlink r:id="rId12">
        <w:r>
          <w:rPr>
            <w:rFonts w:ascii="Carlito"/>
            <w:sz w:val="22"/>
            <w:u w:val="single"/>
          </w:rPr>
          <w:t>News and Bulletins</w:t>
        </w:r>
        <w:r>
          <w:rPr>
            <w:rFonts w:ascii="Carlito"/>
            <w:sz w:val="22"/>
          </w:rPr>
          <w:t> </w:t>
        </w:r>
      </w:hyperlink>
      <w:r>
        <w:rPr>
          <w:rFonts w:ascii="Carlito"/>
          <w:sz w:val="22"/>
        </w:rPr>
        <w:t>page. For further information &amp; feedback please email </w:t>
      </w:r>
      <w:hyperlink r:id="rId13">
        <w:r>
          <w:rPr>
            <w:rFonts w:ascii="Carlito"/>
            <w:sz w:val="22"/>
            <w:u w:val="single"/>
          </w:rPr>
          <w:t>Vicmap.help@delwp.vic.gov.au</w:t>
        </w:r>
      </w:hyperlink>
    </w:p>
    <w:p>
      <w:pPr>
        <w:pStyle w:val="BodyText"/>
        <w:rPr>
          <w:rFonts w:ascii="Carlito"/>
        </w:rPr>
      </w:pPr>
    </w:p>
    <w:p>
      <w:pPr>
        <w:pStyle w:val="BodyText"/>
        <w:rPr>
          <w:rFonts w:ascii="Carlito"/>
        </w:rPr>
      </w:pPr>
    </w:p>
    <w:p>
      <w:pPr>
        <w:pStyle w:val="BodyText"/>
        <w:rPr>
          <w:rFonts w:ascii="Carlito"/>
        </w:rPr>
      </w:pPr>
    </w:p>
    <w:p>
      <w:pPr>
        <w:pStyle w:val="BodyText"/>
        <w:rPr>
          <w:rFonts w:ascii="Carlito"/>
        </w:rPr>
      </w:pPr>
    </w:p>
    <w:p>
      <w:pPr>
        <w:pStyle w:val="BodyText"/>
        <w:rPr>
          <w:rFonts w:ascii="Carlito"/>
        </w:rPr>
      </w:pPr>
    </w:p>
    <w:p>
      <w:pPr>
        <w:pStyle w:val="BodyText"/>
        <w:rPr>
          <w:rFonts w:ascii="Carlito"/>
        </w:rPr>
      </w:pPr>
    </w:p>
    <w:p>
      <w:pPr>
        <w:pStyle w:val="BodyText"/>
        <w:rPr>
          <w:rFonts w:ascii="Carlito"/>
        </w:rPr>
      </w:pPr>
    </w:p>
    <w:p>
      <w:pPr>
        <w:pStyle w:val="BodyText"/>
        <w:rPr>
          <w:rFonts w:ascii="Carlito"/>
        </w:rPr>
      </w:pPr>
    </w:p>
    <w:p>
      <w:pPr>
        <w:pStyle w:val="BodyText"/>
        <w:rPr>
          <w:rFonts w:ascii="Carlito"/>
        </w:rPr>
      </w:pPr>
    </w:p>
    <w:p>
      <w:pPr>
        <w:pStyle w:val="BodyText"/>
        <w:rPr>
          <w:rFonts w:ascii="Carlito"/>
        </w:rPr>
      </w:pPr>
    </w:p>
    <w:p>
      <w:pPr>
        <w:pStyle w:val="BodyText"/>
        <w:rPr>
          <w:rFonts w:ascii="Carlito"/>
        </w:rPr>
      </w:pPr>
    </w:p>
    <w:p>
      <w:pPr>
        <w:pStyle w:val="BodyText"/>
        <w:rPr>
          <w:rFonts w:ascii="Carlito"/>
        </w:rPr>
      </w:pPr>
    </w:p>
    <w:p>
      <w:pPr>
        <w:pStyle w:val="BodyText"/>
        <w:rPr>
          <w:rFonts w:ascii="Carlito"/>
        </w:rPr>
      </w:pPr>
    </w:p>
    <w:p>
      <w:pPr>
        <w:pStyle w:val="BodyText"/>
        <w:rPr>
          <w:rFonts w:ascii="Carlito"/>
        </w:rPr>
      </w:pPr>
    </w:p>
    <w:p>
      <w:pPr>
        <w:pStyle w:val="BodyText"/>
        <w:rPr>
          <w:rFonts w:ascii="Carlito"/>
        </w:rPr>
      </w:pPr>
    </w:p>
    <w:p>
      <w:pPr>
        <w:pStyle w:val="BodyText"/>
        <w:rPr>
          <w:rFonts w:ascii="Carlito"/>
        </w:rPr>
      </w:pPr>
    </w:p>
    <w:p>
      <w:pPr>
        <w:pStyle w:val="BodyText"/>
        <w:rPr>
          <w:rFonts w:ascii="Carlito"/>
        </w:rPr>
      </w:pPr>
    </w:p>
    <w:p>
      <w:pPr>
        <w:pStyle w:val="BodyText"/>
        <w:rPr>
          <w:rFonts w:ascii="Carlito"/>
        </w:rPr>
      </w:pPr>
    </w:p>
    <w:p>
      <w:pPr>
        <w:pStyle w:val="BodyText"/>
        <w:rPr>
          <w:rFonts w:ascii="Carlito"/>
        </w:rPr>
      </w:pPr>
    </w:p>
    <w:p>
      <w:pPr>
        <w:pStyle w:val="BodyText"/>
        <w:rPr>
          <w:rFonts w:ascii="Carlito"/>
        </w:rPr>
      </w:pPr>
    </w:p>
    <w:p>
      <w:pPr>
        <w:pStyle w:val="BodyText"/>
        <w:rPr>
          <w:rFonts w:ascii="Carlito"/>
        </w:rPr>
      </w:pPr>
    </w:p>
    <w:p>
      <w:pPr>
        <w:pStyle w:val="BodyText"/>
        <w:rPr>
          <w:rFonts w:ascii="Carlito"/>
        </w:rPr>
      </w:pPr>
    </w:p>
    <w:p>
      <w:pPr>
        <w:pStyle w:val="BodyText"/>
        <w:rPr>
          <w:rFonts w:ascii="Carlito"/>
        </w:rPr>
      </w:pPr>
    </w:p>
    <w:p>
      <w:pPr>
        <w:pStyle w:val="BodyText"/>
        <w:rPr>
          <w:rFonts w:ascii="Carlito"/>
        </w:rPr>
      </w:pPr>
    </w:p>
    <w:p>
      <w:pPr>
        <w:pStyle w:val="BodyText"/>
        <w:rPr>
          <w:rFonts w:ascii="Carlito"/>
        </w:rPr>
      </w:pPr>
    </w:p>
    <w:p>
      <w:pPr>
        <w:pStyle w:val="BodyText"/>
        <w:rPr>
          <w:rFonts w:ascii="Carlito"/>
        </w:rPr>
      </w:pPr>
    </w:p>
    <w:p>
      <w:pPr>
        <w:pStyle w:val="BodyText"/>
        <w:rPr>
          <w:rFonts w:ascii="Carlito"/>
        </w:rPr>
      </w:pPr>
    </w:p>
    <w:p>
      <w:pPr>
        <w:pStyle w:val="BodyText"/>
        <w:rPr>
          <w:rFonts w:ascii="Carlito"/>
        </w:rPr>
      </w:pPr>
    </w:p>
    <w:p>
      <w:pPr>
        <w:pStyle w:val="BodyText"/>
        <w:spacing w:before="11"/>
        <w:rPr>
          <w:rFonts w:ascii="Carlito"/>
          <w:sz w:val="26"/>
        </w:rPr>
      </w:pPr>
    </w:p>
    <w:tbl>
      <w:tblPr>
        <w:tblW w:w="0" w:type="auto"/>
        <w:jc w:val="left"/>
        <w:tblInd w:w="5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008"/>
        <w:gridCol w:w="5201"/>
      </w:tblGrid>
      <w:tr>
        <w:trPr>
          <w:trHeight w:val="2671" w:hRule="atLeast"/>
        </w:trPr>
        <w:tc>
          <w:tcPr>
            <w:tcW w:w="5008" w:type="dxa"/>
            <w:tcBorders>
              <w:top w:val="single" w:sz="2" w:space="0" w:color="00B1A9"/>
            </w:tcBorders>
          </w:tcPr>
          <w:p>
            <w:pPr>
              <w:pStyle w:val="TableParagraph"/>
              <w:spacing w:before="0"/>
              <w:rPr>
                <w:rFonts w:ascii="Carlito"/>
                <w:sz w:val="12"/>
              </w:rPr>
            </w:pPr>
          </w:p>
          <w:p>
            <w:pPr>
              <w:pStyle w:val="TableParagraph"/>
              <w:spacing w:before="86"/>
              <w:ind w:left="1110" w:hanging="1111"/>
              <w:jc w:val="both"/>
              <w:rPr>
                <w:sz w:val="12"/>
              </w:rPr>
            </w:pPr>
            <w:r>
              <w:rPr>
                <w:color w:val="363534"/>
                <w:sz w:val="12"/>
              </w:rPr>
              <w:t>© The State of Victoria Department of Environment, Land, Water and Planning 2019</w:t>
            </w:r>
          </w:p>
          <w:p>
            <w:pPr>
              <w:pStyle w:val="TableParagraph"/>
              <w:spacing w:line="278" w:lineRule="auto" w:before="62"/>
              <w:ind w:left="1110" w:right="398"/>
              <w:jc w:val="both"/>
              <w:rPr>
                <w:sz w:val="12"/>
              </w:rPr>
            </w:pPr>
            <w:r>
              <w:rPr>
                <w:color w:val="363534"/>
                <w:sz w:val="12"/>
              </w:rPr>
              <w:t>This work is licensed under a Creative Commons Attribution 4.0 International licence. You are free to re-use the work under that licence, on the condition that you credit the State of Victoria as</w:t>
            </w:r>
          </w:p>
          <w:p>
            <w:pPr>
              <w:pStyle w:val="TableParagraph"/>
              <w:spacing w:line="278" w:lineRule="auto" w:before="0"/>
              <w:ind w:right="278"/>
              <w:rPr>
                <w:sz w:val="12"/>
              </w:rPr>
            </w:pPr>
            <w:r>
              <w:rPr>
                <w:color w:val="363534"/>
                <w:sz w:val="12"/>
              </w:rPr>
              <w:t>author. The licence does not apply to any images, photographs or branding,  including the Victorian Coat of Arms, the Victorian Government logo and the Department of Environment, Land, Water and Planning (DELWP) logo. </w:t>
            </w:r>
            <w:r>
              <w:rPr>
                <w:color w:val="363534"/>
                <w:spacing w:val="3"/>
                <w:sz w:val="12"/>
              </w:rPr>
              <w:t>To </w:t>
            </w:r>
            <w:r>
              <w:rPr>
                <w:color w:val="363534"/>
                <w:sz w:val="12"/>
              </w:rPr>
              <w:t>view a copy of this licence, visit</w:t>
            </w:r>
            <w:r>
              <w:rPr>
                <w:color w:val="363534"/>
                <w:spacing w:val="9"/>
                <w:sz w:val="12"/>
              </w:rPr>
              <w:t> </w:t>
            </w:r>
            <w:hyperlink r:id="rId14">
              <w:r>
                <w:rPr>
                  <w:color w:val="363534"/>
                  <w:sz w:val="12"/>
                </w:rPr>
                <w:t>http://creativecommons.org/licenses/by/4.0/</w:t>
              </w:r>
            </w:hyperlink>
          </w:p>
          <w:p>
            <w:pPr>
              <w:pStyle w:val="TableParagraph"/>
              <w:spacing w:before="60"/>
              <w:rPr>
                <w:b/>
                <w:sz w:val="12"/>
              </w:rPr>
            </w:pPr>
            <w:r>
              <w:rPr>
                <w:b/>
                <w:color w:val="363534"/>
                <w:sz w:val="12"/>
              </w:rPr>
              <w:t>Disclaimer</w:t>
            </w:r>
          </w:p>
          <w:p>
            <w:pPr>
              <w:pStyle w:val="TableParagraph"/>
              <w:spacing w:line="278" w:lineRule="auto" w:before="62"/>
              <w:ind w:right="278"/>
              <w:rPr>
                <w:sz w:val="12"/>
              </w:rPr>
            </w:pPr>
            <w:r>
              <w:rPr>
                <w:color w:val="363534"/>
                <w:sz w:val="12"/>
              </w:rPr>
              <w:t>This publication may be of assistance </w:t>
            </w:r>
            <w:r>
              <w:rPr>
                <w:color w:val="363534"/>
                <w:spacing w:val="3"/>
                <w:sz w:val="12"/>
              </w:rPr>
              <w:t>to </w:t>
            </w:r>
            <w:r>
              <w:rPr>
                <w:color w:val="363534"/>
                <w:spacing w:val="2"/>
                <w:sz w:val="12"/>
              </w:rPr>
              <w:t>you </w:t>
            </w:r>
            <w:r>
              <w:rPr>
                <w:color w:val="363534"/>
                <w:sz w:val="12"/>
              </w:rPr>
              <w:t>but </w:t>
            </w:r>
            <w:r>
              <w:rPr>
                <w:color w:val="363534"/>
                <w:spacing w:val="3"/>
                <w:sz w:val="12"/>
              </w:rPr>
              <w:t>the </w:t>
            </w:r>
            <w:r>
              <w:rPr>
                <w:color w:val="363534"/>
                <w:sz w:val="12"/>
              </w:rPr>
              <w:t>State of Victoria and its employees do not guarantee that the publication is without flaw of any kind or is wholly  appropriate for your particular purposes and therefore disclaims all liability for  any  error,  loss  or other consequence which may arise </w:t>
            </w:r>
            <w:r>
              <w:rPr>
                <w:color w:val="363534"/>
                <w:spacing w:val="2"/>
                <w:sz w:val="12"/>
              </w:rPr>
              <w:t>from you </w:t>
            </w:r>
            <w:r>
              <w:rPr>
                <w:color w:val="363534"/>
                <w:sz w:val="12"/>
              </w:rPr>
              <w:t>relying on any information in this publication.</w:t>
            </w:r>
          </w:p>
        </w:tc>
        <w:tc>
          <w:tcPr>
            <w:tcW w:w="5201" w:type="dxa"/>
            <w:tcBorders>
              <w:top w:val="single" w:sz="2" w:space="0" w:color="00B1A9"/>
            </w:tcBorders>
          </w:tcPr>
          <w:p>
            <w:pPr>
              <w:pStyle w:val="TableParagraph"/>
              <w:spacing w:before="203"/>
              <w:ind w:left="209"/>
              <w:rPr>
                <w:b/>
                <w:sz w:val="22"/>
              </w:rPr>
            </w:pPr>
            <w:r>
              <w:rPr>
                <w:b/>
                <w:color w:val="363534"/>
                <w:sz w:val="22"/>
              </w:rPr>
              <w:t>Accessibility</w:t>
            </w:r>
          </w:p>
          <w:p>
            <w:pPr>
              <w:pStyle w:val="TableParagraph"/>
              <w:spacing w:before="9"/>
              <w:ind w:left="209" w:right="89"/>
              <w:rPr>
                <w:sz w:val="24"/>
              </w:rPr>
            </w:pPr>
            <w:r>
              <w:rPr>
                <w:color w:val="363534"/>
                <w:sz w:val="24"/>
              </w:rPr>
              <w:t>If you would like to receive this publication in an alternative format, please telephone the DELWP Customer Service Centre on 136186, email </w:t>
            </w:r>
            <w:hyperlink r:id="rId15">
              <w:r>
                <w:rPr>
                  <w:color w:val="363534"/>
                  <w:sz w:val="24"/>
                </w:rPr>
                <w:t>customer.service@delwp.vic.gov.au</w:t>
              </w:r>
            </w:hyperlink>
            <w:r>
              <w:rPr>
                <w:color w:val="363534"/>
                <w:sz w:val="24"/>
              </w:rPr>
              <w:t>, or via the National Relay Service on 133 677 </w:t>
            </w:r>
            <w:hyperlink r:id="rId16">
              <w:r>
                <w:rPr>
                  <w:color w:val="363534"/>
                  <w:sz w:val="24"/>
                </w:rPr>
                <w:t>www.relayservice.com.au</w:t>
              </w:r>
            </w:hyperlink>
            <w:r>
              <w:rPr>
                <w:color w:val="363534"/>
                <w:sz w:val="24"/>
              </w:rPr>
              <w:t>. This document is also available on the internet at</w:t>
            </w:r>
          </w:p>
          <w:p>
            <w:pPr>
              <w:pStyle w:val="TableParagraph"/>
              <w:spacing w:line="255" w:lineRule="exact" w:before="0"/>
              <w:ind w:left="209"/>
              <w:rPr>
                <w:sz w:val="24"/>
              </w:rPr>
            </w:pPr>
            <w:hyperlink r:id="rId17">
              <w:r>
                <w:rPr>
                  <w:color w:val="363534"/>
                  <w:sz w:val="24"/>
                </w:rPr>
                <w:t>www.delwp.vic.gov.au</w:t>
              </w:r>
            </w:hyperlink>
            <w:r>
              <w:rPr>
                <w:color w:val="363534"/>
                <w:sz w:val="24"/>
              </w:rPr>
              <w:t>.</w:t>
            </w:r>
          </w:p>
        </w:tc>
      </w:tr>
    </w:tbl>
    <w:sectPr>
      <w:pgSz w:w="11910" w:h="16840"/>
      <w:pgMar w:top="460" w:bottom="280" w:left="320" w:right="2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rlito">
    <w:altName w:val="Carlito"/>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0"/>
      <w:szCs w:val="20"/>
      <w:lang w:val="en-US" w:eastAsia="en-US" w:bidi="ar-SA"/>
    </w:rPr>
  </w:style>
  <w:style w:styleId="Heading1" w:type="paragraph">
    <w:name w:val="Heading 1"/>
    <w:basedOn w:val="Normal"/>
    <w:uiPriority w:val="1"/>
    <w:qFormat/>
    <w:pPr>
      <w:ind w:left="530"/>
      <w:outlineLvl w:val="1"/>
    </w:pPr>
    <w:rPr>
      <w:rFonts w:ascii="Arial" w:hAnsi="Arial" w:eastAsia="Arial" w:cs="Arial"/>
      <w:b/>
      <w:bCs/>
      <w:sz w:val="22"/>
      <w:szCs w:val="22"/>
      <w:lang w:val="en-US" w:eastAsia="en-US" w:bidi="ar-SA"/>
    </w:rPr>
  </w:style>
  <w:style w:styleId="Heading2" w:type="paragraph">
    <w:name w:val="Heading 2"/>
    <w:basedOn w:val="Normal"/>
    <w:uiPriority w:val="1"/>
    <w:qFormat/>
    <w:pPr>
      <w:spacing w:before="1"/>
      <w:ind w:left="530"/>
      <w:outlineLvl w:val="2"/>
    </w:pPr>
    <w:rPr>
      <w:rFonts w:ascii="Carlito" w:hAnsi="Carlito" w:eastAsia="Carlito" w:cs="Carlito"/>
      <w:sz w:val="22"/>
      <w:szCs w:val="22"/>
      <w:lang w:val="en-US" w:eastAsia="en-US" w:bidi="ar-SA"/>
    </w:rPr>
  </w:style>
  <w:style w:styleId="Title" w:type="paragraph">
    <w:name w:val="Title"/>
    <w:basedOn w:val="Normal"/>
    <w:uiPriority w:val="1"/>
    <w:qFormat/>
    <w:pPr>
      <w:spacing w:before="69"/>
      <w:ind w:left="530"/>
    </w:pPr>
    <w:rPr>
      <w:rFonts w:ascii="Arial" w:hAnsi="Arial" w:eastAsia="Arial" w:cs="Arial"/>
      <w:sz w:val="32"/>
      <w:szCs w:val="32"/>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spacing w:before="76"/>
    </w:pPr>
    <w:rPr>
      <w:rFonts w:ascii="Arial" w:hAnsi="Arial" w:eastAsia="Arial" w:cs="Arial"/>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hyperlink" Target="http://www.delwp.vic.gov.au/parks-forests-and-crown-land/spatial-data-and-resources/news-and-bulletins" TargetMode="External"/><Relationship Id="rId13" Type="http://schemas.openxmlformats.org/officeDocument/2006/relationships/hyperlink" Target="mailto:Vicmap.help@delwp.vic.gov.au" TargetMode="External"/><Relationship Id="rId14" Type="http://schemas.openxmlformats.org/officeDocument/2006/relationships/hyperlink" Target="http://creativecommons.org/licenses/by/4.0/" TargetMode="External"/><Relationship Id="rId15" Type="http://schemas.openxmlformats.org/officeDocument/2006/relationships/hyperlink" Target="mailto:customer.service@delwp.vic.gov.au" TargetMode="External"/><Relationship Id="rId16" Type="http://schemas.openxmlformats.org/officeDocument/2006/relationships/hyperlink" Target="http://www.relayservice.com.au/" TargetMode="External"/><Relationship Id="rId17" Type="http://schemas.openxmlformats.org/officeDocument/2006/relationships/hyperlink" Target="http://www.delwp.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Jacqeline Le Lievre</dc:creator>
  <dc:title>Change# 249 Vicmap Address Change Notice</dc:title>
  <dcterms:created xsi:type="dcterms:W3CDTF">2020-02-27T00:35:14Z</dcterms:created>
  <dcterms:modified xsi:type="dcterms:W3CDTF">2020-02-27T00:35:14Z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2019-09-19T00:00:00Z</vt:filetime>
  </property>
  <property fmtid="{D5CDD505-2E9C-101B-9397-08002B2CF9AE}" pid="3" name="Creator">
    <vt:lpwstr>Microsoft Word</vt:lpwstr>
  </property>
  <property fmtid="{D5CDD505-2E9C-101B-9397-08002B2CF9AE}" pid="4" name="LastSaved">
    <vt:filetime>2020-02-27T00:00:00Z</vt:filetime>
  </property>
</Properties>
</file>