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833652910"/>
        <w:docPartObj>
          <w:docPartGallery w:val="Cover Pages"/>
          <w:docPartUnique/>
        </w:docPartObj>
      </w:sdtPr>
      <w:sdtContent>
        <w:p w14:paraId="1A953117" w14:textId="60B8347E" w:rsidR="00B82C13" w:rsidRPr="00E823B8" w:rsidRDefault="00E823B8" w:rsidP="00E823B8">
          <w:pPr>
            <w:pStyle w:val="LightReportTite"/>
          </w:pPr>
          <w:r w:rsidRPr="00E823B8">
            <w:rPr>
              <w:noProof/>
            </w:rPr>
            <w:drawing>
              <wp:anchor distT="0" distB="0" distL="114300" distR="114300" simplePos="0" relativeHeight="251658246" behindDoc="1" locked="0" layoutInCell="1" allowOverlap="1" wp14:anchorId="15C2A83B" wp14:editId="11F86701">
                <wp:simplePos x="0" y="0"/>
                <wp:positionH relativeFrom="page">
                  <wp:posOffset>247650</wp:posOffset>
                </wp:positionH>
                <wp:positionV relativeFrom="page">
                  <wp:posOffset>247650</wp:posOffset>
                </wp:positionV>
                <wp:extent cx="7063105" cy="6367780"/>
                <wp:effectExtent l="0" t="0" r="4445" b="0"/>
                <wp:wrapNone/>
                <wp:docPr id="149628062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80623" name="Picture 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rcRect l="13027" r="13027"/>
                        <a:stretch>
                          <a:fillRect/>
                        </a:stretch>
                      </pic:blipFill>
                      <pic:spPr>
                        <a:xfrm>
                          <a:off x="0" y="0"/>
                          <a:ext cx="7063105" cy="6367780"/>
                        </a:xfrm>
                        <a:prstGeom prst="rect">
                          <a:avLst/>
                        </a:prstGeom>
                      </pic:spPr>
                    </pic:pic>
                  </a:graphicData>
                </a:graphic>
                <wp14:sizeRelH relativeFrom="margin">
                  <wp14:pctWidth>0</wp14:pctWidth>
                </wp14:sizeRelH>
                <wp14:sizeRelV relativeFrom="margin">
                  <wp14:pctHeight>0</wp14:pctHeight>
                </wp14:sizeRelV>
              </wp:anchor>
            </w:drawing>
          </w:r>
          <w:r w:rsidR="00036598" w:rsidRPr="00E823B8">
            <w:rPr>
              <w:noProof/>
            </w:rPr>
            <w:drawing>
              <wp:anchor distT="0" distB="0" distL="114300" distR="114300" simplePos="0" relativeHeight="251658247" behindDoc="1" locked="0" layoutInCell="1" allowOverlap="1" wp14:anchorId="2EDA7871" wp14:editId="33F311CF">
                <wp:simplePos x="0" y="0"/>
                <wp:positionH relativeFrom="page">
                  <wp:posOffset>3134360</wp:posOffset>
                </wp:positionH>
                <wp:positionV relativeFrom="page">
                  <wp:posOffset>1470025</wp:posOffset>
                </wp:positionV>
                <wp:extent cx="4182745" cy="9262745"/>
                <wp:effectExtent l="0" t="0" r="8255" b="0"/>
                <wp:wrapNone/>
                <wp:docPr id="71378581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40829" name="Picture 7">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19027" t="15846" r="20604" b="21013"/>
                        <a:stretch/>
                      </pic:blipFill>
                      <pic:spPr bwMode="auto">
                        <a:xfrm>
                          <a:off x="0" y="0"/>
                          <a:ext cx="4182745" cy="926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C13" w:rsidRPr="00E823B8">
            <w:rPr>
              <w:noProof/>
            </w:rPr>
            <w:drawing>
              <wp:anchor distT="0" distB="0" distL="114300" distR="114300" simplePos="0" relativeHeight="251658245" behindDoc="1" locked="0" layoutInCell="1" allowOverlap="1" wp14:anchorId="30EB7A74" wp14:editId="30B9BDEF">
                <wp:simplePos x="0" y="0"/>
                <wp:positionH relativeFrom="page">
                  <wp:posOffset>727075</wp:posOffset>
                </wp:positionH>
                <wp:positionV relativeFrom="page">
                  <wp:posOffset>9667240</wp:posOffset>
                </wp:positionV>
                <wp:extent cx="1756800" cy="540000"/>
                <wp:effectExtent l="0" t="0" r="0" b="0"/>
                <wp:wrapNone/>
                <wp:docPr id="191333890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756800" cy="540000"/>
                        </a:xfrm>
                        <a:prstGeom prst="rect">
                          <a:avLst/>
                        </a:prstGeom>
                      </pic:spPr>
                    </pic:pic>
                  </a:graphicData>
                </a:graphic>
                <wp14:sizeRelH relativeFrom="margin">
                  <wp14:pctWidth>0</wp14:pctWidth>
                </wp14:sizeRelH>
                <wp14:sizeRelV relativeFrom="margin">
                  <wp14:pctHeight>0</wp14:pctHeight>
                </wp14:sizeRelV>
              </wp:anchor>
            </w:drawing>
          </w:r>
          <w:r w:rsidR="00B82C13" w:rsidRPr="00E823B8">
            <w:rPr>
              <w:noProof/>
            </w:rPr>
            <mc:AlternateContent>
              <mc:Choice Requires="wps">
                <w:drawing>
                  <wp:anchor distT="0" distB="6948805" distL="114300" distR="114300" simplePos="0" relativeHeight="251658244" behindDoc="0" locked="0" layoutInCell="1" allowOverlap="1" wp14:anchorId="365B3098" wp14:editId="63640A63">
                    <wp:simplePos x="1072055" y="6889531"/>
                    <wp:positionH relativeFrom="page">
                      <wp:align>center</wp:align>
                    </wp:positionH>
                    <wp:positionV relativeFrom="page">
                      <wp:align>top</wp:align>
                    </wp:positionV>
                    <wp:extent cx="10692000" cy="72000"/>
                    <wp:effectExtent l="0" t="0" r="0" b="4445"/>
                    <wp:wrapTopAndBottom/>
                    <wp:docPr id="1562143747"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720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AEABB" id="Rectangle 6" o:spid="_x0000_s1026" alt="&quot;&quot;" style="position:absolute;margin-left:0;margin-top:0;width:841.9pt;height:5.65pt;z-index:251658244;visibility:visible;mso-wrap-style:square;mso-width-percent:0;mso-height-percent:0;mso-wrap-distance-left:9pt;mso-wrap-distance-top:0;mso-wrap-distance-right:9pt;mso-wrap-distance-bottom:547.15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" filled="f" stroked="f" strokeweight="1pt">
                    <w10:wrap type="topAndBottom" anchorx="page" anchory="page"/>
                  </v:rect>
                </w:pict>
              </mc:Fallback>
            </mc:AlternateContent>
          </w:r>
          <w:r w:rsidR="00B82C13" w:rsidRPr="00E823B8">
            <w:rPr>
              <w:noProof/>
            </w:rPr>
            <w:drawing>
              <wp:anchor distT="0" distB="0" distL="114300" distR="114300" simplePos="0" relativeHeight="251658242" behindDoc="1" locked="0" layoutInCell="1" allowOverlap="1" wp14:anchorId="0FEF69A2" wp14:editId="6EB43461">
                <wp:simplePos x="0" y="0"/>
                <wp:positionH relativeFrom="page">
                  <wp:align>left</wp:align>
                </wp:positionH>
                <wp:positionV relativeFrom="page">
                  <wp:align>top</wp:align>
                </wp:positionV>
                <wp:extent cx="15120000" cy="15120000"/>
                <wp:effectExtent l="0" t="0" r="5715" b="5715"/>
                <wp:wrapNone/>
                <wp:docPr id="18379894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referRelativeResize="0"/>
                      </pic:nvPicPr>
                      <pic:blipFill rotWithShape="1">
                        <a:blip r:embed="rId15">
                          <a:extLst>
                            <a:ext uri="{28A0092B-C50C-407E-A947-70E740481C1C}">
                              <a14:useLocalDpi xmlns:a14="http://schemas.microsoft.com/office/drawing/2010/main" val="0"/>
                            </a:ext>
                          </a:extLst>
                        </a:blip>
                        <a:srcRect l="7" r="7"/>
                        <a:stretch/>
                      </pic:blipFill>
                      <pic:spPr>
                        <a:xfrm>
                          <a:off x="0" y="0"/>
                          <a:ext cx="15120000" cy="15120000"/>
                        </a:xfrm>
                        <a:prstGeom prst="rect">
                          <a:avLst/>
                        </a:prstGeom>
                        <a:ln w="252000">
                          <a:noFill/>
                          <a:miter lim="800000"/>
                        </a:ln>
                      </pic:spPr>
                    </pic:pic>
                  </a:graphicData>
                </a:graphic>
                <wp14:sizeRelH relativeFrom="margin">
                  <wp14:pctWidth>0</wp14:pctWidth>
                </wp14:sizeRelH>
                <wp14:sizeRelV relativeFrom="margin">
                  <wp14:pctHeight>0</wp14:pctHeight>
                </wp14:sizeRelV>
              </wp:anchor>
            </w:drawing>
          </w:r>
          <w:sdt>
            <w:sdtPr>
              <w:alias w:val="Title"/>
              <w:tag w:val=""/>
              <w:id w:val="-1550686104"/>
              <w:placeholder>
                <w:docPart w:val="375CF880383A48729C4D1146B8FFCFD8"/>
              </w:placeholder>
              <w:dataBinding w:prefixMappings="xmlns:ns0='http://purl.org/dc/elements/1.1/' xmlns:ns1='http://schemas.openxmlformats.org/package/2006/metadata/core-properties' " w:xpath="/ns1:coreProperties[1]/ns0:title[1]" w:storeItemID="{6C3C8BC8-F283-45AE-878A-BAB7291924A1}"/>
              <w:text/>
            </w:sdtPr>
            <w:sdtContent>
              <w:r w:rsidR="00B82C13" w:rsidRPr="00E823B8">
                <w:t>Victorian</w:t>
              </w:r>
              <w:r w:rsidR="00036598" w:rsidRPr="00E823B8">
                <w:t xml:space="preserve"> </w:t>
              </w:r>
              <w:r w:rsidR="00B82C13" w:rsidRPr="00E823B8">
                <w:t>Cadastral Surveys Practice Directives</w:t>
              </w:r>
            </w:sdtContent>
          </w:sdt>
        </w:p>
        <w:p w14:paraId="6889124D" w14:textId="683E7289" w:rsidR="00B82C13" w:rsidRDefault="00B82C13" w:rsidP="00B82C13">
          <w:pPr>
            <w:pStyle w:val="LightReportSubtitle"/>
          </w:pPr>
          <w:r>
            <w:rPr>
              <w:noProof/>
            </w:rPr>
            <w:drawing>
              <wp:anchor distT="0" distB="0" distL="114300" distR="114300" simplePos="0" relativeHeight="251658243" behindDoc="1" locked="0" layoutInCell="1" allowOverlap="1" wp14:anchorId="124A66DA" wp14:editId="4B58652E">
                <wp:simplePos x="0" y="0"/>
                <wp:positionH relativeFrom="column">
                  <wp:posOffset>399080</wp:posOffset>
                </wp:positionH>
                <wp:positionV relativeFrom="paragraph">
                  <wp:posOffset>110766</wp:posOffset>
                </wp:positionV>
                <wp:extent cx="134620" cy="186690"/>
                <wp:effectExtent l="0" t="0" r="0" b="3810"/>
                <wp:wrapNone/>
                <wp:docPr id="188939808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r>
            <w:t>Surveyor-General Victoria</w:t>
          </w:r>
          <w:r w:rsidR="00B379F3">
            <w:t xml:space="preserve">   </w:t>
          </w:r>
          <w:r w:rsidR="007A2DF0">
            <w:t>December</w:t>
          </w:r>
          <w:r>
            <w:t xml:space="preserve"> 2025</w:t>
          </w:r>
        </w:p>
        <w:p w14:paraId="05D6C020" w14:textId="5FEAC179" w:rsidR="00B82C13" w:rsidRDefault="00B82C13">
          <w:pPr>
            <w:rPr>
              <w:rFonts w:asciiTheme="majorHAnsi" w:eastAsiaTheme="majorEastAsia" w:hAnsiTheme="majorHAnsi" w:cstheme="majorBidi"/>
              <w:b/>
              <w:color w:val="075D5F" w:themeColor="accent1"/>
              <w:sz w:val="28"/>
              <w:szCs w:val="50"/>
            </w:rPr>
          </w:pPr>
          <w:r>
            <w:br w:type="page"/>
          </w:r>
        </w:p>
      </w:sdtContent>
    </w:sdt>
    <w:p w14:paraId="6FBADB7B" w14:textId="77777777" w:rsidR="001D297E" w:rsidRDefault="001D297E" w:rsidP="001D297E">
      <w:pPr>
        <w:pStyle w:val="BodyText"/>
      </w:pPr>
    </w:p>
    <w:p w14:paraId="6E82FDBC" w14:textId="77777777" w:rsidR="001D297E" w:rsidRDefault="001D297E" w:rsidP="001D297E">
      <w:pPr>
        <w:pStyle w:val="BodyText"/>
      </w:pPr>
    </w:p>
    <w:p w14:paraId="324CFF79" w14:textId="77777777" w:rsidR="001D297E" w:rsidRDefault="001D297E" w:rsidP="001D297E">
      <w:pPr>
        <w:pStyle w:val="BodyText"/>
      </w:pPr>
    </w:p>
    <w:p w14:paraId="4EF18745" w14:textId="77777777" w:rsidR="001D297E" w:rsidRDefault="001D297E" w:rsidP="001D297E">
      <w:pPr>
        <w:pStyle w:val="BodyText"/>
      </w:pPr>
    </w:p>
    <w:p w14:paraId="22DF3264" w14:textId="77777777" w:rsidR="001D297E" w:rsidRDefault="001D297E" w:rsidP="001D297E">
      <w:pPr>
        <w:pStyle w:val="BodyText"/>
      </w:pPr>
    </w:p>
    <w:p w14:paraId="679CF560" w14:textId="77777777" w:rsidR="001D297E" w:rsidRDefault="001D297E" w:rsidP="001D297E">
      <w:pPr>
        <w:pStyle w:val="BodyText"/>
      </w:pPr>
    </w:p>
    <w:p w14:paraId="0B7E55EB" w14:textId="77777777" w:rsidR="001D297E" w:rsidRDefault="001D297E" w:rsidP="001D297E">
      <w:pPr>
        <w:pStyle w:val="BodyText"/>
      </w:pPr>
    </w:p>
    <w:p w14:paraId="08B2DD62" w14:textId="77777777" w:rsidR="001D297E" w:rsidRDefault="001D297E" w:rsidP="001D297E">
      <w:pPr>
        <w:pStyle w:val="BodyText"/>
      </w:pPr>
    </w:p>
    <w:p w14:paraId="50E3B73E" w14:textId="77777777" w:rsidR="001D297E" w:rsidRDefault="001D297E" w:rsidP="001D297E">
      <w:pPr>
        <w:pStyle w:val="BodyText"/>
      </w:pPr>
    </w:p>
    <w:p w14:paraId="4AF999AB" w14:textId="77777777" w:rsidR="001D297E" w:rsidRDefault="001D297E" w:rsidP="001D297E">
      <w:pPr>
        <w:pStyle w:val="BodyText"/>
      </w:pPr>
    </w:p>
    <w:p w14:paraId="64890E49" w14:textId="77777777" w:rsidR="001D297E" w:rsidRDefault="001D297E" w:rsidP="001D297E">
      <w:pPr>
        <w:pStyle w:val="BodyText"/>
      </w:pPr>
    </w:p>
    <w:p w14:paraId="78F5E633" w14:textId="77777777" w:rsidR="001D297E" w:rsidRDefault="001D297E" w:rsidP="001D297E">
      <w:pPr>
        <w:pStyle w:val="BodyText"/>
      </w:pPr>
    </w:p>
    <w:p w14:paraId="0C8D3102" w14:textId="77777777" w:rsidR="001D297E" w:rsidRDefault="001D297E" w:rsidP="001D297E">
      <w:pPr>
        <w:pStyle w:val="BodyText"/>
      </w:pPr>
    </w:p>
    <w:p w14:paraId="3C7A6DD7" w14:textId="77777777" w:rsidR="00073951" w:rsidRDefault="00073951" w:rsidP="001D297E">
      <w:pPr>
        <w:pStyle w:val="BodyText"/>
        <w:spacing w:before="2"/>
        <w:rPr>
          <w:sz w:val="21"/>
        </w:rPr>
      </w:pPr>
    </w:p>
    <w:p w14:paraId="2B8FBA70" w14:textId="77777777" w:rsidR="00073951" w:rsidRDefault="00073951" w:rsidP="001D297E">
      <w:pPr>
        <w:pStyle w:val="BodyText"/>
        <w:spacing w:before="2"/>
        <w:rPr>
          <w:sz w:val="21"/>
        </w:rPr>
      </w:pPr>
    </w:p>
    <w:p w14:paraId="71722CD5" w14:textId="77777777" w:rsidR="00073951" w:rsidRDefault="00073951" w:rsidP="001D297E">
      <w:pPr>
        <w:pStyle w:val="BodyText"/>
        <w:spacing w:before="2"/>
        <w:rPr>
          <w:sz w:val="21"/>
        </w:rPr>
      </w:pPr>
    </w:p>
    <w:p w14:paraId="53709CE1" w14:textId="0FC966D3" w:rsidR="001D297E" w:rsidRDefault="001D297E" w:rsidP="001D297E">
      <w:pPr>
        <w:pStyle w:val="BodyText"/>
        <w:spacing w:before="2"/>
        <w:rPr>
          <w:sz w:val="21"/>
        </w:rPr>
      </w:pPr>
      <w:r>
        <w:rPr>
          <w:noProof/>
        </w:rPr>
        <mc:AlternateContent>
          <mc:Choice Requires="wps">
            <w:drawing>
              <wp:anchor distT="0" distB="0" distL="0" distR="0" simplePos="0" relativeHeight="251658248" behindDoc="1" locked="0" layoutInCell="1" allowOverlap="1" wp14:anchorId="3CD20B72" wp14:editId="610DE5EF">
                <wp:simplePos x="0" y="0"/>
                <wp:positionH relativeFrom="page">
                  <wp:posOffset>449572</wp:posOffset>
                </wp:positionH>
                <wp:positionV relativeFrom="paragraph">
                  <wp:posOffset>196831</wp:posOffset>
                </wp:positionV>
                <wp:extent cx="6590030"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030" cy="6350"/>
                        </a:xfrm>
                        <a:custGeom>
                          <a:avLst/>
                          <a:gdLst/>
                          <a:ahLst/>
                          <a:cxnLst/>
                          <a:rect l="l" t="t" r="r" b="b"/>
                          <a:pathLst>
                            <a:path w="6590030" h="6350">
                              <a:moveTo>
                                <a:pt x="6589522" y="0"/>
                              </a:moveTo>
                              <a:lnTo>
                                <a:pt x="0" y="0"/>
                              </a:lnTo>
                              <a:lnTo>
                                <a:pt x="0" y="6096"/>
                              </a:lnTo>
                              <a:lnTo>
                                <a:pt x="6589522" y="6096"/>
                              </a:lnTo>
                              <a:lnTo>
                                <a:pt x="6589522" y="0"/>
                              </a:lnTo>
                              <a:close/>
                            </a:path>
                          </a:pathLst>
                        </a:custGeom>
                        <a:solidFill>
                          <a:srgbClr val="065D5F"/>
                        </a:solidFill>
                      </wps:spPr>
                      <wps:bodyPr wrap="square" lIns="0" tIns="0" rIns="0" bIns="0" rtlCol="0">
                        <a:prstTxWarp prst="textNoShape">
                          <a:avLst/>
                        </a:prstTxWarp>
                        <a:noAutofit/>
                      </wps:bodyPr>
                    </wps:wsp>
                  </a:graphicData>
                </a:graphic>
              </wp:anchor>
            </w:drawing>
          </mc:Choice>
          <mc:Fallback>
            <w:pict>
              <v:shape w14:anchorId="225B5FCB" id="Graphic 18" o:spid="_x0000_s1026" style="position:absolute;margin-left:35.4pt;margin-top:15.5pt;width:518.9pt;height:.5pt;z-index:-251658232;visibility:visible;mso-wrap-style:square;mso-wrap-distance-left:0;mso-wrap-distance-top:0;mso-wrap-distance-right:0;mso-wrap-distance-bottom:0;mso-position-horizontal:absolute;mso-position-horizontal-relative:page;mso-position-vertical:absolute;mso-position-vertical-relative:text;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" path="m6589522,l,,,6096r6589522,l6589522,xe" fillcolor="#065d5f" stroked="f">
                <v:path arrowok="t"/>
                <w10:wrap type="topAndBottom" anchorx="page"/>
              </v:shape>
            </w:pict>
          </mc:Fallback>
        </mc:AlternateContent>
      </w:r>
    </w:p>
    <w:p w14:paraId="223F3D48" w14:textId="77777777" w:rsidR="001D297E" w:rsidRDefault="001D297E" w:rsidP="008211BE">
      <w:pPr>
        <w:spacing w:before="127"/>
        <w:rPr>
          <w:rFonts w:ascii="VIC Light"/>
          <w:sz w:val="36"/>
        </w:rPr>
      </w:pPr>
      <w:r>
        <w:rPr>
          <w:rFonts w:ascii="VIC Light"/>
          <w:color w:val="065D5F"/>
          <w:sz w:val="36"/>
        </w:rPr>
        <w:t xml:space="preserve">Language </w:t>
      </w:r>
      <w:r>
        <w:rPr>
          <w:rFonts w:ascii="VIC Light"/>
          <w:color w:val="065D5F"/>
          <w:spacing w:val="-2"/>
          <w:sz w:val="36"/>
        </w:rPr>
        <w:t>statement</w:t>
      </w:r>
    </w:p>
    <w:p w14:paraId="6F1EA8F4" w14:textId="66FAF8A8" w:rsidR="001D297E" w:rsidRPr="00073570" w:rsidRDefault="001D297E" w:rsidP="008211BE">
      <w:pPr>
        <w:pStyle w:val="BodyText"/>
        <w:spacing w:before="67"/>
        <w:ind w:right="439"/>
        <w:rPr>
          <w:color w:val="auto"/>
        </w:rPr>
      </w:pPr>
      <w:r w:rsidRPr="00073570">
        <w:rPr>
          <w:color w:val="auto"/>
        </w:rPr>
        <w:t>Language is important and can change over time, and words can have different meanings for different people. We recognise</w:t>
      </w:r>
      <w:r w:rsidRPr="00073570">
        <w:rPr>
          <w:color w:val="auto"/>
          <w:spacing w:val="-4"/>
        </w:rPr>
        <w:t xml:space="preserve"> </w:t>
      </w:r>
      <w:r w:rsidRPr="00073570">
        <w:rPr>
          <w:color w:val="auto"/>
        </w:rPr>
        <w:t>the</w:t>
      </w:r>
      <w:r w:rsidRPr="00073570">
        <w:rPr>
          <w:color w:val="auto"/>
          <w:spacing w:val="-6"/>
        </w:rPr>
        <w:t xml:space="preserve"> </w:t>
      </w:r>
      <w:r w:rsidRPr="00073570">
        <w:rPr>
          <w:color w:val="auto"/>
        </w:rPr>
        <w:t>diversity</w:t>
      </w:r>
      <w:r w:rsidRPr="00073570">
        <w:rPr>
          <w:color w:val="auto"/>
          <w:spacing w:val="-5"/>
        </w:rPr>
        <w:t xml:space="preserve"> </w:t>
      </w:r>
      <w:r w:rsidRPr="00073570">
        <w:rPr>
          <w:color w:val="auto"/>
        </w:rPr>
        <w:t>of</w:t>
      </w:r>
      <w:r w:rsidRPr="00073570">
        <w:rPr>
          <w:color w:val="auto"/>
          <w:spacing w:val="-4"/>
        </w:rPr>
        <w:t xml:space="preserve"> </w:t>
      </w:r>
      <w:r w:rsidRPr="00073570">
        <w:rPr>
          <w:color w:val="auto"/>
        </w:rPr>
        <w:t>First</w:t>
      </w:r>
      <w:r w:rsidRPr="00073570">
        <w:rPr>
          <w:color w:val="auto"/>
          <w:spacing w:val="-3"/>
        </w:rPr>
        <w:t xml:space="preserve"> </w:t>
      </w:r>
      <w:r w:rsidRPr="00073570">
        <w:rPr>
          <w:color w:val="auto"/>
        </w:rPr>
        <w:t>Peoples</w:t>
      </w:r>
      <w:r w:rsidRPr="00073570">
        <w:rPr>
          <w:color w:val="auto"/>
          <w:spacing w:val="-4"/>
        </w:rPr>
        <w:t xml:space="preserve"> </w:t>
      </w:r>
      <w:r w:rsidRPr="00073570">
        <w:rPr>
          <w:color w:val="auto"/>
        </w:rPr>
        <w:t>living</w:t>
      </w:r>
      <w:r w:rsidRPr="00073570">
        <w:rPr>
          <w:color w:val="auto"/>
          <w:spacing w:val="-6"/>
        </w:rPr>
        <w:t xml:space="preserve"> </w:t>
      </w:r>
      <w:r w:rsidRPr="00073570">
        <w:rPr>
          <w:color w:val="auto"/>
        </w:rPr>
        <w:t>throughout</w:t>
      </w:r>
      <w:r w:rsidRPr="00073570">
        <w:rPr>
          <w:color w:val="auto"/>
          <w:spacing w:val="-4"/>
        </w:rPr>
        <w:t xml:space="preserve"> </w:t>
      </w:r>
      <w:r w:rsidRPr="00073570">
        <w:rPr>
          <w:color w:val="auto"/>
        </w:rPr>
        <w:t>Victoria.</w:t>
      </w:r>
      <w:r w:rsidRPr="00073570">
        <w:rPr>
          <w:color w:val="auto"/>
          <w:spacing w:val="-5"/>
        </w:rPr>
        <w:t xml:space="preserve"> </w:t>
      </w:r>
      <w:r w:rsidRPr="00073570">
        <w:rPr>
          <w:color w:val="auto"/>
        </w:rPr>
        <w:t>We</w:t>
      </w:r>
      <w:r w:rsidRPr="00073570">
        <w:rPr>
          <w:color w:val="auto"/>
          <w:spacing w:val="-4"/>
        </w:rPr>
        <w:t xml:space="preserve"> </w:t>
      </w:r>
      <w:r w:rsidRPr="00073570">
        <w:rPr>
          <w:color w:val="auto"/>
        </w:rPr>
        <w:t>have</w:t>
      </w:r>
      <w:r w:rsidRPr="00073570">
        <w:rPr>
          <w:color w:val="auto"/>
          <w:spacing w:val="-4"/>
        </w:rPr>
        <w:t xml:space="preserve"> </w:t>
      </w:r>
      <w:r w:rsidRPr="00073570">
        <w:rPr>
          <w:color w:val="auto"/>
        </w:rPr>
        <w:t>respectfully</w:t>
      </w:r>
      <w:r w:rsidRPr="00073570">
        <w:rPr>
          <w:color w:val="auto"/>
          <w:spacing w:val="-4"/>
        </w:rPr>
        <w:t xml:space="preserve"> </w:t>
      </w:r>
      <w:r w:rsidRPr="00073570">
        <w:rPr>
          <w:color w:val="auto"/>
        </w:rPr>
        <w:t>used</w:t>
      </w:r>
      <w:r w:rsidRPr="00073570">
        <w:rPr>
          <w:color w:val="auto"/>
          <w:spacing w:val="-4"/>
        </w:rPr>
        <w:t xml:space="preserve"> </w:t>
      </w:r>
      <w:r w:rsidRPr="00073570">
        <w:rPr>
          <w:color w:val="auto"/>
        </w:rPr>
        <w:t>the</w:t>
      </w:r>
      <w:r w:rsidRPr="00073570">
        <w:rPr>
          <w:color w:val="auto"/>
          <w:spacing w:val="-4"/>
        </w:rPr>
        <w:t xml:space="preserve"> </w:t>
      </w:r>
      <w:r w:rsidRPr="00073570">
        <w:rPr>
          <w:color w:val="auto"/>
        </w:rPr>
        <w:t>term</w:t>
      </w:r>
      <w:r w:rsidRPr="00073570">
        <w:rPr>
          <w:color w:val="auto"/>
          <w:spacing w:val="-4"/>
        </w:rPr>
        <w:t xml:space="preserve"> </w:t>
      </w:r>
      <w:r w:rsidRPr="00073570">
        <w:rPr>
          <w:color w:val="auto"/>
        </w:rPr>
        <w:t>First</w:t>
      </w:r>
      <w:r w:rsidRPr="00073570">
        <w:rPr>
          <w:color w:val="auto"/>
          <w:spacing w:val="-3"/>
        </w:rPr>
        <w:t xml:space="preserve"> </w:t>
      </w:r>
      <w:r w:rsidRPr="00073570">
        <w:rPr>
          <w:color w:val="auto"/>
        </w:rPr>
        <w:t>Peoples</w:t>
      </w:r>
      <w:r w:rsidRPr="00073570">
        <w:rPr>
          <w:color w:val="auto"/>
          <w:spacing w:val="-4"/>
        </w:rPr>
        <w:t xml:space="preserve"> </w:t>
      </w:r>
      <w:r w:rsidRPr="00073570">
        <w:rPr>
          <w:color w:val="auto"/>
        </w:rPr>
        <w:t>in the</w:t>
      </w:r>
      <w:r w:rsidR="00073570" w:rsidRPr="00073570">
        <w:rPr>
          <w:color w:val="auto"/>
        </w:rPr>
        <w:t xml:space="preserve"> in the Victorian Cadastral Surveys Practice Directives 2025. </w:t>
      </w:r>
      <w:r w:rsidRPr="00073570">
        <w:rPr>
          <w:color w:val="auto"/>
        </w:rPr>
        <w:t>This term refers to all people of Australian Aboriginal and/or Torres Strait Islander descent, living in or visiting Victoria.</w:t>
      </w:r>
    </w:p>
    <w:p w14:paraId="06448285" w14:textId="77777777" w:rsidR="001D297E" w:rsidRPr="00073570" w:rsidRDefault="001D297E" w:rsidP="008211BE">
      <w:pPr>
        <w:pStyle w:val="BodyText"/>
        <w:spacing w:before="174"/>
        <w:rPr>
          <w:color w:val="auto"/>
        </w:rPr>
      </w:pPr>
      <w:r w:rsidRPr="00073570">
        <w:rPr>
          <w:color w:val="auto"/>
        </w:rPr>
        <w:t>The words ‘our’ and ‘we’ in this document refer to</w:t>
      </w:r>
      <w:r w:rsidRPr="00073570">
        <w:rPr>
          <w:color w:val="auto"/>
          <w:spacing w:val="5"/>
        </w:rPr>
        <w:t xml:space="preserve"> </w:t>
      </w:r>
      <w:r w:rsidRPr="00073570">
        <w:rPr>
          <w:color w:val="auto"/>
        </w:rPr>
        <w:t>the</w:t>
      </w:r>
      <w:r w:rsidRPr="00073570">
        <w:rPr>
          <w:color w:val="auto"/>
          <w:spacing w:val="-2"/>
        </w:rPr>
        <w:t xml:space="preserve"> </w:t>
      </w:r>
      <w:r w:rsidRPr="00073570">
        <w:rPr>
          <w:color w:val="auto"/>
        </w:rPr>
        <w:t>Department</w:t>
      </w:r>
      <w:r w:rsidRPr="00073570">
        <w:rPr>
          <w:color w:val="auto"/>
          <w:spacing w:val="1"/>
        </w:rPr>
        <w:t xml:space="preserve"> </w:t>
      </w:r>
      <w:r w:rsidRPr="00073570">
        <w:rPr>
          <w:color w:val="auto"/>
        </w:rPr>
        <w:t>of Transport</w:t>
      </w:r>
      <w:r w:rsidRPr="00073570">
        <w:rPr>
          <w:color w:val="auto"/>
          <w:spacing w:val="2"/>
        </w:rPr>
        <w:t xml:space="preserve"> </w:t>
      </w:r>
      <w:r w:rsidRPr="00073570">
        <w:rPr>
          <w:color w:val="auto"/>
        </w:rPr>
        <w:t xml:space="preserve">and </w:t>
      </w:r>
      <w:r w:rsidRPr="00073570">
        <w:rPr>
          <w:color w:val="auto"/>
          <w:spacing w:val="-2"/>
        </w:rPr>
        <w:t>Planning.</w:t>
      </w:r>
    </w:p>
    <w:p w14:paraId="0D4FCEC2" w14:textId="77777777" w:rsidR="001D297E" w:rsidRDefault="001D297E" w:rsidP="008211BE">
      <w:pPr>
        <w:spacing w:before="120"/>
        <w:rPr>
          <w:rFonts w:ascii="VIC Light"/>
          <w:sz w:val="36"/>
        </w:rPr>
      </w:pPr>
      <w:r>
        <w:rPr>
          <w:rFonts w:ascii="VIC Light"/>
          <w:color w:val="065D5F"/>
          <w:spacing w:val="-2"/>
          <w:sz w:val="36"/>
        </w:rPr>
        <w:t>Accessibility</w:t>
      </w:r>
    </w:p>
    <w:p w14:paraId="49BBA2EC" w14:textId="58A6C7E8" w:rsidR="001D297E" w:rsidRDefault="001D297E" w:rsidP="008211BE">
      <w:pPr>
        <w:pStyle w:val="BodyText"/>
        <w:spacing w:before="68"/>
        <w:ind w:right="1313"/>
      </w:pPr>
      <w:r>
        <w:t>If</w:t>
      </w:r>
      <w:r>
        <w:rPr>
          <w:spacing w:val="-2"/>
        </w:rPr>
        <w:t xml:space="preserve"> </w:t>
      </w:r>
      <w:r>
        <w:t>you</w:t>
      </w:r>
      <w:r>
        <w:rPr>
          <w:spacing w:val="-2"/>
        </w:rPr>
        <w:t xml:space="preserve"> </w:t>
      </w:r>
      <w:r>
        <w:t>would</w:t>
      </w:r>
      <w:r>
        <w:rPr>
          <w:spacing w:val="-2"/>
        </w:rPr>
        <w:t xml:space="preserve"> </w:t>
      </w:r>
      <w:r>
        <w:t>like</w:t>
      </w:r>
      <w:r>
        <w:rPr>
          <w:spacing w:val="-2"/>
        </w:rPr>
        <w:t xml:space="preserve"> </w:t>
      </w:r>
      <w:r>
        <w:t>to</w:t>
      </w:r>
      <w:r>
        <w:rPr>
          <w:spacing w:val="-2"/>
        </w:rPr>
        <w:t xml:space="preserve"> </w:t>
      </w:r>
      <w:r>
        <w:t>receive</w:t>
      </w:r>
      <w:r>
        <w:rPr>
          <w:spacing w:val="-2"/>
        </w:rPr>
        <w:t xml:space="preserve"> </w:t>
      </w:r>
      <w:r>
        <w:t>this</w:t>
      </w:r>
      <w:r>
        <w:rPr>
          <w:spacing w:val="-2"/>
        </w:rPr>
        <w:t xml:space="preserve"> </w:t>
      </w:r>
      <w:r>
        <w:t>publication</w:t>
      </w:r>
      <w:r>
        <w:rPr>
          <w:spacing w:val="-2"/>
        </w:rPr>
        <w:t xml:space="preserve"> </w:t>
      </w:r>
      <w:r>
        <w:t>in</w:t>
      </w:r>
      <w:r>
        <w:rPr>
          <w:spacing w:val="-2"/>
        </w:rPr>
        <w:t xml:space="preserve"> </w:t>
      </w:r>
      <w:r>
        <w:t>an</w:t>
      </w:r>
      <w:r>
        <w:rPr>
          <w:spacing w:val="-2"/>
        </w:rPr>
        <w:t xml:space="preserve"> </w:t>
      </w:r>
      <w:r>
        <w:t>accessible</w:t>
      </w:r>
      <w:r>
        <w:rPr>
          <w:spacing w:val="-2"/>
        </w:rPr>
        <w:t xml:space="preserve"> </w:t>
      </w:r>
      <w:r>
        <w:t>format,</w:t>
      </w:r>
      <w:r>
        <w:rPr>
          <w:spacing w:val="-4"/>
        </w:rPr>
        <w:t xml:space="preserve"> </w:t>
      </w:r>
      <w:r>
        <w:t>such</w:t>
      </w:r>
      <w:r>
        <w:rPr>
          <w:spacing w:val="-2"/>
        </w:rPr>
        <w:t xml:space="preserve"> </w:t>
      </w:r>
      <w:r>
        <w:t>as</w:t>
      </w:r>
      <w:r>
        <w:rPr>
          <w:spacing w:val="-2"/>
        </w:rPr>
        <w:t xml:space="preserve"> </w:t>
      </w:r>
      <w:r>
        <w:t>large</w:t>
      </w:r>
      <w:r>
        <w:rPr>
          <w:spacing w:val="-2"/>
        </w:rPr>
        <w:t xml:space="preserve"> </w:t>
      </w:r>
      <w:r>
        <w:t>print</w:t>
      </w:r>
      <w:r>
        <w:rPr>
          <w:spacing w:val="-2"/>
        </w:rPr>
        <w:t xml:space="preserve"> </w:t>
      </w:r>
      <w:r>
        <w:t>or</w:t>
      </w:r>
      <w:r>
        <w:rPr>
          <w:spacing w:val="-2"/>
        </w:rPr>
        <w:t xml:space="preserve"> </w:t>
      </w:r>
      <w:r>
        <w:t>a</w:t>
      </w:r>
      <w:r w:rsidRPr="00073570">
        <w:t>udio</w:t>
      </w:r>
      <w:r w:rsidRPr="00073570">
        <w:rPr>
          <w:color w:val="auto"/>
        </w:rPr>
        <w:t>,</w:t>
      </w:r>
      <w:r w:rsidR="00073570">
        <w:rPr>
          <w:color w:val="auto"/>
        </w:rPr>
        <w:t xml:space="preserve"> email</w:t>
      </w:r>
      <w:r w:rsidR="00073570" w:rsidRPr="00073570">
        <w:rPr>
          <w:color w:val="auto"/>
          <w:spacing w:val="-2"/>
        </w:rPr>
        <w:t xml:space="preserve"> </w:t>
      </w:r>
      <w:hyperlink r:id="rId17" w:history="1">
        <w:r w:rsidR="00073570" w:rsidRPr="00073570">
          <w:rPr>
            <w:rStyle w:val="Hyperlink"/>
            <w:color w:val="auto"/>
          </w:rPr>
          <w:t>surveyor.general@transport.vic.gov.au</w:t>
        </w:r>
      </w:hyperlink>
    </w:p>
    <w:p w14:paraId="622C68B7" w14:textId="12FD3748" w:rsidR="00073570" w:rsidRPr="00073570" w:rsidRDefault="001D297E" w:rsidP="008211BE">
      <w:pPr>
        <w:pStyle w:val="BodyText"/>
        <w:spacing w:before="172"/>
        <w:rPr>
          <w:color w:val="auto"/>
        </w:rPr>
      </w:pPr>
      <w:r>
        <w:t>This document is also available in accessible Word and</w:t>
      </w:r>
      <w:r>
        <w:rPr>
          <w:spacing w:val="-2"/>
        </w:rPr>
        <w:t xml:space="preserve"> </w:t>
      </w:r>
      <w:r>
        <w:t>PDF</w:t>
      </w:r>
      <w:r>
        <w:rPr>
          <w:spacing w:val="-2"/>
        </w:rPr>
        <w:t xml:space="preserve"> </w:t>
      </w:r>
      <w:r>
        <w:t>format at</w:t>
      </w:r>
      <w:r w:rsidR="006A5483">
        <w:t xml:space="preserve"> </w:t>
      </w:r>
      <w:hyperlink r:id="rId18" w:history="1">
        <w:r w:rsidR="00267EDF" w:rsidRPr="00407F81">
          <w:rPr>
            <w:rStyle w:val="Hyperlink"/>
          </w:rPr>
          <w:t>https://www.land.vic.gov.au/surveying/cadastral-survey/practice-directives</w:t>
        </w:r>
      </w:hyperlink>
      <w:r w:rsidR="00267EDF">
        <w:rPr>
          <w:color w:val="auto"/>
        </w:rPr>
        <w:t xml:space="preserve"> </w:t>
      </w:r>
    </w:p>
    <w:p w14:paraId="6AE59B48" w14:textId="77777777" w:rsidR="001D297E" w:rsidRDefault="001D297E" w:rsidP="008211BE">
      <w:pPr>
        <w:spacing w:before="120"/>
        <w:rPr>
          <w:rFonts w:ascii="VIC Light"/>
          <w:sz w:val="36"/>
        </w:rPr>
      </w:pPr>
      <w:r>
        <w:rPr>
          <w:rFonts w:ascii="VIC Light"/>
          <w:color w:val="065D5F"/>
          <w:spacing w:val="-2"/>
          <w:sz w:val="36"/>
        </w:rPr>
        <w:t>Disclaimer</w:t>
      </w:r>
    </w:p>
    <w:p w14:paraId="4B997C70" w14:textId="77777777" w:rsidR="003F144D" w:rsidRDefault="001D297E" w:rsidP="008211BE">
      <w:pPr>
        <w:pStyle w:val="BodyText"/>
        <w:spacing w:before="67"/>
        <w:ind w:right="551"/>
        <w:rPr>
          <w:spacing w:val="-2"/>
        </w:rPr>
        <w:sectPr w:rsidR="003F144D" w:rsidSect="001D297E">
          <w:headerReference w:type="even" r:id="rId19"/>
          <w:headerReference w:type="default" r:id="rId20"/>
          <w:footerReference w:type="even" r:id="rId21"/>
          <w:footerReference w:type="default" r:id="rId22"/>
          <w:headerReference w:type="first" r:id="rId23"/>
          <w:footerReference w:type="first" r:id="rId24"/>
          <w:pgSz w:w="11906" w:h="16838"/>
          <w:pgMar w:top="1758" w:right="567" w:bottom="1531" w:left="567" w:header="850" w:footer="510" w:gutter="0"/>
          <w:pgNumType w:start="0"/>
          <w:cols w:space="708"/>
          <w:titlePg/>
          <w:docGrid w:linePitch="360"/>
        </w:sectPr>
      </w:pPr>
      <w:r>
        <w:t>This</w:t>
      </w:r>
      <w:r>
        <w:rPr>
          <w:spacing w:val="-3"/>
        </w:rPr>
        <w:t xml:space="preserve"> </w:t>
      </w:r>
      <w:r>
        <w:t>publication</w:t>
      </w:r>
      <w:r>
        <w:rPr>
          <w:spacing w:val="-3"/>
        </w:rPr>
        <w:t xml:space="preserve"> </w:t>
      </w:r>
      <w:r>
        <w:t>may</w:t>
      </w:r>
      <w:r>
        <w:rPr>
          <w:spacing w:val="-4"/>
        </w:rPr>
        <w:t xml:space="preserve"> </w:t>
      </w:r>
      <w:r>
        <w:t>be</w:t>
      </w:r>
      <w:r>
        <w:rPr>
          <w:spacing w:val="-3"/>
        </w:rPr>
        <w:t xml:space="preserve"> </w:t>
      </w:r>
      <w:r>
        <w:t>of</w:t>
      </w:r>
      <w:r>
        <w:rPr>
          <w:spacing w:val="-5"/>
        </w:rPr>
        <w:t xml:space="preserve"> </w:t>
      </w:r>
      <w:r>
        <w:t>assistance</w:t>
      </w:r>
      <w:r>
        <w:rPr>
          <w:spacing w:val="-1"/>
        </w:rPr>
        <w:t xml:space="preserve"> </w:t>
      </w:r>
      <w:r>
        <w:t>to</w:t>
      </w:r>
      <w:r>
        <w:rPr>
          <w:spacing w:val="-3"/>
        </w:rPr>
        <w:t xml:space="preserve"> </w:t>
      </w:r>
      <w:r>
        <w:t>you,</w:t>
      </w:r>
      <w:r>
        <w:rPr>
          <w:spacing w:val="-3"/>
        </w:rPr>
        <w:t xml:space="preserve"> </w:t>
      </w:r>
      <w:r>
        <w:t>but</w:t>
      </w:r>
      <w:r>
        <w:rPr>
          <w:spacing w:val="-3"/>
        </w:rPr>
        <w:t xml:space="preserve"> </w:t>
      </w:r>
      <w:r>
        <w:t>the</w:t>
      </w:r>
      <w:r>
        <w:rPr>
          <w:spacing w:val="-3"/>
        </w:rPr>
        <w:t xml:space="preserve"> </w:t>
      </w:r>
      <w:r>
        <w:t>State</w:t>
      </w:r>
      <w:r>
        <w:rPr>
          <w:spacing w:val="-3"/>
        </w:rPr>
        <w:t xml:space="preserve"> </w:t>
      </w:r>
      <w:r>
        <w:t>of</w:t>
      </w:r>
      <w:r>
        <w:rPr>
          <w:spacing w:val="-3"/>
        </w:rPr>
        <w:t xml:space="preserve"> </w:t>
      </w:r>
      <w:r>
        <w:t>Victoria</w:t>
      </w:r>
      <w:r>
        <w:rPr>
          <w:spacing w:val="-4"/>
        </w:rPr>
        <w:t xml:space="preserve"> </w:t>
      </w:r>
      <w:r>
        <w:t>and</w:t>
      </w:r>
      <w:r>
        <w:rPr>
          <w:spacing w:val="-3"/>
        </w:rPr>
        <w:t xml:space="preserve"> </w:t>
      </w:r>
      <w:r>
        <w:t>its</w:t>
      </w:r>
      <w:r>
        <w:rPr>
          <w:spacing w:val="-3"/>
        </w:rPr>
        <w:t xml:space="preserve"> </w:t>
      </w:r>
      <w:r>
        <w:t>employees</w:t>
      </w:r>
      <w:r>
        <w:rPr>
          <w:spacing w:val="-3"/>
        </w:rPr>
        <w:t xml:space="preserve"> </w:t>
      </w:r>
      <w:r>
        <w:t>do</w:t>
      </w:r>
      <w:r>
        <w:rPr>
          <w:spacing w:val="-3"/>
        </w:rPr>
        <w:t xml:space="preserve"> </w:t>
      </w:r>
      <w:r>
        <w:t>not</w:t>
      </w:r>
      <w:r>
        <w:rPr>
          <w:spacing w:val="-3"/>
        </w:rPr>
        <w:t xml:space="preserve"> </w:t>
      </w:r>
      <w:r>
        <w:t>guarantee</w:t>
      </w:r>
      <w:r>
        <w:rPr>
          <w:spacing w:val="-3"/>
        </w:rPr>
        <w:t xml:space="preserve"> </w:t>
      </w:r>
      <w:r>
        <w:t>that</w:t>
      </w:r>
      <w:r>
        <w:rPr>
          <w:spacing w:val="-3"/>
        </w:rPr>
        <w:t xml:space="preserve"> </w:t>
      </w:r>
      <w:r>
        <w:t>the publication</w:t>
      </w:r>
      <w:r>
        <w:rPr>
          <w:spacing w:val="-4"/>
        </w:rPr>
        <w:t xml:space="preserve"> </w:t>
      </w:r>
      <w:r>
        <w:t>is</w:t>
      </w:r>
      <w:r>
        <w:rPr>
          <w:spacing w:val="-4"/>
        </w:rPr>
        <w:t xml:space="preserve"> </w:t>
      </w:r>
      <w:r>
        <w:t>without</w:t>
      </w:r>
      <w:r>
        <w:rPr>
          <w:spacing w:val="-4"/>
        </w:rPr>
        <w:t xml:space="preserve"> </w:t>
      </w:r>
      <w:r>
        <w:t>flaw</w:t>
      </w:r>
      <w:r>
        <w:rPr>
          <w:spacing w:val="-4"/>
        </w:rPr>
        <w:t xml:space="preserve"> </w:t>
      </w:r>
      <w:r>
        <w:t>of</w:t>
      </w:r>
      <w:r>
        <w:rPr>
          <w:spacing w:val="-4"/>
        </w:rPr>
        <w:t xml:space="preserve"> </w:t>
      </w:r>
      <w:r>
        <w:t>any</w:t>
      </w:r>
      <w:r>
        <w:rPr>
          <w:spacing w:val="-5"/>
        </w:rPr>
        <w:t xml:space="preserve"> </w:t>
      </w:r>
      <w:r>
        <w:t>kind</w:t>
      </w:r>
      <w:r>
        <w:rPr>
          <w:spacing w:val="-4"/>
        </w:rPr>
        <w:t xml:space="preserve"> </w:t>
      </w:r>
      <w:r>
        <w:t>or</w:t>
      </w:r>
      <w:r>
        <w:rPr>
          <w:spacing w:val="-4"/>
        </w:rPr>
        <w:t xml:space="preserve"> </w:t>
      </w:r>
      <w:r>
        <w:t>is</w:t>
      </w:r>
      <w:r>
        <w:rPr>
          <w:spacing w:val="-4"/>
        </w:rPr>
        <w:t xml:space="preserve"> </w:t>
      </w:r>
      <w:r>
        <w:t>wholly</w:t>
      </w:r>
      <w:r>
        <w:rPr>
          <w:spacing w:val="-4"/>
        </w:rPr>
        <w:t xml:space="preserve"> </w:t>
      </w:r>
      <w:r>
        <w:t>appropriate</w:t>
      </w:r>
      <w:r>
        <w:rPr>
          <w:spacing w:val="-4"/>
        </w:rPr>
        <w:t xml:space="preserve"> </w:t>
      </w:r>
      <w:r>
        <w:t>for</w:t>
      </w:r>
      <w:r>
        <w:rPr>
          <w:spacing w:val="-4"/>
        </w:rPr>
        <w:t xml:space="preserve"> </w:t>
      </w:r>
      <w:r>
        <w:t>your</w:t>
      </w:r>
      <w:r>
        <w:rPr>
          <w:spacing w:val="-4"/>
        </w:rPr>
        <w:t xml:space="preserve"> </w:t>
      </w:r>
      <w:r>
        <w:t>particular</w:t>
      </w:r>
      <w:r>
        <w:rPr>
          <w:spacing w:val="-4"/>
        </w:rPr>
        <w:t xml:space="preserve"> </w:t>
      </w:r>
      <w:r>
        <w:t>purposes</w:t>
      </w:r>
      <w:r>
        <w:rPr>
          <w:spacing w:val="-4"/>
        </w:rPr>
        <w:t xml:space="preserve"> </w:t>
      </w:r>
      <w:r>
        <w:t>and</w:t>
      </w:r>
      <w:r>
        <w:rPr>
          <w:spacing w:val="-4"/>
        </w:rPr>
        <w:t xml:space="preserve"> </w:t>
      </w:r>
      <w:r>
        <w:t>therefore</w:t>
      </w:r>
      <w:r>
        <w:rPr>
          <w:spacing w:val="-4"/>
        </w:rPr>
        <w:t xml:space="preserve"> </w:t>
      </w:r>
      <w:r>
        <w:t xml:space="preserve">disclaims all liability for any error, loss or other consequence which may arise from you relying on any information in this </w:t>
      </w:r>
      <w:r>
        <w:rPr>
          <w:spacing w:val="-2"/>
        </w:rPr>
        <w:t>publication.</w:t>
      </w:r>
    </w:p>
    <w:p w14:paraId="24D72FF6" w14:textId="0DBBBE31" w:rsidR="001D297E" w:rsidRDefault="001D297E" w:rsidP="008211BE">
      <w:pPr>
        <w:pStyle w:val="BodyText"/>
        <w:spacing w:before="67"/>
        <w:ind w:right="551"/>
      </w:pPr>
    </w:p>
    <w:p w14:paraId="6F735B77" w14:textId="7C7C10A1" w:rsidR="005209F0" w:rsidRPr="00CB4320" w:rsidRDefault="005209F0" w:rsidP="00CA022C">
      <w:pPr>
        <w:pStyle w:val="TOCHeading"/>
      </w:pPr>
      <w:r>
        <w:lastRenderedPageBreak/>
        <w:t>Contents</w:t>
      </w:r>
    </w:p>
    <w:p w14:paraId="28A89426" w14:textId="50E0071E" w:rsidR="000C4B00" w:rsidRDefault="00F7790A">
      <w:pPr>
        <w:pStyle w:val="TOC4"/>
        <w:rPr>
          <w:rFonts w:eastAsiaTheme="minorEastAsia"/>
          <w:b w:val="0"/>
          <w:noProof/>
          <w:color w:val="auto"/>
          <w:kern w:val="2"/>
          <w:sz w:val="24"/>
          <w:szCs w:val="24"/>
          <w:lang w:eastAsia="en-AU"/>
          <w14:ligatures w14:val="standardContextual"/>
        </w:rPr>
      </w:pPr>
      <w:r>
        <w:fldChar w:fldCharType="begin"/>
      </w:r>
      <w:r>
        <w:instrText xml:space="preserve"> TOC \h \z \t "Heading 1,1,Heading 2,2,Heading 3,3,Heading 1 - Numbered,4,Heading 3 - Numbered,6,Heading 2 - Numbered,5" </w:instrText>
      </w:r>
      <w:r>
        <w:fldChar w:fldCharType="separate"/>
      </w:r>
      <w:hyperlink w:anchor="_Toc215483326" w:history="1">
        <w:r w:rsidR="000C4B00" w:rsidRPr="00BB6A7C">
          <w:rPr>
            <w:rStyle w:val="Hyperlink"/>
            <w:noProof/>
          </w:rPr>
          <w:t>1.</w:t>
        </w:r>
        <w:r w:rsidR="000C4B00">
          <w:rPr>
            <w:rFonts w:eastAsiaTheme="minorEastAsia"/>
            <w:b w:val="0"/>
            <w:noProof/>
            <w:color w:val="auto"/>
            <w:kern w:val="2"/>
            <w:sz w:val="24"/>
            <w:szCs w:val="24"/>
            <w:lang w:eastAsia="en-AU"/>
            <w14:ligatures w14:val="standardContextual"/>
          </w:rPr>
          <w:tab/>
        </w:r>
        <w:r w:rsidR="000C4B00" w:rsidRPr="00BB6A7C">
          <w:rPr>
            <w:rStyle w:val="Hyperlink"/>
            <w:noProof/>
          </w:rPr>
          <w:t>Cadastral Surveys Practice Directives</w:t>
        </w:r>
        <w:r w:rsidR="000C4B00">
          <w:rPr>
            <w:noProof/>
            <w:webHidden/>
          </w:rPr>
          <w:tab/>
        </w:r>
        <w:r w:rsidR="000C4B00">
          <w:rPr>
            <w:noProof/>
            <w:webHidden/>
          </w:rPr>
          <w:fldChar w:fldCharType="begin"/>
        </w:r>
        <w:r w:rsidR="000C4B00">
          <w:rPr>
            <w:noProof/>
            <w:webHidden/>
          </w:rPr>
          <w:instrText xml:space="preserve"> PAGEREF _Toc215483326 \h </w:instrText>
        </w:r>
        <w:r w:rsidR="000C4B00">
          <w:rPr>
            <w:noProof/>
            <w:webHidden/>
          </w:rPr>
        </w:r>
        <w:r w:rsidR="000C4B00">
          <w:rPr>
            <w:noProof/>
            <w:webHidden/>
          </w:rPr>
          <w:fldChar w:fldCharType="separate"/>
        </w:r>
        <w:r w:rsidR="000C4B00">
          <w:rPr>
            <w:noProof/>
            <w:webHidden/>
          </w:rPr>
          <w:t>5</w:t>
        </w:r>
        <w:r w:rsidR="000C4B00">
          <w:rPr>
            <w:noProof/>
            <w:webHidden/>
          </w:rPr>
          <w:fldChar w:fldCharType="end"/>
        </w:r>
      </w:hyperlink>
    </w:p>
    <w:p w14:paraId="66484EF8" w14:textId="218DFBB9" w:rsidR="000C4B00" w:rsidRDefault="000C4B00">
      <w:pPr>
        <w:pStyle w:val="TOC5"/>
        <w:rPr>
          <w:rFonts w:eastAsiaTheme="minorEastAsia"/>
          <w:noProof/>
          <w:color w:val="auto"/>
          <w:kern w:val="2"/>
          <w:sz w:val="24"/>
          <w:szCs w:val="24"/>
          <w:lang w:eastAsia="en-AU"/>
          <w14:ligatures w14:val="standardContextual"/>
        </w:rPr>
      </w:pPr>
      <w:hyperlink w:anchor="_Toc215483327" w:history="1">
        <w:r w:rsidRPr="00BB6A7C">
          <w:rPr>
            <w:rStyle w:val="Hyperlink"/>
            <w:noProof/>
          </w:rPr>
          <w:t>1.1.</w:t>
        </w:r>
        <w:r>
          <w:rPr>
            <w:rFonts w:eastAsiaTheme="minorEastAsia"/>
            <w:noProof/>
            <w:color w:val="auto"/>
            <w:kern w:val="2"/>
            <w:sz w:val="24"/>
            <w:szCs w:val="24"/>
            <w:lang w:eastAsia="en-AU"/>
            <w14:ligatures w14:val="standardContextual"/>
          </w:rPr>
          <w:tab/>
        </w:r>
        <w:r w:rsidRPr="00BB6A7C">
          <w:rPr>
            <w:rStyle w:val="Hyperlink"/>
            <w:noProof/>
          </w:rPr>
          <w:t>Purpose of Cadastral Surveys Practice Directives</w:t>
        </w:r>
        <w:r>
          <w:rPr>
            <w:noProof/>
            <w:webHidden/>
          </w:rPr>
          <w:tab/>
        </w:r>
        <w:r>
          <w:rPr>
            <w:noProof/>
            <w:webHidden/>
          </w:rPr>
          <w:fldChar w:fldCharType="begin"/>
        </w:r>
        <w:r>
          <w:rPr>
            <w:noProof/>
            <w:webHidden/>
          </w:rPr>
          <w:instrText xml:space="preserve"> PAGEREF _Toc215483327 \h </w:instrText>
        </w:r>
        <w:r>
          <w:rPr>
            <w:noProof/>
            <w:webHidden/>
          </w:rPr>
        </w:r>
        <w:r>
          <w:rPr>
            <w:noProof/>
            <w:webHidden/>
          </w:rPr>
          <w:fldChar w:fldCharType="separate"/>
        </w:r>
        <w:r>
          <w:rPr>
            <w:noProof/>
            <w:webHidden/>
          </w:rPr>
          <w:t>5</w:t>
        </w:r>
        <w:r>
          <w:rPr>
            <w:noProof/>
            <w:webHidden/>
          </w:rPr>
          <w:fldChar w:fldCharType="end"/>
        </w:r>
      </w:hyperlink>
    </w:p>
    <w:p w14:paraId="7F0A5FC6" w14:textId="6A7065AE" w:rsidR="000C4B00" w:rsidRDefault="000C4B00">
      <w:pPr>
        <w:pStyle w:val="TOC5"/>
        <w:rPr>
          <w:rFonts w:eastAsiaTheme="minorEastAsia"/>
          <w:noProof/>
          <w:color w:val="auto"/>
          <w:kern w:val="2"/>
          <w:sz w:val="24"/>
          <w:szCs w:val="24"/>
          <w:lang w:eastAsia="en-AU"/>
          <w14:ligatures w14:val="standardContextual"/>
        </w:rPr>
      </w:pPr>
      <w:hyperlink w:anchor="_Toc215483328" w:history="1">
        <w:r w:rsidRPr="00BB6A7C">
          <w:rPr>
            <w:rStyle w:val="Hyperlink"/>
            <w:noProof/>
          </w:rPr>
          <w:t>1.2.</w:t>
        </w:r>
        <w:r>
          <w:rPr>
            <w:rFonts w:eastAsiaTheme="minorEastAsia"/>
            <w:noProof/>
            <w:color w:val="auto"/>
            <w:kern w:val="2"/>
            <w:sz w:val="24"/>
            <w:szCs w:val="24"/>
            <w:lang w:eastAsia="en-AU"/>
            <w14:ligatures w14:val="standardContextual"/>
          </w:rPr>
          <w:tab/>
        </w:r>
        <w:r w:rsidRPr="00BB6A7C">
          <w:rPr>
            <w:rStyle w:val="Hyperlink"/>
            <w:noProof/>
          </w:rPr>
          <w:t>Disclaimer</w:t>
        </w:r>
        <w:r>
          <w:rPr>
            <w:noProof/>
            <w:webHidden/>
          </w:rPr>
          <w:tab/>
        </w:r>
        <w:r>
          <w:rPr>
            <w:noProof/>
            <w:webHidden/>
          </w:rPr>
          <w:fldChar w:fldCharType="begin"/>
        </w:r>
        <w:r>
          <w:rPr>
            <w:noProof/>
            <w:webHidden/>
          </w:rPr>
          <w:instrText xml:space="preserve"> PAGEREF _Toc215483328 \h </w:instrText>
        </w:r>
        <w:r>
          <w:rPr>
            <w:noProof/>
            <w:webHidden/>
          </w:rPr>
        </w:r>
        <w:r>
          <w:rPr>
            <w:noProof/>
            <w:webHidden/>
          </w:rPr>
          <w:fldChar w:fldCharType="separate"/>
        </w:r>
        <w:r>
          <w:rPr>
            <w:noProof/>
            <w:webHidden/>
          </w:rPr>
          <w:t>5</w:t>
        </w:r>
        <w:r>
          <w:rPr>
            <w:noProof/>
            <w:webHidden/>
          </w:rPr>
          <w:fldChar w:fldCharType="end"/>
        </w:r>
      </w:hyperlink>
    </w:p>
    <w:p w14:paraId="4C092D69" w14:textId="2C69CE42" w:rsidR="000C4B00" w:rsidRDefault="000C4B00">
      <w:pPr>
        <w:pStyle w:val="TOC5"/>
        <w:rPr>
          <w:rFonts w:eastAsiaTheme="minorEastAsia"/>
          <w:noProof/>
          <w:color w:val="auto"/>
          <w:kern w:val="2"/>
          <w:sz w:val="24"/>
          <w:szCs w:val="24"/>
          <w:lang w:eastAsia="en-AU"/>
          <w14:ligatures w14:val="standardContextual"/>
        </w:rPr>
      </w:pPr>
      <w:hyperlink w:anchor="_Toc215483329" w:history="1">
        <w:r w:rsidRPr="00BB6A7C">
          <w:rPr>
            <w:rStyle w:val="Hyperlink"/>
            <w:noProof/>
          </w:rPr>
          <w:t>1.3.</w:t>
        </w:r>
        <w:r>
          <w:rPr>
            <w:rFonts w:eastAsiaTheme="minorEastAsia"/>
            <w:noProof/>
            <w:color w:val="auto"/>
            <w:kern w:val="2"/>
            <w:sz w:val="24"/>
            <w:szCs w:val="24"/>
            <w:lang w:eastAsia="en-AU"/>
            <w14:ligatures w14:val="standardContextual"/>
          </w:rPr>
          <w:tab/>
        </w:r>
        <w:r w:rsidRPr="00BB6A7C">
          <w:rPr>
            <w:rStyle w:val="Hyperlink"/>
            <w:noProof/>
          </w:rPr>
          <w:t>Role of the Surveyor-General of Victoria</w:t>
        </w:r>
        <w:r>
          <w:rPr>
            <w:noProof/>
            <w:webHidden/>
          </w:rPr>
          <w:tab/>
        </w:r>
        <w:r>
          <w:rPr>
            <w:noProof/>
            <w:webHidden/>
          </w:rPr>
          <w:fldChar w:fldCharType="begin"/>
        </w:r>
        <w:r>
          <w:rPr>
            <w:noProof/>
            <w:webHidden/>
          </w:rPr>
          <w:instrText xml:space="preserve"> PAGEREF _Toc215483329 \h </w:instrText>
        </w:r>
        <w:r>
          <w:rPr>
            <w:noProof/>
            <w:webHidden/>
          </w:rPr>
        </w:r>
        <w:r>
          <w:rPr>
            <w:noProof/>
            <w:webHidden/>
          </w:rPr>
          <w:fldChar w:fldCharType="separate"/>
        </w:r>
        <w:r>
          <w:rPr>
            <w:noProof/>
            <w:webHidden/>
          </w:rPr>
          <w:t>5</w:t>
        </w:r>
        <w:r>
          <w:rPr>
            <w:noProof/>
            <w:webHidden/>
          </w:rPr>
          <w:fldChar w:fldCharType="end"/>
        </w:r>
      </w:hyperlink>
    </w:p>
    <w:p w14:paraId="171FE000" w14:textId="00DF0804" w:rsidR="000C4B00" w:rsidRDefault="000C4B00">
      <w:pPr>
        <w:pStyle w:val="TOC5"/>
        <w:rPr>
          <w:rFonts w:eastAsiaTheme="minorEastAsia"/>
          <w:noProof/>
          <w:color w:val="auto"/>
          <w:kern w:val="2"/>
          <w:sz w:val="24"/>
          <w:szCs w:val="24"/>
          <w:lang w:eastAsia="en-AU"/>
          <w14:ligatures w14:val="standardContextual"/>
        </w:rPr>
      </w:pPr>
      <w:hyperlink w:anchor="_Toc215483330" w:history="1">
        <w:r w:rsidRPr="00BB6A7C">
          <w:rPr>
            <w:rStyle w:val="Hyperlink"/>
            <w:noProof/>
          </w:rPr>
          <w:t>1.4.</w:t>
        </w:r>
        <w:r>
          <w:rPr>
            <w:rFonts w:eastAsiaTheme="minorEastAsia"/>
            <w:noProof/>
            <w:color w:val="auto"/>
            <w:kern w:val="2"/>
            <w:sz w:val="24"/>
            <w:szCs w:val="24"/>
            <w:lang w:eastAsia="en-AU"/>
            <w14:ligatures w14:val="standardContextual"/>
          </w:rPr>
          <w:tab/>
        </w:r>
        <w:r w:rsidRPr="00BB6A7C">
          <w:rPr>
            <w:rStyle w:val="Hyperlink"/>
            <w:noProof/>
          </w:rPr>
          <w:t>Compliance and Survey Audit Program</w:t>
        </w:r>
        <w:r>
          <w:rPr>
            <w:noProof/>
            <w:webHidden/>
          </w:rPr>
          <w:tab/>
        </w:r>
        <w:r>
          <w:rPr>
            <w:noProof/>
            <w:webHidden/>
          </w:rPr>
          <w:fldChar w:fldCharType="begin"/>
        </w:r>
        <w:r>
          <w:rPr>
            <w:noProof/>
            <w:webHidden/>
          </w:rPr>
          <w:instrText xml:space="preserve"> PAGEREF _Toc215483330 \h </w:instrText>
        </w:r>
        <w:r>
          <w:rPr>
            <w:noProof/>
            <w:webHidden/>
          </w:rPr>
        </w:r>
        <w:r>
          <w:rPr>
            <w:noProof/>
            <w:webHidden/>
          </w:rPr>
          <w:fldChar w:fldCharType="separate"/>
        </w:r>
        <w:r>
          <w:rPr>
            <w:noProof/>
            <w:webHidden/>
          </w:rPr>
          <w:t>5</w:t>
        </w:r>
        <w:r>
          <w:rPr>
            <w:noProof/>
            <w:webHidden/>
          </w:rPr>
          <w:fldChar w:fldCharType="end"/>
        </w:r>
      </w:hyperlink>
    </w:p>
    <w:p w14:paraId="3CE12516" w14:textId="376C6A7B" w:rsidR="000C4B00" w:rsidRDefault="000C4B00">
      <w:pPr>
        <w:pStyle w:val="TOC4"/>
        <w:rPr>
          <w:rFonts w:eastAsiaTheme="minorEastAsia"/>
          <w:b w:val="0"/>
          <w:noProof/>
          <w:color w:val="auto"/>
          <w:kern w:val="2"/>
          <w:sz w:val="24"/>
          <w:szCs w:val="24"/>
          <w:lang w:eastAsia="en-AU"/>
          <w14:ligatures w14:val="standardContextual"/>
        </w:rPr>
      </w:pPr>
      <w:hyperlink w:anchor="_Toc215483331" w:history="1">
        <w:r w:rsidRPr="00BB6A7C">
          <w:rPr>
            <w:rStyle w:val="Hyperlink"/>
            <w:noProof/>
          </w:rPr>
          <w:t>2.</w:t>
        </w:r>
        <w:r>
          <w:rPr>
            <w:rFonts w:eastAsiaTheme="minorEastAsia"/>
            <w:b w:val="0"/>
            <w:noProof/>
            <w:color w:val="auto"/>
            <w:kern w:val="2"/>
            <w:sz w:val="24"/>
            <w:szCs w:val="24"/>
            <w:lang w:eastAsia="en-AU"/>
            <w14:ligatures w14:val="standardContextual"/>
          </w:rPr>
          <w:tab/>
        </w:r>
        <w:r w:rsidRPr="00BB6A7C">
          <w:rPr>
            <w:rStyle w:val="Hyperlink"/>
            <w:noProof/>
          </w:rPr>
          <w:t>Connection of cadastral surveys to datum and the Survey Control Network</w:t>
        </w:r>
        <w:r>
          <w:rPr>
            <w:noProof/>
            <w:webHidden/>
          </w:rPr>
          <w:tab/>
        </w:r>
        <w:r>
          <w:rPr>
            <w:noProof/>
            <w:webHidden/>
          </w:rPr>
          <w:fldChar w:fldCharType="begin"/>
        </w:r>
        <w:r>
          <w:rPr>
            <w:noProof/>
            <w:webHidden/>
          </w:rPr>
          <w:instrText xml:space="preserve"> PAGEREF _Toc215483331 \h </w:instrText>
        </w:r>
        <w:r>
          <w:rPr>
            <w:noProof/>
            <w:webHidden/>
          </w:rPr>
        </w:r>
        <w:r>
          <w:rPr>
            <w:noProof/>
            <w:webHidden/>
          </w:rPr>
          <w:fldChar w:fldCharType="separate"/>
        </w:r>
        <w:r>
          <w:rPr>
            <w:noProof/>
            <w:webHidden/>
          </w:rPr>
          <w:t>6</w:t>
        </w:r>
        <w:r>
          <w:rPr>
            <w:noProof/>
            <w:webHidden/>
          </w:rPr>
          <w:fldChar w:fldCharType="end"/>
        </w:r>
      </w:hyperlink>
    </w:p>
    <w:p w14:paraId="2458829A" w14:textId="3DE16037" w:rsidR="000C4B00" w:rsidRDefault="000C4B00">
      <w:pPr>
        <w:pStyle w:val="TOC5"/>
        <w:rPr>
          <w:rFonts w:eastAsiaTheme="minorEastAsia"/>
          <w:noProof/>
          <w:color w:val="auto"/>
          <w:kern w:val="2"/>
          <w:sz w:val="24"/>
          <w:szCs w:val="24"/>
          <w:lang w:eastAsia="en-AU"/>
          <w14:ligatures w14:val="standardContextual"/>
        </w:rPr>
      </w:pPr>
      <w:hyperlink w:anchor="_Toc215483332" w:history="1">
        <w:r w:rsidRPr="00BB6A7C">
          <w:rPr>
            <w:rStyle w:val="Hyperlink"/>
            <w:noProof/>
          </w:rPr>
          <w:t>2.1.</w:t>
        </w:r>
        <w:r>
          <w:rPr>
            <w:rFonts w:eastAsiaTheme="minorEastAsia"/>
            <w:noProof/>
            <w:color w:val="auto"/>
            <w:kern w:val="2"/>
            <w:sz w:val="24"/>
            <w:szCs w:val="24"/>
            <w:lang w:eastAsia="en-AU"/>
            <w14:ligatures w14:val="standardContextual"/>
          </w:rPr>
          <w:tab/>
        </w:r>
        <w:r w:rsidRPr="00BB6A7C">
          <w:rPr>
            <w:rStyle w:val="Hyperlink"/>
            <w:noProof/>
          </w:rPr>
          <w:t>General comments</w:t>
        </w:r>
        <w:r>
          <w:rPr>
            <w:noProof/>
            <w:webHidden/>
          </w:rPr>
          <w:tab/>
        </w:r>
        <w:r>
          <w:rPr>
            <w:noProof/>
            <w:webHidden/>
          </w:rPr>
          <w:fldChar w:fldCharType="begin"/>
        </w:r>
        <w:r>
          <w:rPr>
            <w:noProof/>
            <w:webHidden/>
          </w:rPr>
          <w:instrText xml:space="preserve"> PAGEREF _Toc215483332 \h </w:instrText>
        </w:r>
        <w:r>
          <w:rPr>
            <w:noProof/>
            <w:webHidden/>
          </w:rPr>
        </w:r>
        <w:r>
          <w:rPr>
            <w:noProof/>
            <w:webHidden/>
          </w:rPr>
          <w:fldChar w:fldCharType="separate"/>
        </w:r>
        <w:r>
          <w:rPr>
            <w:noProof/>
            <w:webHidden/>
          </w:rPr>
          <w:t>6</w:t>
        </w:r>
        <w:r>
          <w:rPr>
            <w:noProof/>
            <w:webHidden/>
          </w:rPr>
          <w:fldChar w:fldCharType="end"/>
        </w:r>
      </w:hyperlink>
    </w:p>
    <w:p w14:paraId="72971DF7" w14:textId="2AA720E6" w:rsidR="000C4B00" w:rsidRDefault="000C4B00">
      <w:pPr>
        <w:pStyle w:val="TOC5"/>
        <w:rPr>
          <w:rFonts w:eastAsiaTheme="minorEastAsia"/>
          <w:noProof/>
          <w:color w:val="auto"/>
          <w:kern w:val="2"/>
          <w:sz w:val="24"/>
          <w:szCs w:val="24"/>
          <w:lang w:eastAsia="en-AU"/>
          <w14:ligatures w14:val="standardContextual"/>
        </w:rPr>
      </w:pPr>
      <w:hyperlink w:anchor="_Toc215483333" w:history="1">
        <w:r w:rsidRPr="00BB6A7C">
          <w:rPr>
            <w:rStyle w:val="Hyperlink"/>
            <w:noProof/>
          </w:rPr>
          <w:t>2.2.</w:t>
        </w:r>
        <w:r>
          <w:rPr>
            <w:rFonts w:eastAsiaTheme="minorEastAsia"/>
            <w:noProof/>
            <w:color w:val="auto"/>
            <w:kern w:val="2"/>
            <w:sz w:val="24"/>
            <w:szCs w:val="24"/>
            <w:lang w:eastAsia="en-AU"/>
            <w14:ligatures w14:val="standardContextual"/>
          </w:rPr>
          <w:tab/>
        </w:r>
        <w:r w:rsidRPr="00BB6A7C">
          <w:rPr>
            <w:rStyle w:val="Hyperlink"/>
            <w:noProof/>
          </w:rPr>
          <w:t>Specific requirements for connection to MGA2020 and the Survey Control Network</w:t>
        </w:r>
        <w:r>
          <w:rPr>
            <w:noProof/>
            <w:webHidden/>
          </w:rPr>
          <w:tab/>
        </w:r>
        <w:r>
          <w:rPr>
            <w:noProof/>
            <w:webHidden/>
          </w:rPr>
          <w:fldChar w:fldCharType="begin"/>
        </w:r>
        <w:r>
          <w:rPr>
            <w:noProof/>
            <w:webHidden/>
          </w:rPr>
          <w:instrText xml:space="preserve"> PAGEREF _Toc215483333 \h </w:instrText>
        </w:r>
        <w:r>
          <w:rPr>
            <w:noProof/>
            <w:webHidden/>
          </w:rPr>
        </w:r>
        <w:r>
          <w:rPr>
            <w:noProof/>
            <w:webHidden/>
          </w:rPr>
          <w:fldChar w:fldCharType="separate"/>
        </w:r>
        <w:r>
          <w:rPr>
            <w:noProof/>
            <w:webHidden/>
          </w:rPr>
          <w:t>7</w:t>
        </w:r>
        <w:r>
          <w:rPr>
            <w:noProof/>
            <w:webHidden/>
          </w:rPr>
          <w:fldChar w:fldCharType="end"/>
        </w:r>
      </w:hyperlink>
    </w:p>
    <w:p w14:paraId="2A658CA2" w14:textId="3C8476E8" w:rsidR="000C4B00" w:rsidRDefault="000C4B00">
      <w:pPr>
        <w:pStyle w:val="TOC5"/>
        <w:rPr>
          <w:rFonts w:eastAsiaTheme="minorEastAsia"/>
          <w:noProof/>
          <w:color w:val="auto"/>
          <w:kern w:val="2"/>
          <w:sz w:val="24"/>
          <w:szCs w:val="24"/>
          <w:lang w:eastAsia="en-AU"/>
          <w14:ligatures w14:val="standardContextual"/>
        </w:rPr>
      </w:pPr>
      <w:hyperlink w:anchor="_Toc215483334" w:history="1">
        <w:r w:rsidRPr="00BB6A7C">
          <w:rPr>
            <w:rStyle w:val="Hyperlink"/>
            <w:noProof/>
          </w:rPr>
          <w:t>2.3.</w:t>
        </w:r>
        <w:r>
          <w:rPr>
            <w:rFonts w:eastAsiaTheme="minorEastAsia"/>
            <w:noProof/>
            <w:color w:val="auto"/>
            <w:kern w:val="2"/>
            <w:sz w:val="24"/>
            <w:szCs w:val="24"/>
            <w:lang w:eastAsia="en-AU"/>
            <w14:ligatures w14:val="standardContextual"/>
          </w:rPr>
          <w:tab/>
        </w:r>
        <w:r w:rsidRPr="00BB6A7C">
          <w:rPr>
            <w:rStyle w:val="Hyperlink"/>
            <w:noProof/>
          </w:rPr>
          <w:t>MGA2020 bearing connection derived by conventional traversing techniques</w:t>
        </w:r>
        <w:r>
          <w:rPr>
            <w:noProof/>
            <w:webHidden/>
          </w:rPr>
          <w:tab/>
        </w:r>
        <w:r>
          <w:rPr>
            <w:noProof/>
            <w:webHidden/>
          </w:rPr>
          <w:fldChar w:fldCharType="begin"/>
        </w:r>
        <w:r>
          <w:rPr>
            <w:noProof/>
            <w:webHidden/>
          </w:rPr>
          <w:instrText xml:space="preserve"> PAGEREF _Toc215483334 \h </w:instrText>
        </w:r>
        <w:r>
          <w:rPr>
            <w:noProof/>
            <w:webHidden/>
          </w:rPr>
        </w:r>
        <w:r>
          <w:rPr>
            <w:noProof/>
            <w:webHidden/>
          </w:rPr>
          <w:fldChar w:fldCharType="separate"/>
        </w:r>
        <w:r>
          <w:rPr>
            <w:noProof/>
            <w:webHidden/>
          </w:rPr>
          <w:t>8</w:t>
        </w:r>
        <w:r>
          <w:rPr>
            <w:noProof/>
            <w:webHidden/>
          </w:rPr>
          <w:fldChar w:fldCharType="end"/>
        </w:r>
      </w:hyperlink>
    </w:p>
    <w:p w14:paraId="14D0FF17" w14:textId="62D726A0" w:rsidR="000C4B00" w:rsidRDefault="000C4B00">
      <w:pPr>
        <w:pStyle w:val="TOC6"/>
        <w:tabs>
          <w:tab w:val="left" w:pos="1200"/>
        </w:tabs>
        <w:rPr>
          <w:rFonts w:eastAsiaTheme="minorEastAsia"/>
          <w:noProof/>
          <w:color w:val="auto"/>
          <w:kern w:val="2"/>
          <w:sz w:val="24"/>
          <w:szCs w:val="24"/>
          <w:lang w:eastAsia="en-AU"/>
          <w14:ligatures w14:val="standardContextual"/>
        </w:rPr>
      </w:pPr>
      <w:hyperlink w:anchor="_Toc215483335" w:history="1">
        <w:r w:rsidRPr="00BB6A7C">
          <w:rPr>
            <w:rStyle w:val="Hyperlink"/>
            <w:noProof/>
          </w:rPr>
          <w:t>2.3.1.</w:t>
        </w:r>
        <w:r>
          <w:rPr>
            <w:rFonts w:eastAsiaTheme="minorEastAsia"/>
            <w:noProof/>
            <w:color w:val="auto"/>
            <w:kern w:val="2"/>
            <w:sz w:val="24"/>
            <w:szCs w:val="24"/>
            <w:lang w:eastAsia="en-AU"/>
            <w14:ligatures w14:val="standardContextual"/>
          </w:rPr>
          <w:tab/>
        </w:r>
        <w:r w:rsidRPr="00BB6A7C">
          <w:rPr>
            <w:rStyle w:val="Hyperlink"/>
            <w:noProof/>
          </w:rPr>
          <w:t>Land subdivisions (large and small), building subdivisions, application surveys under the Transfer of Land Act 1958, boundary plan surveys and Crown surveys</w:t>
        </w:r>
        <w:r>
          <w:rPr>
            <w:noProof/>
            <w:webHidden/>
          </w:rPr>
          <w:tab/>
        </w:r>
        <w:r>
          <w:rPr>
            <w:noProof/>
            <w:webHidden/>
          </w:rPr>
          <w:fldChar w:fldCharType="begin"/>
        </w:r>
        <w:r>
          <w:rPr>
            <w:noProof/>
            <w:webHidden/>
          </w:rPr>
          <w:instrText xml:space="preserve"> PAGEREF _Toc215483335 \h </w:instrText>
        </w:r>
        <w:r>
          <w:rPr>
            <w:noProof/>
            <w:webHidden/>
          </w:rPr>
        </w:r>
        <w:r>
          <w:rPr>
            <w:noProof/>
            <w:webHidden/>
          </w:rPr>
          <w:fldChar w:fldCharType="separate"/>
        </w:r>
        <w:r>
          <w:rPr>
            <w:noProof/>
            <w:webHidden/>
          </w:rPr>
          <w:t>8</w:t>
        </w:r>
        <w:r>
          <w:rPr>
            <w:noProof/>
            <w:webHidden/>
          </w:rPr>
          <w:fldChar w:fldCharType="end"/>
        </w:r>
      </w:hyperlink>
    </w:p>
    <w:p w14:paraId="30D6DFD6" w14:textId="3E88683E" w:rsidR="000C4B00" w:rsidRDefault="000C4B00">
      <w:pPr>
        <w:pStyle w:val="TOC5"/>
        <w:rPr>
          <w:rFonts w:eastAsiaTheme="minorEastAsia"/>
          <w:noProof/>
          <w:color w:val="auto"/>
          <w:kern w:val="2"/>
          <w:sz w:val="24"/>
          <w:szCs w:val="24"/>
          <w:lang w:eastAsia="en-AU"/>
          <w14:ligatures w14:val="standardContextual"/>
        </w:rPr>
      </w:pPr>
      <w:hyperlink w:anchor="_Toc215483336" w:history="1">
        <w:r w:rsidRPr="00BB6A7C">
          <w:rPr>
            <w:rStyle w:val="Hyperlink"/>
            <w:noProof/>
          </w:rPr>
          <w:t>2.4.</w:t>
        </w:r>
        <w:r>
          <w:rPr>
            <w:rFonts w:eastAsiaTheme="minorEastAsia"/>
            <w:noProof/>
            <w:color w:val="auto"/>
            <w:kern w:val="2"/>
            <w:sz w:val="24"/>
            <w:szCs w:val="24"/>
            <w:lang w:eastAsia="en-AU"/>
            <w14:ligatures w14:val="standardContextual"/>
          </w:rPr>
          <w:tab/>
        </w:r>
        <w:r w:rsidRPr="00BB6A7C">
          <w:rPr>
            <w:rStyle w:val="Hyperlink"/>
            <w:noProof/>
          </w:rPr>
          <w:t>MGA2020 bearing connection derived by GNSS equipment</w:t>
        </w:r>
        <w:r>
          <w:rPr>
            <w:noProof/>
            <w:webHidden/>
          </w:rPr>
          <w:tab/>
        </w:r>
        <w:r>
          <w:rPr>
            <w:noProof/>
            <w:webHidden/>
          </w:rPr>
          <w:fldChar w:fldCharType="begin"/>
        </w:r>
        <w:r>
          <w:rPr>
            <w:noProof/>
            <w:webHidden/>
          </w:rPr>
          <w:instrText xml:space="preserve"> PAGEREF _Toc215483336 \h </w:instrText>
        </w:r>
        <w:r>
          <w:rPr>
            <w:noProof/>
            <w:webHidden/>
          </w:rPr>
        </w:r>
        <w:r>
          <w:rPr>
            <w:noProof/>
            <w:webHidden/>
          </w:rPr>
          <w:fldChar w:fldCharType="separate"/>
        </w:r>
        <w:r>
          <w:rPr>
            <w:noProof/>
            <w:webHidden/>
          </w:rPr>
          <w:t>9</w:t>
        </w:r>
        <w:r>
          <w:rPr>
            <w:noProof/>
            <w:webHidden/>
          </w:rPr>
          <w:fldChar w:fldCharType="end"/>
        </w:r>
      </w:hyperlink>
    </w:p>
    <w:p w14:paraId="3E55DD59" w14:textId="21317F87" w:rsidR="000C4B00" w:rsidRDefault="000C4B00">
      <w:pPr>
        <w:pStyle w:val="TOC6"/>
        <w:tabs>
          <w:tab w:val="left" w:pos="1200"/>
        </w:tabs>
        <w:rPr>
          <w:rFonts w:eastAsiaTheme="minorEastAsia"/>
          <w:noProof/>
          <w:color w:val="auto"/>
          <w:kern w:val="2"/>
          <w:sz w:val="24"/>
          <w:szCs w:val="24"/>
          <w:lang w:eastAsia="en-AU"/>
          <w14:ligatures w14:val="standardContextual"/>
        </w:rPr>
      </w:pPr>
      <w:hyperlink w:anchor="_Toc215483337" w:history="1">
        <w:r w:rsidRPr="00BB6A7C">
          <w:rPr>
            <w:rStyle w:val="Hyperlink"/>
            <w:noProof/>
          </w:rPr>
          <w:t>2.4.1.</w:t>
        </w:r>
        <w:r>
          <w:rPr>
            <w:rFonts w:eastAsiaTheme="minorEastAsia"/>
            <w:noProof/>
            <w:color w:val="auto"/>
            <w:kern w:val="2"/>
            <w:sz w:val="24"/>
            <w:szCs w:val="24"/>
            <w:lang w:eastAsia="en-AU"/>
            <w14:ligatures w14:val="standardContextual"/>
          </w:rPr>
          <w:tab/>
        </w:r>
        <w:r w:rsidRPr="00BB6A7C">
          <w:rPr>
            <w:rStyle w:val="Hyperlink"/>
            <w:noProof/>
          </w:rPr>
          <w:t>General</w:t>
        </w:r>
        <w:r>
          <w:rPr>
            <w:noProof/>
            <w:webHidden/>
          </w:rPr>
          <w:tab/>
        </w:r>
        <w:r>
          <w:rPr>
            <w:noProof/>
            <w:webHidden/>
          </w:rPr>
          <w:fldChar w:fldCharType="begin"/>
        </w:r>
        <w:r>
          <w:rPr>
            <w:noProof/>
            <w:webHidden/>
          </w:rPr>
          <w:instrText xml:space="preserve"> PAGEREF _Toc215483337 \h </w:instrText>
        </w:r>
        <w:r>
          <w:rPr>
            <w:noProof/>
            <w:webHidden/>
          </w:rPr>
        </w:r>
        <w:r>
          <w:rPr>
            <w:noProof/>
            <w:webHidden/>
          </w:rPr>
          <w:fldChar w:fldCharType="separate"/>
        </w:r>
        <w:r>
          <w:rPr>
            <w:noProof/>
            <w:webHidden/>
          </w:rPr>
          <w:t>9</w:t>
        </w:r>
        <w:r>
          <w:rPr>
            <w:noProof/>
            <w:webHidden/>
          </w:rPr>
          <w:fldChar w:fldCharType="end"/>
        </w:r>
      </w:hyperlink>
    </w:p>
    <w:p w14:paraId="7F19798B" w14:textId="391B7E2C" w:rsidR="000C4B00" w:rsidRDefault="000C4B00">
      <w:pPr>
        <w:pStyle w:val="TOC6"/>
        <w:tabs>
          <w:tab w:val="left" w:pos="1200"/>
        </w:tabs>
        <w:rPr>
          <w:rFonts w:eastAsiaTheme="minorEastAsia"/>
          <w:noProof/>
          <w:color w:val="auto"/>
          <w:kern w:val="2"/>
          <w:sz w:val="24"/>
          <w:szCs w:val="24"/>
          <w:lang w:eastAsia="en-AU"/>
          <w14:ligatures w14:val="standardContextual"/>
        </w:rPr>
      </w:pPr>
      <w:hyperlink w:anchor="_Toc215483338" w:history="1">
        <w:r w:rsidRPr="00BB6A7C">
          <w:rPr>
            <w:rStyle w:val="Hyperlink"/>
            <w:noProof/>
          </w:rPr>
          <w:t>2.4.2.</w:t>
        </w:r>
        <w:r>
          <w:rPr>
            <w:rFonts w:eastAsiaTheme="minorEastAsia"/>
            <w:noProof/>
            <w:color w:val="auto"/>
            <w:kern w:val="2"/>
            <w:sz w:val="24"/>
            <w:szCs w:val="24"/>
            <w:lang w:eastAsia="en-AU"/>
            <w14:ligatures w14:val="standardContextual"/>
          </w:rPr>
          <w:tab/>
        </w:r>
        <w:r w:rsidRPr="00BB6A7C">
          <w:rPr>
            <w:rStyle w:val="Hyperlink"/>
            <w:noProof/>
          </w:rPr>
          <w:t>GNSS measurement quality and site-specific error sources</w:t>
        </w:r>
        <w:r>
          <w:rPr>
            <w:noProof/>
            <w:webHidden/>
          </w:rPr>
          <w:tab/>
        </w:r>
        <w:r>
          <w:rPr>
            <w:noProof/>
            <w:webHidden/>
          </w:rPr>
          <w:fldChar w:fldCharType="begin"/>
        </w:r>
        <w:r>
          <w:rPr>
            <w:noProof/>
            <w:webHidden/>
          </w:rPr>
          <w:instrText xml:space="preserve"> PAGEREF _Toc215483338 \h </w:instrText>
        </w:r>
        <w:r>
          <w:rPr>
            <w:noProof/>
            <w:webHidden/>
          </w:rPr>
        </w:r>
        <w:r>
          <w:rPr>
            <w:noProof/>
            <w:webHidden/>
          </w:rPr>
          <w:fldChar w:fldCharType="separate"/>
        </w:r>
        <w:r>
          <w:rPr>
            <w:noProof/>
            <w:webHidden/>
          </w:rPr>
          <w:t>9</w:t>
        </w:r>
        <w:r>
          <w:rPr>
            <w:noProof/>
            <w:webHidden/>
          </w:rPr>
          <w:fldChar w:fldCharType="end"/>
        </w:r>
      </w:hyperlink>
    </w:p>
    <w:p w14:paraId="0F58BE03" w14:textId="7933FB99" w:rsidR="000C4B00" w:rsidRDefault="000C4B00">
      <w:pPr>
        <w:pStyle w:val="TOC6"/>
        <w:tabs>
          <w:tab w:val="left" w:pos="1200"/>
        </w:tabs>
        <w:rPr>
          <w:rFonts w:eastAsiaTheme="minorEastAsia"/>
          <w:noProof/>
          <w:color w:val="auto"/>
          <w:kern w:val="2"/>
          <w:sz w:val="24"/>
          <w:szCs w:val="24"/>
          <w:lang w:eastAsia="en-AU"/>
          <w14:ligatures w14:val="standardContextual"/>
        </w:rPr>
      </w:pPr>
      <w:hyperlink w:anchor="_Toc215483339" w:history="1">
        <w:r w:rsidRPr="00BB6A7C">
          <w:rPr>
            <w:rStyle w:val="Hyperlink"/>
            <w:noProof/>
          </w:rPr>
          <w:t>2.4.3.</w:t>
        </w:r>
        <w:r>
          <w:rPr>
            <w:rFonts w:eastAsiaTheme="minorEastAsia"/>
            <w:noProof/>
            <w:color w:val="auto"/>
            <w:kern w:val="2"/>
            <w:sz w:val="24"/>
            <w:szCs w:val="24"/>
            <w:lang w:eastAsia="en-AU"/>
            <w14:ligatures w14:val="standardContextual"/>
          </w:rPr>
          <w:tab/>
        </w:r>
        <w:r w:rsidRPr="00BB6A7C">
          <w:rPr>
            <w:rStyle w:val="Hyperlink"/>
            <w:noProof/>
          </w:rPr>
          <w:t>Maximising NRTK positioning quality</w:t>
        </w:r>
        <w:r>
          <w:rPr>
            <w:noProof/>
            <w:webHidden/>
          </w:rPr>
          <w:tab/>
        </w:r>
        <w:r>
          <w:rPr>
            <w:noProof/>
            <w:webHidden/>
          </w:rPr>
          <w:fldChar w:fldCharType="begin"/>
        </w:r>
        <w:r>
          <w:rPr>
            <w:noProof/>
            <w:webHidden/>
          </w:rPr>
          <w:instrText xml:space="preserve"> PAGEREF _Toc215483339 \h </w:instrText>
        </w:r>
        <w:r>
          <w:rPr>
            <w:noProof/>
            <w:webHidden/>
          </w:rPr>
        </w:r>
        <w:r>
          <w:rPr>
            <w:noProof/>
            <w:webHidden/>
          </w:rPr>
          <w:fldChar w:fldCharType="separate"/>
        </w:r>
        <w:r>
          <w:rPr>
            <w:noProof/>
            <w:webHidden/>
          </w:rPr>
          <w:t>10</w:t>
        </w:r>
        <w:r>
          <w:rPr>
            <w:noProof/>
            <w:webHidden/>
          </w:rPr>
          <w:fldChar w:fldCharType="end"/>
        </w:r>
      </w:hyperlink>
    </w:p>
    <w:p w14:paraId="5A7E3DF3" w14:textId="1C7C51A6" w:rsidR="000C4B00" w:rsidRDefault="000C4B00">
      <w:pPr>
        <w:pStyle w:val="TOC6"/>
        <w:tabs>
          <w:tab w:val="left" w:pos="1200"/>
        </w:tabs>
        <w:rPr>
          <w:rFonts w:eastAsiaTheme="minorEastAsia"/>
          <w:noProof/>
          <w:color w:val="auto"/>
          <w:kern w:val="2"/>
          <w:sz w:val="24"/>
          <w:szCs w:val="24"/>
          <w:lang w:eastAsia="en-AU"/>
          <w14:ligatures w14:val="standardContextual"/>
        </w:rPr>
      </w:pPr>
      <w:hyperlink w:anchor="_Toc215483340" w:history="1">
        <w:r w:rsidRPr="00BB6A7C">
          <w:rPr>
            <w:rStyle w:val="Hyperlink"/>
            <w:noProof/>
          </w:rPr>
          <w:t>2.4.4.</w:t>
        </w:r>
        <w:r>
          <w:rPr>
            <w:rFonts w:eastAsiaTheme="minorEastAsia"/>
            <w:noProof/>
            <w:color w:val="auto"/>
            <w:kern w:val="2"/>
            <w:sz w:val="24"/>
            <w:szCs w:val="24"/>
            <w:lang w:eastAsia="en-AU"/>
            <w14:ligatures w14:val="standardContextual"/>
          </w:rPr>
          <w:tab/>
        </w:r>
        <w:r w:rsidRPr="00BB6A7C">
          <w:rPr>
            <w:rStyle w:val="Hyperlink"/>
            <w:noProof/>
          </w:rPr>
          <w:t>Verifying GNSS measurements</w:t>
        </w:r>
        <w:r>
          <w:rPr>
            <w:noProof/>
            <w:webHidden/>
          </w:rPr>
          <w:tab/>
        </w:r>
        <w:r>
          <w:rPr>
            <w:noProof/>
            <w:webHidden/>
          </w:rPr>
          <w:fldChar w:fldCharType="begin"/>
        </w:r>
        <w:r>
          <w:rPr>
            <w:noProof/>
            <w:webHidden/>
          </w:rPr>
          <w:instrText xml:space="preserve"> PAGEREF _Toc215483340 \h </w:instrText>
        </w:r>
        <w:r>
          <w:rPr>
            <w:noProof/>
            <w:webHidden/>
          </w:rPr>
        </w:r>
        <w:r>
          <w:rPr>
            <w:noProof/>
            <w:webHidden/>
          </w:rPr>
          <w:fldChar w:fldCharType="separate"/>
        </w:r>
        <w:r>
          <w:rPr>
            <w:noProof/>
            <w:webHidden/>
          </w:rPr>
          <w:t>10</w:t>
        </w:r>
        <w:r>
          <w:rPr>
            <w:noProof/>
            <w:webHidden/>
          </w:rPr>
          <w:fldChar w:fldCharType="end"/>
        </w:r>
      </w:hyperlink>
    </w:p>
    <w:p w14:paraId="381B6A58" w14:textId="1FA72EDB" w:rsidR="000C4B00" w:rsidRDefault="000C4B00">
      <w:pPr>
        <w:pStyle w:val="TOC6"/>
        <w:tabs>
          <w:tab w:val="left" w:pos="1200"/>
        </w:tabs>
        <w:rPr>
          <w:rFonts w:eastAsiaTheme="minorEastAsia"/>
          <w:noProof/>
          <w:color w:val="auto"/>
          <w:kern w:val="2"/>
          <w:sz w:val="24"/>
          <w:szCs w:val="24"/>
          <w:lang w:eastAsia="en-AU"/>
          <w14:ligatures w14:val="standardContextual"/>
        </w:rPr>
      </w:pPr>
      <w:hyperlink w:anchor="_Toc215483341" w:history="1">
        <w:r w:rsidRPr="00BB6A7C">
          <w:rPr>
            <w:rStyle w:val="Hyperlink"/>
            <w:noProof/>
          </w:rPr>
          <w:t>2.4.5.</w:t>
        </w:r>
        <w:r>
          <w:rPr>
            <w:rFonts w:eastAsiaTheme="minorEastAsia"/>
            <w:noProof/>
            <w:color w:val="auto"/>
            <w:kern w:val="2"/>
            <w:sz w:val="24"/>
            <w:szCs w:val="24"/>
            <w:lang w:eastAsia="en-AU"/>
            <w14:ligatures w14:val="standardContextual"/>
          </w:rPr>
          <w:tab/>
        </w:r>
        <w:r w:rsidRPr="00BB6A7C">
          <w:rPr>
            <w:rStyle w:val="Hyperlink"/>
            <w:noProof/>
          </w:rPr>
          <w:t>Deriving bearing and ground distance from GNSS positioning</w:t>
        </w:r>
        <w:r>
          <w:rPr>
            <w:noProof/>
            <w:webHidden/>
          </w:rPr>
          <w:tab/>
        </w:r>
        <w:r>
          <w:rPr>
            <w:noProof/>
            <w:webHidden/>
          </w:rPr>
          <w:fldChar w:fldCharType="begin"/>
        </w:r>
        <w:r>
          <w:rPr>
            <w:noProof/>
            <w:webHidden/>
          </w:rPr>
          <w:instrText xml:space="preserve"> PAGEREF _Toc215483341 \h </w:instrText>
        </w:r>
        <w:r>
          <w:rPr>
            <w:noProof/>
            <w:webHidden/>
          </w:rPr>
        </w:r>
        <w:r>
          <w:rPr>
            <w:noProof/>
            <w:webHidden/>
          </w:rPr>
          <w:fldChar w:fldCharType="separate"/>
        </w:r>
        <w:r>
          <w:rPr>
            <w:noProof/>
            <w:webHidden/>
          </w:rPr>
          <w:t>11</w:t>
        </w:r>
        <w:r>
          <w:rPr>
            <w:noProof/>
            <w:webHidden/>
          </w:rPr>
          <w:fldChar w:fldCharType="end"/>
        </w:r>
      </w:hyperlink>
    </w:p>
    <w:p w14:paraId="0ECB8E5C" w14:textId="59DB8869" w:rsidR="000C4B00" w:rsidRDefault="000C4B00">
      <w:pPr>
        <w:pStyle w:val="TOC5"/>
        <w:rPr>
          <w:rFonts w:eastAsiaTheme="minorEastAsia"/>
          <w:noProof/>
          <w:color w:val="auto"/>
          <w:kern w:val="2"/>
          <w:sz w:val="24"/>
          <w:szCs w:val="24"/>
          <w:lang w:eastAsia="en-AU"/>
          <w14:ligatures w14:val="standardContextual"/>
        </w:rPr>
      </w:pPr>
      <w:hyperlink w:anchor="_Toc215483342" w:history="1">
        <w:r w:rsidRPr="00BB6A7C">
          <w:rPr>
            <w:rStyle w:val="Hyperlink"/>
            <w:noProof/>
          </w:rPr>
          <w:t>2.5.</w:t>
        </w:r>
        <w:r>
          <w:rPr>
            <w:rFonts w:eastAsiaTheme="minorEastAsia"/>
            <w:noProof/>
            <w:color w:val="auto"/>
            <w:kern w:val="2"/>
            <w:sz w:val="24"/>
            <w:szCs w:val="24"/>
            <w:lang w:eastAsia="en-AU"/>
            <w14:ligatures w14:val="standardContextual"/>
          </w:rPr>
          <w:tab/>
        </w:r>
        <w:r w:rsidRPr="00BB6A7C">
          <w:rPr>
            <w:rStyle w:val="Hyperlink"/>
            <w:noProof/>
          </w:rPr>
          <w:t>Requirements when connecting cadastral surveys to AHD</w:t>
        </w:r>
        <w:r>
          <w:rPr>
            <w:noProof/>
            <w:webHidden/>
          </w:rPr>
          <w:tab/>
        </w:r>
        <w:r>
          <w:rPr>
            <w:noProof/>
            <w:webHidden/>
          </w:rPr>
          <w:fldChar w:fldCharType="begin"/>
        </w:r>
        <w:r>
          <w:rPr>
            <w:noProof/>
            <w:webHidden/>
          </w:rPr>
          <w:instrText xml:space="preserve"> PAGEREF _Toc215483342 \h </w:instrText>
        </w:r>
        <w:r>
          <w:rPr>
            <w:noProof/>
            <w:webHidden/>
          </w:rPr>
        </w:r>
        <w:r>
          <w:rPr>
            <w:noProof/>
            <w:webHidden/>
          </w:rPr>
          <w:fldChar w:fldCharType="separate"/>
        </w:r>
        <w:r>
          <w:rPr>
            <w:noProof/>
            <w:webHidden/>
          </w:rPr>
          <w:t>11</w:t>
        </w:r>
        <w:r>
          <w:rPr>
            <w:noProof/>
            <w:webHidden/>
          </w:rPr>
          <w:fldChar w:fldCharType="end"/>
        </w:r>
      </w:hyperlink>
    </w:p>
    <w:p w14:paraId="3221117A" w14:textId="4A98484E" w:rsidR="000C4B00" w:rsidRDefault="000C4B00">
      <w:pPr>
        <w:pStyle w:val="TOC6"/>
        <w:tabs>
          <w:tab w:val="left" w:pos="1200"/>
        </w:tabs>
        <w:rPr>
          <w:rFonts w:eastAsiaTheme="minorEastAsia"/>
          <w:noProof/>
          <w:color w:val="auto"/>
          <w:kern w:val="2"/>
          <w:sz w:val="24"/>
          <w:szCs w:val="24"/>
          <w:lang w:eastAsia="en-AU"/>
          <w14:ligatures w14:val="standardContextual"/>
        </w:rPr>
      </w:pPr>
      <w:hyperlink w:anchor="_Toc215483343" w:history="1">
        <w:r w:rsidRPr="00BB6A7C">
          <w:rPr>
            <w:rStyle w:val="Hyperlink"/>
            <w:noProof/>
          </w:rPr>
          <w:t>2.5.1.</w:t>
        </w:r>
        <w:r>
          <w:rPr>
            <w:rFonts w:eastAsiaTheme="minorEastAsia"/>
            <w:noProof/>
            <w:color w:val="auto"/>
            <w:kern w:val="2"/>
            <w:sz w:val="24"/>
            <w:szCs w:val="24"/>
            <w:lang w:eastAsia="en-AU"/>
            <w14:ligatures w14:val="standardContextual"/>
          </w:rPr>
          <w:tab/>
        </w:r>
        <w:r w:rsidRPr="00BB6A7C">
          <w:rPr>
            <w:rStyle w:val="Hyperlink"/>
            <w:noProof/>
          </w:rPr>
          <w:t>General</w:t>
        </w:r>
        <w:r>
          <w:rPr>
            <w:noProof/>
            <w:webHidden/>
          </w:rPr>
          <w:tab/>
        </w:r>
        <w:r>
          <w:rPr>
            <w:noProof/>
            <w:webHidden/>
          </w:rPr>
          <w:fldChar w:fldCharType="begin"/>
        </w:r>
        <w:r>
          <w:rPr>
            <w:noProof/>
            <w:webHidden/>
          </w:rPr>
          <w:instrText xml:space="preserve"> PAGEREF _Toc215483343 \h </w:instrText>
        </w:r>
        <w:r>
          <w:rPr>
            <w:noProof/>
            <w:webHidden/>
          </w:rPr>
        </w:r>
        <w:r>
          <w:rPr>
            <w:noProof/>
            <w:webHidden/>
          </w:rPr>
          <w:fldChar w:fldCharType="separate"/>
        </w:r>
        <w:r>
          <w:rPr>
            <w:noProof/>
            <w:webHidden/>
          </w:rPr>
          <w:t>11</w:t>
        </w:r>
        <w:r>
          <w:rPr>
            <w:noProof/>
            <w:webHidden/>
          </w:rPr>
          <w:fldChar w:fldCharType="end"/>
        </w:r>
      </w:hyperlink>
    </w:p>
    <w:p w14:paraId="39A835AF" w14:textId="504EA1B5" w:rsidR="000C4B00" w:rsidRDefault="000C4B00">
      <w:pPr>
        <w:pStyle w:val="TOC6"/>
        <w:tabs>
          <w:tab w:val="left" w:pos="1200"/>
        </w:tabs>
        <w:rPr>
          <w:rFonts w:eastAsiaTheme="minorEastAsia"/>
          <w:noProof/>
          <w:color w:val="auto"/>
          <w:kern w:val="2"/>
          <w:sz w:val="24"/>
          <w:szCs w:val="24"/>
          <w:lang w:eastAsia="en-AU"/>
          <w14:ligatures w14:val="standardContextual"/>
        </w:rPr>
      </w:pPr>
      <w:hyperlink w:anchor="_Toc215483344" w:history="1">
        <w:r w:rsidRPr="00BB6A7C">
          <w:rPr>
            <w:rStyle w:val="Hyperlink"/>
            <w:noProof/>
          </w:rPr>
          <w:t>2.5.2.</w:t>
        </w:r>
        <w:r>
          <w:rPr>
            <w:rFonts w:eastAsiaTheme="minorEastAsia"/>
            <w:noProof/>
            <w:color w:val="auto"/>
            <w:kern w:val="2"/>
            <w:sz w:val="24"/>
            <w:szCs w:val="24"/>
            <w:lang w:eastAsia="en-AU"/>
            <w14:ligatures w14:val="standardContextual"/>
          </w:rPr>
          <w:tab/>
        </w:r>
        <w:r w:rsidRPr="00BB6A7C">
          <w:rPr>
            <w:rStyle w:val="Hyperlink"/>
            <w:noProof/>
          </w:rPr>
          <w:t>AHD connection to levelled AHD marks</w:t>
        </w:r>
        <w:r>
          <w:rPr>
            <w:noProof/>
            <w:webHidden/>
          </w:rPr>
          <w:tab/>
        </w:r>
        <w:r>
          <w:rPr>
            <w:noProof/>
            <w:webHidden/>
          </w:rPr>
          <w:fldChar w:fldCharType="begin"/>
        </w:r>
        <w:r>
          <w:rPr>
            <w:noProof/>
            <w:webHidden/>
          </w:rPr>
          <w:instrText xml:space="preserve"> PAGEREF _Toc215483344 \h </w:instrText>
        </w:r>
        <w:r>
          <w:rPr>
            <w:noProof/>
            <w:webHidden/>
          </w:rPr>
        </w:r>
        <w:r>
          <w:rPr>
            <w:noProof/>
            <w:webHidden/>
          </w:rPr>
          <w:fldChar w:fldCharType="separate"/>
        </w:r>
        <w:r>
          <w:rPr>
            <w:noProof/>
            <w:webHidden/>
          </w:rPr>
          <w:t>11</w:t>
        </w:r>
        <w:r>
          <w:rPr>
            <w:noProof/>
            <w:webHidden/>
          </w:rPr>
          <w:fldChar w:fldCharType="end"/>
        </w:r>
      </w:hyperlink>
    </w:p>
    <w:p w14:paraId="0520558B" w14:textId="2007C49A" w:rsidR="000C4B00" w:rsidRDefault="000C4B00">
      <w:pPr>
        <w:pStyle w:val="TOC6"/>
        <w:tabs>
          <w:tab w:val="left" w:pos="1200"/>
        </w:tabs>
        <w:rPr>
          <w:rFonts w:eastAsiaTheme="minorEastAsia"/>
          <w:noProof/>
          <w:color w:val="auto"/>
          <w:kern w:val="2"/>
          <w:sz w:val="24"/>
          <w:szCs w:val="24"/>
          <w:lang w:eastAsia="en-AU"/>
          <w14:ligatures w14:val="standardContextual"/>
        </w:rPr>
      </w:pPr>
      <w:hyperlink w:anchor="_Toc215483345" w:history="1">
        <w:r w:rsidRPr="00BB6A7C">
          <w:rPr>
            <w:rStyle w:val="Hyperlink"/>
            <w:noProof/>
          </w:rPr>
          <w:t>2.5.3.</w:t>
        </w:r>
        <w:r>
          <w:rPr>
            <w:rFonts w:eastAsiaTheme="minorEastAsia"/>
            <w:noProof/>
            <w:color w:val="auto"/>
            <w:kern w:val="2"/>
            <w:sz w:val="24"/>
            <w:szCs w:val="24"/>
            <w:lang w:eastAsia="en-AU"/>
            <w14:ligatures w14:val="standardContextual"/>
          </w:rPr>
          <w:tab/>
        </w:r>
        <w:r w:rsidRPr="00BB6A7C">
          <w:rPr>
            <w:rStyle w:val="Hyperlink"/>
            <w:noProof/>
          </w:rPr>
          <w:t>AHD connection derived by GNSS equipment</w:t>
        </w:r>
        <w:r>
          <w:rPr>
            <w:noProof/>
            <w:webHidden/>
          </w:rPr>
          <w:tab/>
        </w:r>
        <w:r>
          <w:rPr>
            <w:noProof/>
            <w:webHidden/>
          </w:rPr>
          <w:fldChar w:fldCharType="begin"/>
        </w:r>
        <w:r>
          <w:rPr>
            <w:noProof/>
            <w:webHidden/>
          </w:rPr>
          <w:instrText xml:space="preserve"> PAGEREF _Toc215483345 \h </w:instrText>
        </w:r>
        <w:r>
          <w:rPr>
            <w:noProof/>
            <w:webHidden/>
          </w:rPr>
        </w:r>
        <w:r>
          <w:rPr>
            <w:noProof/>
            <w:webHidden/>
          </w:rPr>
          <w:fldChar w:fldCharType="separate"/>
        </w:r>
        <w:r>
          <w:rPr>
            <w:noProof/>
            <w:webHidden/>
          </w:rPr>
          <w:t>12</w:t>
        </w:r>
        <w:r>
          <w:rPr>
            <w:noProof/>
            <w:webHidden/>
          </w:rPr>
          <w:fldChar w:fldCharType="end"/>
        </w:r>
      </w:hyperlink>
    </w:p>
    <w:p w14:paraId="447E563D" w14:textId="669B1713" w:rsidR="000C4B00" w:rsidRDefault="000C4B00">
      <w:pPr>
        <w:pStyle w:val="TOC5"/>
        <w:rPr>
          <w:rFonts w:eastAsiaTheme="minorEastAsia"/>
          <w:noProof/>
          <w:color w:val="auto"/>
          <w:kern w:val="2"/>
          <w:sz w:val="24"/>
          <w:szCs w:val="24"/>
          <w:lang w:eastAsia="en-AU"/>
          <w14:ligatures w14:val="standardContextual"/>
        </w:rPr>
      </w:pPr>
      <w:hyperlink w:anchor="_Toc215483346" w:history="1">
        <w:r w:rsidRPr="00BB6A7C">
          <w:rPr>
            <w:rStyle w:val="Hyperlink"/>
            <w:noProof/>
          </w:rPr>
          <w:t>2.6.</w:t>
        </w:r>
        <w:r>
          <w:rPr>
            <w:rFonts w:eastAsiaTheme="minorEastAsia"/>
            <w:noProof/>
            <w:color w:val="auto"/>
            <w:kern w:val="2"/>
            <w:sz w:val="24"/>
            <w:szCs w:val="24"/>
            <w:lang w:eastAsia="en-AU"/>
            <w14:ligatures w14:val="standardContextual"/>
          </w:rPr>
          <w:tab/>
        </w:r>
        <w:r w:rsidRPr="00BB6A7C">
          <w:rPr>
            <w:rStyle w:val="Hyperlink"/>
            <w:noProof/>
          </w:rPr>
          <w:t>Cadastral surveys exempt from connection to MGA2020</w:t>
        </w:r>
        <w:r>
          <w:rPr>
            <w:noProof/>
            <w:webHidden/>
          </w:rPr>
          <w:tab/>
        </w:r>
        <w:r>
          <w:rPr>
            <w:noProof/>
            <w:webHidden/>
          </w:rPr>
          <w:fldChar w:fldCharType="begin"/>
        </w:r>
        <w:r>
          <w:rPr>
            <w:noProof/>
            <w:webHidden/>
          </w:rPr>
          <w:instrText xml:space="preserve"> PAGEREF _Toc215483346 \h </w:instrText>
        </w:r>
        <w:r>
          <w:rPr>
            <w:noProof/>
            <w:webHidden/>
          </w:rPr>
        </w:r>
        <w:r>
          <w:rPr>
            <w:noProof/>
            <w:webHidden/>
          </w:rPr>
          <w:fldChar w:fldCharType="separate"/>
        </w:r>
        <w:r>
          <w:rPr>
            <w:noProof/>
            <w:webHidden/>
          </w:rPr>
          <w:t>12</w:t>
        </w:r>
        <w:r>
          <w:rPr>
            <w:noProof/>
            <w:webHidden/>
          </w:rPr>
          <w:fldChar w:fldCharType="end"/>
        </w:r>
      </w:hyperlink>
    </w:p>
    <w:p w14:paraId="3DBF4A76" w14:textId="7F1FABA3" w:rsidR="000C4B00" w:rsidRDefault="000C4B00">
      <w:pPr>
        <w:pStyle w:val="TOC5"/>
        <w:rPr>
          <w:rFonts w:eastAsiaTheme="minorEastAsia"/>
          <w:noProof/>
          <w:color w:val="auto"/>
          <w:kern w:val="2"/>
          <w:sz w:val="24"/>
          <w:szCs w:val="24"/>
          <w:lang w:eastAsia="en-AU"/>
          <w14:ligatures w14:val="standardContextual"/>
        </w:rPr>
      </w:pPr>
      <w:hyperlink w:anchor="_Toc215483347" w:history="1">
        <w:r w:rsidRPr="00BB6A7C">
          <w:rPr>
            <w:rStyle w:val="Hyperlink"/>
            <w:noProof/>
          </w:rPr>
          <w:t>2.7.</w:t>
        </w:r>
        <w:r>
          <w:rPr>
            <w:rFonts w:eastAsiaTheme="minorEastAsia"/>
            <w:noProof/>
            <w:color w:val="auto"/>
            <w:kern w:val="2"/>
            <w:sz w:val="24"/>
            <w:szCs w:val="24"/>
            <w:lang w:eastAsia="en-AU"/>
            <w14:ligatures w14:val="standardContextual"/>
          </w:rPr>
          <w:tab/>
        </w:r>
        <w:r w:rsidRPr="00BB6A7C">
          <w:rPr>
            <w:rStyle w:val="Hyperlink"/>
            <w:noProof/>
          </w:rPr>
          <w:t>Permanent marks</w:t>
        </w:r>
        <w:r>
          <w:rPr>
            <w:noProof/>
            <w:webHidden/>
          </w:rPr>
          <w:tab/>
        </w:r>
        <w:r>
          <w:rPr>
            <w:noProof/>
            <w:webHidden/>
          </w:rPr>
          <w:fldChar w:fldCharType="begin"/>
        </w:r>
        <w:r>
          <w:rPr>
            <w:noProof/>
            <w:webHidden/>
          </w:rPr>
          <w:instrText xml:space="preserve"> PAGEREF _Toc215483347 \h </w:instrText>
        </w:r>
        <w:r>
          <w:rPr>
            <w:noProof/>
            <w:webHidden/>
          </w:rPr>
        </w:r>
        <w:r>
          <w:rPr>
            <w:noProof/>
            <w:webHidden/>
          </w:rPr>
          <w:fldChar w:fldCharType="separate"/>
        </w:r>
        <w:r>
          <w:rPr>
            <w:noProof/>
            <w:webHidden/>
          </w:rPr>
          <w:t>13</w:t>
        </w:r>
        <w:r>
          <w:rPr>
            <w:noProof/>
            <w:webHidden/>
          </w:rPr>
          <w:fldChar w:fldCharType="end"/>
        </w:r>
      </w:hyperlink>
    </w:p>
    <w:p w14:paraId="6E9864B6" w14:textId="4C0B361A"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48" w:history="1">
        <w:r w:rsidRPr="00BB6A7C">
          <w:rPr>
            <w:rStyle w:val="Hyperlink"/>
            <w:noProof/>
          </w:rPr>
          <w:t>2.7.1</w:t>
        </w:r>
        <w:r>
          <w:rPr>
            <w:rFonts w:eastAsiaTheme="minorEastAsia"/>
            <w:noProof/>
            <w:color w:val="auto"/>
            <w:kern w:val="2"/>
            <w:sz w:val="24"/>
            <w:szCs w:val="24"/>
            <w:lang w:eastAsia="en-AU"/>
            <w14:ligatures w14:val="standardContextual"/>
          </w:rPr>
          <w:tab/>
        </w:r>
        <w:r w:rsidRPr="00BB6A7C">
          <w:rPr>
            <w:rStyle w:val="Hyperlink"/>
            <w:noProof/>
          </w:rPr>
          <w:t>What is a permanent mark?</w:t>
        </w:r>
        <w:r>
          <w:rPr>
            <w:noProof/>
            <w:webHidden/>
          </w:rPr>
          <w:tab/>
        </w:r>
        <w:r>
          <w:rPr>
            <w:noProof/>
            <w:webHidden/>
          </w:rPr>
          <w:fldChar w:fldCharType="begin"/>
        </w:r>
        <w:r>
          <w:rPr>
            <w:noProof/>
            <w:webHidden/>
          </w:rPr>
          <w:instrText xml:space="preserve"> PAGEREF _Toc215483348 \h </w:instrText>
        </w:r>
        <w:r>
          <w:rPr>
            <w:noProof/>
            <w:webHidden/>
          </w:rPr>
        </w:r>
        <w:r>
          <w:rPr>
            <w:noProof/>
            <w:webHidden/>
          </w:rPr>
          <w:fldChar w:fldCharType="separate"/>
        </w:r>
        <w:r>
          <w:rPr>
            <w:noProof/>
            <w:webHidden/>
          </w:rPr>
          <w:t>13</w:t>
        </w:r>
        <w:r>
          <w:rPr>
            <w:noProof/>
            <w:webHidden/>
          </w:rPr>
          <w:fldChar w:fldCharType="end"/>
        </w:r>
      </w:hyperlink>
    </w:p>
    <w:p w14:paraId="675C7DC5" w14:textId="30B71C43"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49" w:history="1">
        <w:r w:rsidRPr="00BB6A7C">
          <w:rPr>
            <w:rStyle w:val="Hyperlink"/>
            <w:noProof/>
          </w:rPr>
          <w:t>2.7.2</w:t>
        </w:r>
        <w:r>
          <w:rPr>
            <w:rFonts w:eastAsiaTheme="minorEastAsia"/>
            <w:noProof/>
            <w:color w:val="auto"/>
            <w:kern w:val="2"/>
            <w:sz w:val="24"/>
            <w:szCs w:val="24"/>
            <w:lang w:eastAsia="en-AU"/>
            <w14:ligatures w14:val="standardContextual"/>
          </w:rPr>
          <w:tab/>
        </w:r>
        <w:r w:rsidRPr="00BB6A7C">
          <w:rPr>
            <w:rStyle w:val="Hyperlink"/>
            <w:noProof/>
          </w:rPr>
          <w:t>Registration of new and/or unregistered permanent marks</w:t>
        </w:r>
        <w:r>
          <w:rPr>
            <w:noProof/>
            <w:webHidden/>
          </w:rPr>
          <w:tab/>
        </w:r>
        <w:r>
          <w:rPr>
            <w:noProof/>
            <w:webHidden/>
          </w:rPr>
          <w:fldChar w:fldCharType="begin"/>
        </w:r>
        <w:r>
          <w:rPr>
            <w:noProof/>
            <w:webHidden/>
          </w:rPr>
          <w:instrText xml:space="preserve"> PAGEREF _Toc215483349 \h </w:instrText>
        </w:r>
        <w:r>
          <w:rPr>
            <w:noProof/>
            <w:webHidden/>
          </w:rPr>
        </w:r>
        <w:r>
          <w:rPr>
            <w:noProof/>
            <w:webHidden/>
          </w:rPr>
          <w:fldChar w:fldCharType="separate"/>
        </w:r>
        <w:r>
          <w:rPr>
            <w:noProof/>
            <w:webHidden/>
          </w:rPr>
          <w:t>13</w:t>
        </w:r>
        <w:r>
          <w:rPr>
            <w:noProof/>
            <w:webHidden/>
          </w:rPr>
          <w:fldChar w:fldCharType="end"/>
        </w:r>
      </w:hyperlink>
    </w:p>
    <w:p w14:paraId="6251DEE2" w14:textId="2CA4BB43"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50" w:history="1">
        <w:r w:rsidRPr="00BB6A7C">
          <w:rPr>
            <w:rStyle w:val="Hyperlink"/>
            <w:noProof/>
          </w:rPr>
          <w:t>2.7.3</w:t>
        </w:r>
        <w:r>
          <w:rPr>
            <w:rFonts w:eastAsiaTheme="minorEastAsia"/>
            <w:noProof/>
            <w:color w:val="auto"/>
            <w:kern w:val="2"/>
            <w:sz w:val="24"/>
            <w:szCs w:val="24"/>
            <w:lang w:eastAsia="en-AU"/>
            <w14:ligatures w14:val="standardContextual"/>
          </w:rPr>
          <w:tab/>
        </w:r>
        <w:r w:rsidRPr="00BB6A7C">
          <w:rPr>
            <w:rStyle w:val="Hyperlink"/>
            <w:noProof/>
          </w:rPr>
          <w:t>Provision of Permanent Mark information on survey documents</w:t>
        </w:r>
        <w:r>
          <w:rPr>
            <w:noProof/>
            <w:webHidden/>
          </w:rPr>
          <w:tab/>
        </w:r>
        <w:r>
          <w:rPr>
            <w:noProof/>
            <w:webHidden/>
          </w:rPr>
          <w:fldChar w:fldCharType="begin"/>
        </w:r>
        <w:r>
          <w:rPr>
            <w:noProof/>
            <w:webHidden/>
          </w:rPr>
          <w:instrText xml:space="preserve"> PAGEREF _Toc215483350 \h </w:instrText>
        </w:r>
        <w:r>
          <w:rPr>
            <w:noProof/>
            <w:webHidden/>
          </w:rPr>
        </w:r>
        <w:r>
          <w:rPr>
            <w:noProof/>
            <w:webHidden/>
          </w:rPr>
          <w:fldChar w:fldCharType="separate"/>
        </w:r>
        <w:r>
          <w:rPr>
            <w:noProof/>
            <w:webHidden/>
          </w:rPr>
          <w:t>13</w:t>
        </w:r>
        <w:r>
          <w:rPr>
            <w:noProof/>
            <w:webHidden/>
          </w:rPr>
          <w:fldChar w:fldCharType="end"/>
        </w:r>
      </w:hyperlink>
    </w:p>
    <w:p w14:paraId="79E068A7" w14:textId="07326DF1" w:rsidR="000C4B00" w:rsidRDefault="000C4B00">
      <w:pPr>
        <w:pStyle w:val="TOC5"/>
        <w:rPr>
          <w:rFonts w:eastAsiaTheme="minorEastAsia"/>
          <w:noProof/>
          <w:color w:val="auto"/>
          <w:kern w:val="2"/>
          <w:sz w:val="24"/>
          <w:szCs w:val="24"/>
          <w:lang w:eastAsia="en-AU"/>
          <w14:ligatures w14:val="standardContextual"/>
        </w:rPr>
      </w:pPr>
      <w:hyperlink w:anchor="_Toc215483351" w:history="1">
        <w:r w:rsidRPr="00BB6A7C">
          <w:rPr>
            <w:rStyle w:val="Hyperlink"/>
            <w:noProof/>
          </w:rPr>
          <w:t>2.8</w:t>
        </w:r>
        <w:r>
          <w:rPr>
            <w:rFonts w:eastAsiaTheme="minorEastAsia"/>
            <w:noProof/>
            <w:color w:val="auto"/>
            <w:kern w:val="2"/>
            <w:sz w:val="24"/>
            <w:szCs w:val="24"/>
            <w:lang w:eastAsia="en-AU"/>
            <w14:ligatures w14:val="standardContextual"/>
          </w:rPr>
          <w:tab/>
        </w:r>
        <w:r w:rsidRPr="00BB6A7C">
          <w:rPr>
            <w:rStyle w:val="Hyperlink"/>
            <w:noProof/>
          </w:rPr>
          <w:t>Primary cadastral marks</w:t>
        </w:r>
        <w:r>
          <w:rPr>
            <w:noProof/>
            <w:webHidden/>
          </w:rPr>
          <w:tab/>
        </w:r>
        <w:r>
          <w:rPr>
            <w:noProof/>
            <w:webHidden/>
          </w:rPr>
          <w:fldChar w:fldCharType="begin"/>
        </w:r>
        <w:r>
          <w:rPr>
            <w:noProof/>
            <w:webHidden/>
          </w:rPr>
          <w:instrText xml:space="preserve"> PAGEREF _Toc215483351 \h </w:instrText>
        </w:r>
        <w:r>
          <w:rPr>
            <w:noProof/>
            <w:webHidden/>
          </w:rPr>
        </w:r>
        <w:r>
          <w:rPr>
            <w:noProof/>
            <w:webHidden/>
          </w:rPr>
          <w:fldChar w:fldCharType="separate"/>
        </w:r>
        <w:r>
          <w:rPr>
            <w:noProof/>
            <w:webHidden/>
          </w:rPr>
          <w:t>14</w:t>
        </w:r>
        <w:r>
          <w:rPr>
            <w:noProof/>
            <w:webHidden/>
          </w:rPr>
          <w:fldChar w:fldCharType="end"/>
        </w:r>
      </w:hyperlink>
    </w:p>
    <w:p w14:paraId="311BC5BB" w14:textId="6D5F318B"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52" w:history="1">
        <w:r w:rsidRPr="00BB6A7C">
          <w:rPr>
            <w:rStyle w:val="Hyperlink"/>
            <w:noProof/>
          </w:rPr>
          <w:t>2.8.1</w:t>
        </w:r>
        <w:r>
          <w:rPr>
            <w:rFonts w:eastAsiaTheme="minorEastAsia"/>
            <w:noProof/>
            <w:color w:val="auto"/>
            <w:kern w:val="2"/>
            <w:sz w:val="24"/>
            <w:szCs w:val="24"/>
            <w:lang w:eastAsia="en-AU"/>
            <w14:ligatures w14:val="standardContextual"/>
          </w:rPr>
          <w:tab/>
        </w:r>
        <w:r w:rsidRPr="00BB6A7C">
          <w:rPr>
            <w:rStyle w:val="Hyperlink"/>
            <w:noProof/>
          </w:rPr>
          <w:t>What is a primary cadastral mark?</w:t>
        </w:r>
        <w:r>
          <w:rPr>
            <w:noProof/>
            <w:webHidden/>
          </w:rPr>
          <w:tab/>
        </w:r>
        <w:r>
          <w:rPr>
            <w:noProof/>
            <w:webHidden/>
          </w:rPr>
          <w:fldChar w:fldCharType="begin"/>
        </w:r>
        <w:r>
          <w:rPr>
            <w:noProof/>
            <w:webHidden/>
          </w:rPr>
          <w:instrText xml:space="preserve"> PAGEREF _Toc215483352 \h </w:instrText>
        </w:r>
        <w:r>
          <w:rPr>
            <w:noProof/>
            <w:webHidden/>
          </w:rPr>
        </w:r>
        <w:r>
          <w:rPr>
            <w:noProof/>
            <w:webHidden/>
          </w:rPr>
          <w:fldChar w:fldCharType="separate"/>
        </w:r>
        <w:r>
          <w:rPr>
            <w:noProof/>
            <w:webHidden/>
          </w:rPr>
          <w:t>14</w:t>
        </w:r>
        <w:r>
          <w:rPr>
            <w:noProof/>
            <w:webHidden/>
          </w:rPr>
          <w:fldChar w:fldCharType="end"/>
        </w:r>
      </w:hyperlink>
    </w:p>
    <w:p w14:paraId="117D628A" w14:textId="2E47CAA4"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53" w:history="1">
        <w:r w:rsidRPr="00BB6A7C">
          <w:rPr>
            <w:rStyle w:val="Hyperlink"/>
            <w:noProof/>
          </w:rPr>
          <w:t>2.8.2</w:t>
        </w:r>
        <w:r>
          <w:rPr>
            <w:rFonts w:eastAsiaTheme="minorEastAsia"/>
            <w:noProof/>
            <w:color w:val="auto"/>
            <w:kern w:val="2"/>
            <w:sz w:val="24"/>
            <w:szCs w:val="24"/>
            <w:lang w:eastAsia="en-AU"/>
            <w14:ligatures w14:val="standardContextual"/>
          </w:rPr>
          <w:tab/>
        </w:r>
        <w:r w:rsidRPr="00BB6A7C">
          <w:rPr>
            <w:rStyle w:val="Hyperlink"/>
            <w:noProof/>
          </w:rPr>
          <w:t>Provision of PCM information on survey documents</w:t>
        </w:r>
        <w:r>
          <w:rPr>
            <w:noProof/>
            <w:webHidden/>
          </w:rPr>
          <w:tab/>
        </w:r>
        <w:r>
          <w:rPr>
            <w:noProof/>
            <w:webHidden/>
          </w:rPr>
          <w:fldChar w:fldCharType="begin"/>
        </w:r>
        <w:r>
          <w:rPr>
            <w:noProof/>
            <w:webHidden/>
          </w:rPr>
          <w:instrText xml:space="preserve"> PAGEREF _Toc215483353 \h </w:instrText>
        </w:r>
        <w:r>
          <w:rPr>
            <w:noProof/>
            <w:webHidden/>
          </w:rPr>
        </w:r>
        <w:r>
          <w:rPr>
            <w:noProof/>
            <w:webHidden/>
          </w:rPr>
          <w:fldChar w:fldCharType="separate"/>
        </w:r>
        <w:r>
          <w:rPr>
            <w:noProof/>
            <w:webHidden/>
          </w:rPr>
          <w:t>14</w:t>
        </w:r>
        <w:r>
          <w:rPr>
            <w:noProof/>
            <w:webHidden/>
          </w:rPr>
          <w:fldChar w:fldCharType="end"/>
        </w:r>
      </w:hyperlink>
    </w:p>
    <w:p w14:paraId="123A062D" w14:textId="130F85C9" w:rsidR="000C4B00" w:rsidRDefault="000C4B00">
      <w:pPr>
        <w:pStyle w:val="TOC5"/>
        <w:rPr>
          <w:rFonts w:eastAsiaTheme="minorEastAsia"/>
          <w:noProof/>
          <w:color w:val="auto"/>
          <w:kern w:val="2"/>
          <w:sz w:val="24"/>
          <w:szCs w:val="24"/>
          <w:lang w:eastAsia="en-AU"/>
          <w14:ligatures w14:val="standardContextual"/>
        </w:rPr>
      </w:pPr>
      <w:hyperlink w:anchor="_Toc215483354" w:history="1">
        <w:r w:rsidRPr="00BB6A7C">
          <w:rPr>
            <w:rStyle w:val="Hyperlink"/>
            <w:noProof/>
          </w:rPr>
          <w:t>2.9</w:t>
        </w:r>
        <w:r>
          <w:rPr>
            <w:rFonts w:eastAsiaTheme="minorEastAsia"/>
            <w:noProof/>
            <w:color w:val="auto"/>
            <w:kern w:val="2"/>
            <w:sz w:val="24"/>
            <w:szCs w:val="24"/>
            <w:lang w:eastAsia="en-AU"/>
            <w14:ligatures w14:val="standardContextual"/>
          </w:rPr>
          <w:tab/>
        </w:r>
        <w:r w:rsidRPr="00BB6A7C">
          <w:rPr>
            <w:rStyle w:val="Hyperlink"/>
            <w:noProof/>
          </w:rPr>
          <w:t>Recording the map projection and zone</w:t>
        </w:r>
        <w:r>
          <w:rPr>
            <w:noProof/>
            <w:webHidden/>
          </w:rPr>
          <w:tab/>
        </w:r>
        <w:r>
          <w:rPr>
            <w:noProof/>
            <w:webHidden/>
          </w:rPr>
          <w:fldChar w:fldCharType="begin"/>
        </w:r>
        <w:r>
          <w:rPr>
            <w:noProof/>
            <w:webHidden/>
          </w:rPr>
          <w:instrText xml:space="preserve"> PAGEREF _Toc215483354 \h </w:instrText>
        </w:r>
        <w:r>
          <w:rPr>
            <w:noProof/>
            <w:webHidden/>
          </w:rPr>
        </w:r>
        <w:r>
          <w:rPr>
            <w:noProof/>
            <w:webHidden/>
          </w:rPr>
          <w:fldChar w:fldCharType="separate"/>
        </w:r>
        <w:r>
          <w:rPr>
            <w:noProof/>
            <w:webHidden/>
          </w:rPr>
          <w:t>15</w:t>
        </w:r>
        <w:r>
          <w:rPr>
            <w:noProof/>
            <w:webHidden/>
          </w:rPr>
          <w:fldChar w:fldCharType="end"/>
        </w:r>
      </w:hyperlink>
    </w:p>
    <w:p w14:paraId="570BAF1C" w14:textId="7F59ACDA" w:rsidR="000C4B00" w:rsidRDefault="000C4B00">
      <w:pPr>
        <w:pStyle w:val="TOC4"/>
        <w:rPr>
          <w:rFonts w:eastAsiaTheme="minorEastAsia"/>
          <w:b w:val="0"/>
          <w:noProof/>
          <w:color w:val="auto"/>
          <w:kern w:val="2"/>
          <w:sz w:val="24"/>
          <w:szCs w:val="24"/>
          <w:lang w:eastAsia="en-AU"/>
          <w14:ligatures w14:val="standardContextual"/>
        </w:rPr>
      </w:pPr>
      <w:hyperlink w:anchor="_Toc215483355" w:history="1">
        <w:r w:rsidRPr="00BB6A7C">
          <w:rPr>
            <w:rStyle w:val="Hyperlink"/>
            <w:noProof/>
          </w:rPr>
          <w:t>3</w:t>
        </w:r>
        <w:r>
          <w:rPr>
            <w:rFonts w:eastAsiaTheme="minorEastAsia"/>
            <w:b w:val="0"/>
            <w:noProof/>
            <w:color w:val="auto"/>
            <w:kern w:val="2"/>
            <w:sz w:val="24"/>
            <w:szCs w:val="24"/>
            <w:lang w:eastAsia="en-AU"/>
            <w14:ligatures w14:val="standardContextual"/>
          </w:rPr>
          <w:tab/>
        </w:r>
        <w:r w:rsidRPr="00BB6A7C">
          <w:rPr>
            <w:rStyle w:val="Hyperlink"/>
            <w:noProof/>
          </w:rPr>
          <w:t>Marking of boundaries</w:t>
        </w:r>
        <w:r>
          <w:rPr>
            <w:noProof/>
            <w:webHidden/>
          </w:rPr>
          <w:tab/>
        </w:r>
        <w:r>
          <w:rPr>
            <w:noProof/>
            <w:webHidden/>
          </w:rPr>
          <w:fldChar w:fldCharType="begin"/>
        </w:r>
        <w:r>
          <w:rPr>
            <w:noProof/>
            <w:webHidden/>
          </w:rPr>
          <w:instrText xml:space="preserve"> PAGEREF _Toc215483355 \h </w:instrText>
        </w:r>
        <w:r>
          <w:rPr>
            <w:noProof/>
            <w:webHidden/>
          </w:rPr>
        </w:r>
        <w:r>
          <w:rPr>
            <w:noProof/>
            <w:webHidden/>
          </w:rPr>
          <w:fldChar w:fldCharType="separate"/>
        </w:r>
        <w:r>
          <w:rPr>
            <w:noProof/>
            <w:webHidden/>
          </w:rPr>
          <w:t>15</w:t>
        </w:r>
        <w:r>
          <w:rPr>
            <w:noProof/>
            <w:webHidden/>
          </w:rPr>
          <w:fldChar w:fldCharType="end"/>
        </w:r>
      </w:hyperlink>
    </w:p>
    <w:p w14:paraId="764998F0" w14:textId="48313D86" w:rsidR="000C4B00" w:rsidRDefault="000C4B00">
      <w:pPr>
        <w:pStyle w:val="TOC5"/>
        <w:rPr>
          <w:rFonts w:eastAsiaTheme="minorEastAsia"/>
          <w:noProof/>
          <w:color w:val="auto"/>
          <w:kern w:val="2"/>
          <w:sz w:val="24"/>
          <w:szCs w:val="24"/>
          <w:lang w:eastAsia="en-AU"/>
          <w14:ligatures w14:val="standardContextual"/>
        </w:rPr>
      </w:pPr>
      <w:hyperlink w:anchor="_Toc215483356" w:history="1">
        <w:r w:rsidRPr="00BB6A7C">
          <w:rPr>
            <w:rStyle w:val="Hyperlink"/>
            <w:noProof/>
          </w:rPr>
          <w:t>3.1</w:t>
        </w:r>
        <w:r>
          <w:rPr>
            <w:rFonts w:eastAsiaTheme="minorEastAsia"/>
            <w:noProof/>
            <w:color w:val="auto"/>
            <w:kern w:val="2"/>
            <w:sz w:val="24"/>
            <w:szCs w:val="24"/>
            <w:lang w:eastAsia="en-AU"/>
            <w14:ligatures w14:val="standardContextual"/>
          </w:rPr>
          <w:tab/>
        </w:r>
        <w:r w:rsidRPr="00BB6A7C">
          <w:rPr>
            <w:rStyle w:val="Hyperlink"/>
            <w:noProof/>
          </w:rPr>
          <w:t>Direct marking</w:t>
        </w:r>
        <w:r>
          <w:rPr>
            <w:noProof/>
            <w:webHidden/>
          </w:rPr>
          <w:tab/>
        </w:r>
        <w:r>
          <w:rPr>
            <w:noProof/>
            <w:webHidden/>
          </w:rPr>
          <w:fldChar w:fldCharType="begin"/>
        </w:r>
        <w:r>
          <w:rPr>
            <w:noProof/>
            <w:webHidden/>
          </w:rPr>
          <w:instrText xml:space="preserve"> PAGEREF _Toc215483356 \h </w:instrText>
        </w:r>
        <w:r>
          <w:rPr>
            <w:noProof/>
            <w:webHidden/>
          </w:rPr>
        </w:r>
        <w:r>
          <w:rPr>
            <w:noProof/>
            <w:webHidden/>
          </w:rPr>
          <w:fldChar w:fldCharType="separate"/>
        </w:r>
        <w:r>
          <w:rPr>
            <w:noProof/>
            <w:webHidden/>
          </w:rPr>
          <w:t>15</w:t>
        </w:r>
        <w:r>
          <w:rPr>
            <w:noProof/>
            <w:webHidden/>
          </w:rPr>
          <w:fldChar w:fldCharType="end"/>
        </w:r>
      </w:hyperlink>
    </w:p>
    <w:p w14:paraId="007D323E" w14:textId="66CF2775" w:rsidR="000C4B00" w:rsidRDefault="000C4B00">
      <w:pPr>
        <w:pStyle w:val="TOC5"/>
        <w:rPr>
          <w:rFonts w:eastAsiaTheme="minorEastAsia"/>
          <w:noProof/>
          <w:color w:val="auto"/>
          <w:kern w:val="2"/>
          <w:sz w:val="24"/>
          <w:szCs w:val="24"/>
          <w:lang w:eastAsia="en-AU"/>
          <w14:ligatures w14:val="standardContextual"/>
        </w:rPr>
      </w:pPr>
      <w:hyperlink w:anchor="_Toc215483357" w:history="1">
        <w:r w:rsidRPr="00BB6A7C">
          <w:rPr>
            <w:rStyle w:val="Hyperlink"/>
            <w:noProof/>
          </w:rPr>
          <w:t>3.2</w:t>
        </w:r>
        <w:r>
          <w:rPr>
            <w:rFonts w:eastAsiaTheme="minorEastAsia"/>
            <w:noProof/>
            <w:color w:val="auto"/>
            <w:kern w:val="2"/>
            <w:sz w:val="24"/>
            <w:szCs w:val="24"/>
            <w:lang w:eastAsia="en-AU"/>
            <w14:ligatures w14:val="standardContextual"/>
          </w:rPr>
          <w:tab/>
        </w:r>
        <w:r w:rsidRPr="00BB6A7C">
          <w:rPr>
            <w:rStyle w:val="Hyperlink"/>
            <w:noProof/>
          </w:rPr>
          <w:t>Indirect marking</w:t>
        </w:r>
        <w:r>
          <w:rPr>
            <w:noProof/>
            <w:webHidden/>
          </w:rPr>
          <w:tab/>
        </w:r>
        <w:r>
          <w:rPr>
            <w:noProof/>
            <w:webHidden/>
          </w:rPr>
          <w:fldChar w:fldCharType="begin"/>
        </w:r>
        <w:r>
          <w:rPr>
            <w:noProof/>
            <w:webHidden/>
          </w:rPr>
          <w:instrText xml:space="preserve"> PAGEREF _Toc215483357 \h </w:instrText>
        </w:r>
        <w:r>
          <w:rPr>
            <w:noProof/>
            <w:webHidden/>
          </w:rPr>
        </w:r>
        <w:r>
          <w:rPr>
            <w:noProof/>
            <w:webHidden/>
          </w:rPr>
          <w:fldChar w:fldCharType="separate"/>
        </w:r>
        <w:r>
          <w:rPr>
            <w:noProof/>
            <w:webHidden/>
          </w:rPr>
          <w:t>15</w:t>
        </w:r>
        <w:r>
          <w:rPr>
            <w:noProof/>
            <w:webHidden/>
          </w:rPr>
          <w:fldChar w:fldCharType="end"/>
        </w:r>
      </w:hyperlink>
    </w:p>
    <w:p w14:paraId="5DFD1C29" w14:textId="3D89E7D1" w:rsidR="000C4B00" w:rsidRDefault="000C4B00">
      <w:pPr>
        <w:pStyle w:val="TOC5"/>
        <w:rPr>
          <w:rFonts w:eastAsiaTheme="minorEastAsia"/>
          <w:noProof/>
          <w:color w:val="auto"/>
          <w:kern w:val="2"/>
          <w:sz w:val="24"/>
          <w:szCs w:val="24"/>
          <w:lang w:eastAsia="en-AU"/>
          <w14:ligatures w14:val="standardContextual"/>
        </w:rPr>
      </w:pPr>
      <w:hyperlink w:anchor="_Toc215483358" w:history="1">
        <w:r w:rsidRPr="00BB6A7C">
          <w:rPr>
            <w:rStyle w:val="Hyperlink"/>
            <w:noProof/>
          </w:rPr>
          <w:t>3.3</w:t>
        </w:r>
        <w:r>
          <w:rPr>
            <w:rFonts w:eastAsiaTheme="minorEastAsia"/>
            <w:noProof/>
            <w:color w:val="auto"/>
            <w:kern w:val="2"/>
            <w:sz w:val="24"/>
            <w:szCs w:val="24"/>
            <w:lang w:eastAsia="en-AU"/>
            <w14:ligatures w14:val="standardContextual"/>
          </w:rPr>
          <w:tab/>
        </w:r>
        <w:r w:rsidRPr="00BB6A7C">
          <w:rPr>
            <w:rStyle w:val="Hyperlink"/>
            <w:noProof/>
          </w:rPr>
          <w:t>Non-marking</w:t>
        </w:r>
        <w:r>
          <w:rPr>
            <w:noProof/>
            <w:webHidden/>
          </w:rPr>
          <w:tab/>
        </w:r>
        <w:r>
          <w:rPr>
            <w:noProof/>
            <w:webHidden/>
          </w:rPr>
          <w:fldChar w:fldCharType="begin"/>
        </w:r>
        <w:r>
          <w:rPr>
            <w:noProof/>
            <w:webHidden/>
          </w:rPr>
          <w:instrText xml:space="preserve"> PAGEREF _Toc215483358 \h </w:instrText>
        </w:r>
        <w:r>
          <w:rPr>
            <w:noProof/>
            <w:webHidden/>
          </w:rPr>
        </w:r>
        <w:r>
          <w:rPr>
            <w:noProof/>
            <w:webHidden/>
          </w:rPr>
          <w:fldChar w:fldCharType="separate"/>
        </w:r>
        <w:r>
          <w:rPr>
            <w:noProof/>
            <w:webHidden/>
          </w:rPr>
          <w:t>16</w:t>
        </w:r>
        <w:r>
          <w:rPr>
            <w:noProof/>
            <w:webHidden/>
          </w:rPr>
          <w:fldChar w:fldCharType="end"/>
        </w:r>
      </w:hyperlink>
    </w:p>
    <w:p w14:paraId="522E2E1B" w14:textId="0118DE03" w:rsidR="000C4B00" w:rsidRDefault="000C4B00">
      <w:pPr>
        <w:pStyle w:val="TOC4"/>
        <w:rPr>
          <w:rFonts w:eastAsiaTheme="minorEastAsia"/>
          <w:b w:val="0"/>
          <w:noProof/>
          <w:color w:val="auto"/>
          <w:kern w:val="2"/>
          <w:sz w:val="24"/>
          <w:szCs w:val="24"/>
          <w:lang w:eastAsia="en-AU"/>
          <w14:ligatures w14:val="standardContextual"/>
        </w:rPr>
      </w:pPr>
      <w:hyperlink w:anchor="_Toc215483359" w:history="1">
        <w:r w:rsidRPr="00BB6A7C">
          <w:rPr>
            <w:rStyle w:val="Hyperlink"/>
            <w:noProof/>
          </w:rPr>
          <w:t>4</w:t>
        </w:r>
        <w:r>
          <w:rPr>
            <w:rFonts w:eastAsiaTheme="minorEastAsia"/>
            <w:b w:val="0"/>
            <w:noProof/>
            <w:color w:val="auto"/>
            <w:kern w:val="2"/>
            <w:sz w:val="24"/>
            <w:szCs w:val="24"/>
            <w:lang w:eastAsia="en-AU"/>
            <w14:ligatures w14:val="standardContextual"/>
          </w:rPr>
          <w:tab/>
        </w:r>
        <w:r w:rsidRPr="00BB6A7C">
          <w:rPr>
            <w:rStyle w:val="Hyperlink"/>
            <w:noProof/>
          </w:rPr>
          <w:t>Record of having re-established a cadastral boundary</w:t>
        </w:r>
        <w:r>
          <w:rPr>
            <w:noProof/>
            <w:webHidden/>
          </w:rPr>
          <w:tab/>
        </w:r>
        <w:r>
          <w:rPr>
            <w:noProof/>
            <w:webHidden/>
          </w:rPr>
          <w:fldChar w:fldCharType="begin"/>
        </w:r>
        <w:r>
          <w:rPr>
            <w:noProof/>
            <w:webHidden/>
          </w:rPr>
          <w:instrText xml:space="preserve"> PAGEREF _Toc215483359 \h </w:instrText>
        </w:r>
        <w:r>
          <w:rPr>
            <w:noProof/>
            <w:webHidden/>
          </w:rPr>
        </w:r>
        <w:r>
          <w:rPr>
            <w:noProof/>
            <w:webHidden/>
          </w:rPr>
          <w:fldChar w:fldCharType="separate"/>
        </w:r>
        <w:r>
          <w:rPr>
            <w:noProof/>
            <w:webHidden/>
          </w:rPr>
          <w:t>16</w:t>
        </w:r>
        <w:r>
          <w:rPr>
            <w:noProof/>
            <w:webHidden/>
          </w:rPr>
          <w:fldChar w:fldCharType="end"/>
        </w:r>
      </w:hyperlink>
    </w:p>
    <w:p w14:paraId="50ABA59D" w14:textId="3A700594" w:rsidR="000C4B00" w:rsidRDefault="000C4B00">
      <w:pPr>
        <w:pStyle w:val="TOC5"/>
        <w:rPr>
          <w:rFonts w:eastAsiaTheme="minorEastAsia"/>
          <w:noProof/>
          <w:color w:val="auto"/>
          <w:kern w:val="2"/>
          <w:sz w:val="24"/>
          <w:szCs w:val="24"/>
          <w:lang w:eastAsia="en-AU"/>
          <w14:ligatures w14:val="standardContextual"/>
        </w:rPr>
      </w:pPr>
      <w:hyperlink w:anchor="_Toc215483360" w:history="1">
        <w:r w:rsidRPr="00BB6A7C">
          <w:rPr>
            <w:rStyle w:val="Hyperlink"/>
            <w:noProof/>
          </w:rPr>
          <w:t>4.1</w:t>
        </w:r>
        <w:r>
          <w:rPr>
            <w:rFonts w:eastAsiaTheme="minorEastAsia"/>
            <w:noProof/>
            <w:color w:val="auto"/>
            <w:kern w:val="2"/>
            <w:sz w:val="24"/>
            <w:szCs w:val="24"/>
            <w:lang w:eastAsia="en-AU"/>
            <w14:ligatures w14:val="standardContextual"/>
          </w:rPr>
          <w:tab/>
        </w:r>
        <w:r w:rsidRPr="00BB6A7C">
          <w:rPr>
            <w:rStyle w:val="Hyperlink"/>
            <w:noProof/>
          </w:rPr>
          <w:t>RE Plan requirements</w:t>
        </w:r>
        <w:r>
          <w:rPr>
            <w:noProof/>
            <w:webHidden/>
          </w:rPr>
          <w:tab/>
        </w:r>
        <w:r>
          <w:rPr>
            <w:noProof/>
            <w:webHidden/>
          </w:rPr>
          <w:fldChar w:fldCharType="begin"/>
        </w:r>
        <w:r>
          <w:rPr>
            <w:noProof/>
            <w:webHidden/>
          </w:rPr>
          <w:instrText xml:space="preserve"> PAGEREF _Toc215483360 \h </w:instrText>
        </w:r>
        <w:r>
          <w:rPr>
            <w:noProof/>
            <w:webHidden/>
          </w:rPr>
        </w:r>
        <w:r>
          <w:rPr>
            <w:noProof/>
            <w:webHidden/>
          </w:rPr>
          <w:fldChar w:fldCharType="separate"/>
        </w:r>
        <w:r>
          <w:rPr>
            <w:noProof/>
            <w:webHidden/>
          </w:rPr>
          <w:t>17</w:t>
        </w:r>
        <w:r>
          <w:rPr>
            <w:noProof/>
            <w:webHidden/>
          </w:rPr>
          <w:fldChar w:fldCharType="end"/>
        </w:r>
      </w:hyperlink>
    </w:p>
    <w:p w14:paraId="63FD4FC6" w14:textId="780CF0CA"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61" w:history="1">
        <w:r w:rsidRPr="00BB6A7C">
          <w:rPr>
            <w:rStyle w:val="Hyperlink"/>
            <w:noProof/>
          </w:rPr>
          <w:t>4.1.1</w:t>
        </w:r>
        <w:r>
          <w:rPr>
            <w:rFonts w:eastAsiaTheme="minorEastAsia"/>
            <w:noProof/>
            <w:color w:val="auto"/>
            <w:kern w:val="2"/>
            <w:sz w:val="24"/>
            <w:szCs w:val="24"/>
            <w:lang w:eastAsia="en-AU"/>
            <w14:ligatures w14:val="standardContextual"/>
          </w:rPr>
          <w:tab/>
        </w:r>
        <w:r w:rsidRPr="00BB6A7C">
          <w:rPr>
            <w:rStyle w:val="Hyperlink"/>
            <w:noProof/>
          </w:rPr>
          <w:t>SPEAR</w:t>
        </w:r>
        <w:r>
          <w:rPr>
            <w:noProof/>
            <w:webHidden/>
          </w:rPr>
          <w:tab/>
        </w:r>
        <w:r>
          <w:rPr>
            <w:noProof/>
            <w:webHidden/>
          </w:rPr>
          <w:fldChar w:fldCharType="begin"/>
        </w:r>
        <w:r>
          <w:rPr>
            <w:noProof/>
            <w:webHidden/>
          </w:rPr>
          <w:instrText xml:space="preserve"> PAGEREF _Toc215483361 \h </w:instrText>
        </w:r>
        <w:r>
          <w:rPr>
            <w:noProof/>
            <w:webHidden/>
          </w:rPr>
        </w:r>
        <w:r>
          <w:rPr>
            <w:noProof/>
            <w:webHidden/>
          </w:rPr>
          <w:fldChar w:fldCharType="separate"/>
        </w:r>
        <w:r>
          <w:rPr>
            <w:noProof/>
            <w:webHidden/>
          </w:rPr>
          <w:t>17</w:t>
        </w:r>
        <w:r>
          <w:rPr>
            <w:noProof/>
            <w:webHidden/>
          </w:rPr>
          <w:fldChar w:fldCharType="end"/>
        </w:r>
      </w:hyperlink>
    </w:p>
    <w:p w14:paraId="07EA53AC" w14:textId="455ACE46"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62" w:history="1">
        <w:r w:rsidRPr="00BB6A7C">
          <w:rPr>
            <w:rStyle w:val="Hyperlink"/>
            <w:noProof/>
          </w:rPr>
          <w:t>4.1.2</w:t>
        </w:r>
        <w:r>
          <w:rPr>
            <w:rFonts w:eastAsiaTheme="minorEastAsia"/>
            <w:noProof/>
            <w:color w:val="auto"/>
            <w:kern w:val="2"/>
            <w:sz w:val="24"/>
            <w:szCs w:val="24"/>
            <w:lang w:eastAsia="en-AU"/>
            <w14:ligatures w14:val="standardContextual"/>
          </w:rPr>
          <w:tab/>
        </w:r>
        <w:r w:rsidRPr="00BB6A7C">
          <w:rPr>
            <w:rStyle w:val="Hyperlink"/>
            <w:noProof/>
          </w:rPr>
          <w:t>RE Plan diagram</w:t>
        </w:r>
        <w:r>
          <w:rPr>
            <w:noProof/>
            <w:webHidden/>
          </w:rPr>
          <w:tab/>
        </w:r>
        <w:r>
          <w:rPr>
            <w:noProof/>
            <w:webHidden/>
          </w:rPr>
          <w:fldChar w:fldCharType="begin"/>
        </w:r>
        <w:r>
          <w:rPr>
            <w:noProof/>
            <w:webHidden/>
          </w:rPr>
          <w:instrText xml:space="preserve"> PAGEREF _Toc215483362 \h </w:instrText>
        </w:r>
        <w:r>
          <w:rPr>
            <w:noProof/>
            <w:webHidden/>
          </w:rPr>
        </w:r>
        <w:r>
          <w:rPr>
            <w:noProof/>
            <w:webHidden/>
          </w:rPr>
          <w:fldChar w:fldCharType="separate"/>
        </w:r>
        <w:r>
          <w:rPr>
            <w:noProof/>
            <w:webHidden/>
          </w:rPr>
          <w:t>17</w:t>
        </w:r>
        <w:r>
          <w:rPr>
            <w:noProof/>
            <w:webHidden/>
          </w:rPr>
          <w:fldChar w:fldCharType="end"/>
        </w:r>
      </w:hyperlink>
    </w:p>
    <w:p w14:paraId="4398A0CF" w14:textId="1A089FCD"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63" w:history="1">
        <w:r w:rsidRPr="00BB6A7C">
          <w:rPr>
            <w:rStyle w:val="Hyperlink"/>
            <w:noProof/>
          </w:rPr>
          <w:t>4.1.3</w:t>
        </w:r>
        <w:r>
          <w:rPr>
            <w:rFonts w:eastAsiaTheme="minorEastAsia"/>
            <w:noProof/>
            <w:color w:val="auto"/>
            <w:kern w:val="2"/>
            <w:sz w:val="24"/>
            <w:szCs w:val="24"/>
            <w:lang w:eastAsia="en-AU"/>
            <w14:ligatures w14:val="standardContextual"/>
          </w:rPr>
          <w:tab/>
        </w:r>
        <w:r w:rsidRPr="00BB6A7C">
          <w:rPr>
            <w:rStyle w:val="Hyperlink"/>
            <w:noProof/>
          </w:rPr>
          <w:t>Boundary marking in re-establishment surveys</w:t>
        </w:r>
        <w:r>
          <w:rPr>
            <w:noProof/>
            <w:webHidden/>
          </w:rPr>
          <w:tab/>
        </w:r>
        <w:r>
          <w:rPr>
            <w:noProof/>
            <w:webHidden/>
          </w:rPr>
          <w:fldChar w:fldCharType="begin"/>
        </w:r>
        <w:r>
          <w:rPr>
            <w:noProof/>
            <w:webHidden/>
          </w:rPr>
          <w:instrText xml:space="preserve"> PAGEREF _Toc215483363 \h </w:instrText>
        </w:r>
        <w:r>
          <w:rPr>
            <w:noProof/>
            <w:webHidden/>
          </w:rPr>
        </w:r>
        <w:r>
          <w:rPr>
            <w:noProof/>
            <w:webHidden/>
          </w:rPr>
          <w:fldChar w:fldCharType="separate"/>
        </w:r>
        <w:r>
          <w:rPr>
            <w:noProof/>
            <w:webHidden/>
          </w:rPr>
          <w:t>18</w:t>
        </w:r>
        <w:r>
          <w:rPr>
            <w:noProof/>
            <w:webHidden/>
          </w:rPr>
          <w:fldChar w:fldCharType="end"/>
        </w:r>
      </w:hyperlink>
    </w:p>
    <w:p w14:paraId="515E0F4C" w14:textId="5D2BB8FD"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64" w:history="1">
        <w:r w:rsidRPr="00BB6A7C">
          <w:rPr>
            <w:rStyle w:val="Hyperlink"/>
            <w:noProof/>
          </w:rPr>
          <w:t>4.1.4</w:t>
        </w:r>
        <w:r>
          <w:rPr>
            <w:rFonts w:eastAsiaTheme="minorEastAsia"/>
            <w:noProof/>
            <w:color w:val="auto"/>
            <w:kern w:val="2"/>
            <w:sz w:val="24"/>
            <w:szCs w:val="24"/>
            <w:lang w:eastAsia="en-AU"/>
            <w14:ligatures w14:val="standardContextual"/>
          </w:rPr>
          <w:tab/>
        </w:r>
        <w:r w:rsidRPr="00BB6A7C">
          <w:rPr>
            <w:rStyle w:val="Hyperlink"/>
            <w:noProof/>
          </w:rPr>
          <w:t>Notations</w:t>
        </w:r>
        <w:r>
          <w:rPr>
            <w:noProof/>
            <w:webHidden/>
          </w:rPr>
          <w:tab/>
        </w:r>
        <w:r>
          <w:rPr>
            <w:noProof/>
            <w:webHidden/>
          </w:rPr>
          <w:fldChar w:fldCharType="begin"/>
        </w:r>
        <w:r>
          <w:rPr>
            <w:noProof/>
            <w:webHidden/>
          </w:rPr>
          <w:instrText xml:space="preserve"> PAGEREF _Toc215483364 \h </w:instrText>
        </w:r>
        <w:r>
          <w:rPr>
            <w:noProof/>
            <w:webHidden/>
          </w:rPr>
        </w:r>
        <w:r>
          <w:rPr>
            <w:noProof/>
            <w:webHidden/>
          </w:rPr>
          <w:fldChar w:fldCharType="separate"/>
        </w:r>
        <w:r>
          <w:rPr>
            <w:noProof/>
            <w:webHidden/>
          </w:rPr>
          <w:t>18</w:t>
        </w:r>
        <w:r>
          <w:rPr>
            <w:noProof/>
            <w:webHidden/>
          </w:rPr>
          <w:fldChar w:fldCharType="end"/>
        </w:r>
      </w:hyperlink>
    </w:p>
    <w:p w14:paraId="207DB83E" w14:textId="3D30757B"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65" w:history="1">
        <w:r w:rsidRPr="00BB6A7C">
          <w:rPr>
            <w:rStyle w:val="Hyperlink"/>
            <w:noProof/>
          </w:rPr>
          <w:t>4.1.5</w:t>
        </w:r>
        <w:r>
          <w:rPr>
            <w:rFonts w:eastAsiaTheme="minorEastAsia"/>
            <w:noProof/>
            <w:color w:val="auto"/>
            <w:kern w:val="2"/>
            <w:sz w:val="24"/>
            <w:szCs w:val="24"/>
            <w:lang w:eastAsia="en-AU"/>
            <w14:ligatures w14:val="standardContextual"/>
          </w:rPr>
          <w:tab/>
        </w:r>
        <w:r w:rsidRPr="00BB6A7C">
          <w:rPr>
            <w:rStyle w:val="Hyperlink"/>
            <w:noProof/>
          </w:rPr>
          <w:t>Boundary dimensions</w:t>
        </w:r>
        <w:r>
          <w:rPr>
            <w:noProof/>
            <w:webHidden/>
          </w:rPr>
          <w:tab/>
        </w:r>
        <w:r>
          <w:rPr>
            <w:noProof/>
            <w:webHidden/>
          </w:rPr>
          <w:fldChar w:fldCharType="begin"/>
        </w:r>
        <w:r>
          <w:rPr>
            <w:noProof/>
            <w:webHidden/>
          </w:rPr>
          <w:instrText xml:space="preserve"> PAGEREF _Toc215483365 \h </w:instrText>
        </w:r>
        <w:r>
          <w:rPr>
            <w:noProof/>
            <w:webHidden/>
          </w:rPr>
        </w:r>
        <w:r>
          <w:rPr>
            <w:noProof/>
            <w:webHidden/>
          </w:rPr>
          <w:fldChar w:fldCharType="separate"/>
        </w:r>
        <w:r>
          <w:rPr>
            <w:noProof/>
            <w:webHidden/>
          </w:rPr>
          <w:t>18</w:t>
        </w:r>
        <w:r>
          <w:rPr>
            <w:noProof/>
            <w:webHidden/>
          </w:rPr>
          <w:fldChar w:fldCharType="end"/>
        </w:r>
      </w:hyperlink>
    </w:p>
    <w:p w14:paraId="1211F001" w14:textId="362230C9"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66" w:history="1">
        <w:r w:rsidRPr="00BB6A7C">
          <w:rPr>
            <w:rStyle w:val="Hyperlink"/>
            <w:noProof/>
          </w:rPr>
          <w:t>4.1.6</w:t>
        </w:r>
        <w:r>
          <w:rPr>
            <w:rFonts w:eastAsiaTheme="minorEastAsia"/>
            <w:noProof/>
            <w:color w:val="auto"/>
            <w:kern w:val="2"/>
            <w:sz w:val="24"/>
            <w:szCs w:val="24"/>
            <w:lang w:eastAsia="en-AU"/>
            <w14:ligatures w14:val="standardContextual"/>
          </w:rPr>
          <w:tab/>
        </w:r>
        <w:r w:rsidRPr="00BB6A7C">
          <w:rPr>
            <w:rStyle w:val="Hyperlink"/>
            <w:noProof/>
          </w:rPr>
          <w:t>Disclaimers</w:t>
        </w:r>
        <w:r>
          <w:rPr>
            <w:noProof/>
            <w:webHidden/>
          </w:rPr>
          <w:tab/>
        </w:r>
        <w:r>
          <w:rPr>
            <w:noProof/>
            <w:webHidden/>
          </w:rPr>
          <w:fldChar w:fldCharType="begin"/>
        </w:r>
        <w:r>
          <w:rPr>
            <w:noProof/>
            <w:webHidden/>
          </w:rPr>
          <w:instrText xml:space="preserve"> PAGEREF _Toc215483366 \h </w:instrText>
        </w:r>
        <w:r>
          <w:rPr>
            <w:noProof/>
            <w:webHidden/>
          </w:rPr>
        </w:r>
        <w:r>
          <w:rPr>
            <w:noProof/>
            <w:webHidden/>
          </w:rPr>
          <w:fldChar w:fldCharType="separate"/>
        </w:r>
        <w:r>
          <w:rPr>
            <w:noProof/>
            <w:webHidden/>
          </w:rPr>
          <w:t>18</w:t>
        </w:r>
        <w:r>
          <w:rPr>
            <w:noProof/>
            <w:webHidden/>
          </w:rPr>
          <w:fldChar w:fldCharType="end"/>
        </w:r>
      </w:hyperlink>
    </w:p>
    <w:p w14:paraId="553102CB" w14:textId="6601B2B3"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67" w:history="1">
        <w:r w:rsidRPr="00BB6A7C">
          <w:rPr>
            <w:rStyle w:val="Hyperlink"/>
            <w:noProof/>
          </w:rPr>
          <w:t>4.1.7</w:t>
        </w:r>
        <w:r>
          <w:rPr>
            <w:rFonts w:eastAsiaTheme="minorEastAsia"/>
            <w:noProof/>
            <w:color w:val="auto"/>
            <w:kern w:val="2"/>
            <w:sz w:val="24"/>
            <w:szCs w:val="24"/>
            <w:lang w:eastAsia="en-AU"/>
            <w14:ligatures w14:val="standardContextual"/>
          </w:rPr>
          <w:tab/>
        </w:r>
        <w:r w:rsidRPr="00BB6A7C">
          <w:rPr>
            <w:rStyle w:val="Hyperlink"/>
            <w:noProof/>
          </w:rPr>
          <w:t>RE Plan Example</w:t>
        </w:r>
        <w:r>
          <w:rPr>
            <w:noProof/>
            <w:webHidden/>
          </w:rPr>
          <w:tab/>
        </w:r>
        <w:r>
          <w:rPr>
            <w:noProof/>
            <w:webHidden/>
          </w:rPr>
          <w:fldChar w:fldCharType="begin"/>
        </w:r>
        <w:r>
          <w:rPr>
            <w:noProof/>
            <w:webHidden/>
          </w:rPr>
          <w:instrText xml:space="preserve"> PAGEREF _Toc215483367 \h </w:instrText>
        </w:r>
        <w:r>
          <w:rPr>
            <w:noProof/>
            <w:webHidden/>
          </w:rPr>
        </w:r>
        <w:r>
          <w:rPr>
            <w:noProof/>
            <w:webHidden/>
          </w:rPr>
          <w:fldChar w:fldCharType="separate"/>
        </w:r>
        <w:r>
          <w:rPr>
            <w:noProof/>
            <w:webHidden/>
          </w:rPr>
          <w:t>18</w:t>
        </w:r>
        <w:r>
          <w:rPr>
            <w:noProof/>
            <w:webHidden/>
          </w:rPr>
          <w:fldChar w:fldCharType="end"/>
        </w:r>
      </w:hyperlink>
    </w:p>
    <w:p w14:paraId="54451AEF" w14:textId="04ACF3FE" w:rsidR="000C4B00" w:rsidRDefault="000C4B00">
      <w:pPr>
        <w:pStyle w:val="TOC5"/>
        <w:rPr>
          <w:rFonts w:eastAsiaTheme="minorEastAsia"/>
          <w:noProof/>
          <w:color w:val="auto"/>
          <w:kern w:val="2"/>
          <w:sz w:val="24"/>
          <w:szCs w:val="24"/>
          <w:lang w:eastAsia="en-AU"/>
          <w14:ligatures w14:val="standardContextual"/>
        </w:rPr>
      </w:pPr>
      <w:hyperlink w:anchor="_Toc215483368" w:history="1">
        <w:r w:rsidRPr="00BB6A7C">
          <w:rPr>
            <w:rStyle w:val="Hyperlink"/>
            <w:noProof/>
          </w:rPr>
          <w:t>4.2</w:t>
        </w:r>
        <w:r>
          <w:rPr>
            <w:rFonts w:eastAsiaTheme="minorEastAsia"/>
            <w:noProof/>
            <w:color w:val="auto"/>
            <w:kern w:val="2"/>
            <w:sz w:val="24"/>
            <w:szCs w:val="24"/>
            <w:lang w:eastAsia="en-AU"/>
            <w14:ligatures w14:val="standardContextual"/>
          </w:rPr>
          <w:tab/>
        </w:r>
        <w:r w:rsidRPr="00BB6A7C">
          <w:rPr>
            <w:rStyle w:val="Hyperlink"/>
            <w:noProof/>
          </w:rPr>
          <w:t>Initial re-establishment surveys for subdivisions</w:t>
        </w:r>
        <w:r>
          <w:rPr>
            <w:noProof/>
            <w:webHidden/>
          </w:rPr>
          <w:tab/>
        </w:r>
        <w:r>
          <w:rPr>
            <w:noProof/>
            <w:webHidden/>
          </w:rPr>
          <w:fldChar w:fldCharType="begin"/>
        </w:r>
        <w:r>
          <w:rPr>
            <w:noProof/>
            <w:webHidden/>
          </w:rPr>
          <w:instrText xml:space="preserve"> PAGEREF _Toc215483368 \h </w:instrText>
        </w:r>
        <w:r>
          <w:rPr>
            <w:noProof/>
            <w:webHidden/>
          </w:rPr>
        </w:r>
        <w:r>
          <w:rPr>
            <w:noProof/>
            <w:webHidden/>
          </w:rPr>
          <w:fldChar w:fldCharType="separate"/>
        </w:r>
        <w:r>
          <w:rPr>
            <w:noProof/>
            <w:webHidden/>
          </w:rPr>
          <w:t>19</w:t>
        </w:r>
        <w:r>
          <w:rPr>
            <w:noProof/>
            <w:webHidden/>
          </w:rPr>
          <w:fldChar w:fldCharType="end"/>
        </w:r>
      </w:hyperlink>
    </w:p>
    <w:p w14:paraId="7A271FF5" w14:textId="2E81B0A1" w:rsidR="000C4B00" w:rsidRDefault="000C4B00">
      <w:pPr>
        <w:pStyle w:val="TOC5"/>
        <w:rPr>
          <w:rFonts w:eastAsiaTheme="minorEastAsia"/>
          <w:noProof/>
          <w:color w:val="auto"/>
          <w:kern w:val="2"/>
          <w:sz w:val="24"/>
          <w:szCs w:val="24"/>
          <w:lang w:eastAsia="en-AU"/>
          <w14:ligatures w14:val="standardContextual"/>
        </w:rPr>
      </w:pPr>
      <w:hyperlink w:anchor="_Toc215483369" w:history="1">
        <w:r w:rsidRPr="00BB6A7C">
          <w:rPr>
            <w:rStyle w:val="Hyperlink"/>
            <w:noProof/>
          </w:rPr>
          <w:t>4.3</w:t>
        </w:r>
        <w:r>
          <w:rPr>
            <w:rFonts w:eastAsiaTheme="minorEastAsia"/>
            <w:noProof/>
            <w:color w:val="auto"/>
            <w:kern w:val="2"/>
            <w:sz w:val="24"/>
            <w:szCs w:val="24"/>
            <w:lang w:eastAsia="en-AU"/>
            <w14:ligatures w14:val="standardContextual"/>
          </w:rPr>
          <w:tab/>
        </w:r>
        <w:r w:rsidRPr="00BB6A7C">
          <w:rPr>
            <w:rStyle w:val="Hyperlink"/>
            <w:noProof/>
          </w:rPr>
          <w:t>Plans of subdivision</w:t>
        </w:r>
        <w:r>
          <w:rPr>
            <w:noProof/>
            <w:webHidden/>
          </w:rPr>
          <w:tab/>
        </w:r>
        <w:r>
          <w:rPr>
            <w:noProof/>
            <w:webHidden/>
          </w:rPr>
          <w:fldChar w:fldCharType="begin"/>
        </w:r>
        <w:r>
          <w:rPr>
            <w:noProof/>
            <w:webHidden/>
          </w:rPr>
          <w:instrText xml:space="preserve"> PAGEREF _Toc215483369 \h </w:instrText>
        </w:r>
        <w:r>
          <w:rPr>
            <w:noProof/>
            <w:webHidden/>
          </w:rPr>
        </w:r>
        <w:r>
          <w:rPr>
            <w:noProof/>
            <w:webHidden/>
          </w:rPr>
          <w:fldChar w:fldCharType="separate"/>
        </w:r>
        <w:r>
          <w:rPr>
            <w:noProof/>
            <w:webHidden/>
          </w:rPr>
          <w:t>19</w:t>
        </w:r>
        <w:r>
          <w:rPr>
            <w:noProof/>
            <w:webHidden/>
          </w:rPr>
          <w:fldChar w:fldCharType="end"/>
        </w:r>
      </w:hyperlink>
    </w:p>
    <w:p w14:paraId="4A01F1BD" w14:textId="059B7EE2" w:rsidR="000C4B00" w:rsidRDefault="000C4B00">
      <w:pPr>
        <w:pStyle w:val="TOC4"/>
        <w:rPr>
          <w:rFonts w:eastAsiaTheme="minorEastAsia"/>
          <w:b w:val="0"/>
          <w:noProof/>
          <w:color w:val="auto"/>
          <w:kern w:val="2"/>
          <w:sz w:val="24"/>
          <w:szCs w:val="24"/>
          <w:lang w:eastAsia="en-AU"/>
          <w14:ligatures w14:val="standardContextual"/>
        </w:rPr>
      </w:pPr>
      <w:hyperlink w:anchor="_Toc215483370" w:history="1">
        <w:r w:rsidRPr="00BB6A7C">
          <w:rPr>
            <w:rStyle w:val="Hyperlink"/>
            <w:noProof/>
          </w:rPr>
          <w:t>5</w:t>
        </w:r>
        <w:r>
          <w:rPr>
            <w:rFonts w:eastAsiaTheme="minorEastAsia"/>
            <w:b w:val="0"/>
            <w:noProof/>
            <w:color w:val="auto"/>
            <w:kern w:val="2"/>
            <w:sz w:val="24"/>
            <w:szCs w:val="24"/>
            <w:lang w:eastAsia="en-AU"/>
            <w14:ligatures w14:val="standardContextual"/>
          </w:rPr>
          <w:tab/>
        </w:r>
        <w:r w:rsidRPr="00BB6A7C">
          <w:rPr>
            <w:rStyle w:val="Hyperlink"/>
            <w:noProof/>
          </w:rPr>
          <w:t>Licensed Surveyor’s Report</w:t>
        </w:r>
        <w:r>
          <w:rPr>
            <w:noProof/>
            <w:webHidden/>
          </w:rPr>
          <w:tab/>
        </w:r>
        <w:r>
          <w:rPr>
            <w:noProof/>
            <w:webHidden/>
          </w:rPr>
          <w:fldChar w:fldCharType="begin"/>
        </w:r>
        <w:r>
          <w:rPr>
            <w:noProof/>
            <w:webHidden/>
          </w:rPr>
          <w:instrText xml:space="preserve"> PAGEREF _Toc215483370 \h </w:instrText>
        </w:r>
        <w:r>
          <w:rPr>
            <w:noProof/>
            <w:webHidden/>
          </w:rPr>
        </w:r>
        <w:r>
          <w:rPr>
            <w:noProof/>
            <w:webHidden/>
          </w:rPr>
          <w:fldChar w:fldCharType="separate"/>
        </w:r>
        <w:r>
          <w:rPr>
            <w:noProof/>
            <w:webHidden/>
          </w:rPr>
          <w:t>19</w:t>
        </w:r>
        <w:r>
          <w:rPr>
            <w:noProof/>
            <w:webHidden/>
          </w:rPr>
          <w:fldChar w:fldCharType="end"/>
        </w:r>
      </w:hyperlink>
    </w:p>
    <w:p w14:paraId="47A3C3B0" w14:textId="1AB24ECD" w:rsidR="000C4B00" w:rsidRDefault="000C4B00">
      <w:pPr>
        <w:pStyle w:val="TOC5"/>
        <w:rPr>
          <w:rFonts w:eastAsiaTheme="minorEastAsia"/>
          <w:noProof/>
          <w:color w:val="auto"/>
          <w:kern w:val="2"/>
          <w:sz w:val="24"/>
          <w:szCs w:val="24"/>
          <w:lang w:eastAsia="en-AU"/>
          <w14:ligatures w14:val="standardContextual"/>
        </w:rPr>
      </w:pPr>
      <w:hyperlink w:anchor="_Toc215483371" w:history="1">
        <w:r w:rsidRPr="00BB6A7C">
          <w:rPr>
            <w:rStyle w:val="Hyperlink"/>
            <w:noProof/>
          </w:rPr>
          <w:t>5.1</w:t>
        </w:r>
        <w:r>
          <w:rPr>
            <w:rFonts w:eastAsiaTheme="minorEastAsia"/>
            <w:noProof/>
            <w:color w:val="auto"/>
            <w:kern w:val="2"/>
            <w:sz w:val="24"/>
            <w:szCs w:val="24"/>
            <w:lang w:eastAsia="en-AU"/>
            <w14:ligatures w14:val="standardContextual"/>
          </w:rPr>
          <w:tab/>
        </w:r>
        <w:r w:rsidRPr="00BB6A7C">
          <w:rPr>
            <w:rStyle w:val="Hyperlink"/>
            <w:noProof/>
          </w:rPr>
          <w:t>Title and requirements</w:t>
        </w:r>
        <w:r>
          <w:rPr>
            <w:noProof/>
            <w:webHidden/>
          </w:rPr>
          <w:tab/>
        </w:r>
        <w:r>
          <w:rPr>
            <w:noProof/>
            <w:webHidden/>
          </w:rPr>
          <w:fldChar w:fldCharType="begin"/>
        </w:r>
        <w:r>
          <w:rPr>
            <w:noProof/>
            <w:webHidden/>
          </w:rPr>
          <w:instrText xml:space="preserve"> PAGEREF _Toc215483371 \h </w:instrText>
        </w:r>
        <w:r>
          <w:rPr>
            <w:noProof/>
            <w:webHidden/>
          </w:rPr>
        </w:r>
        <w:r>
          <w:rPr>
            <w:noProof/>
            <w:webHidden/>
          </w:rPr>
          <w:fldChar w:fldCharType="separate"/>
        </w:r>
        <w:r>
          <w:rPr>
            <w:noProof/>
            <w:webHidden/>
          </w:rPr>
          <w:t>19</w:t>
        </w:r>
        <w:r>
          <w:rPr>
            <w:noProof/>
            <w:webHidden/>
          </w:rPr>
          <w:fldChar w:fldCharType="end"/>
        </w:r>
      </w:hyperlink>
    </w:p>
    <w:p w14:paraId="70972395" w14:textId="3945C3BE" w:rsidR="000C4B00" w:rsidRDefault="000C4B00">
      <w:pPr>
        <w:pStyle w:val="TOC5"/>
        <w:rPr>
          <w:rFonts w:eastAsiaTheme="minorEastAsia"/>
          <w:noProof/>
          <w:color w:val="auto"/>
          <w:kern w:val="2"/>
          <w:sz w:val="24"/>
          <w:szCs w:val="24"/>
          <w:lang w:eastAsia="en-AU"/>
          <w14:ligatures w14:val="standardContextual"/>
        </w:rPr>
      </w:pPr>
      <w:hyperlink w:anchor="_Toc215483372" w:history="1">
        <w:r w:rsidRPr="00BB6A7C">
          <w:rPr>
            <w:rStyle w:val="Hyperlink"/>
            <w:noProof/>
          </w:rPr>
          <w:t>5.2</w:t>
        </w:r>
        <w:r>
          <w:rPr>
            <w:rFonts w:eastAsiaTheme="minorEastAsia"/>
            <w:noProof/>
            <w:color w:val="auto"/>
            <w:kern w:val="2"/>
            <w:sz w:val="24"/>
            <w:szCs w:val="24"/>
            <w:lang w:eastAsia="en-AU"/>
            <w14:ligatures w14:val="standardContextual"/>
          </w:rPr>
          <w:tab/>
        </w:r>
        <w:r w:rsidRPr="00BB6A7C">
          <w:rPr>
            <w:rStyle w:val="Hyperlink"/>
            <w:noProof/>
          </w:rPr>
          <w:t>Format of report</w:t>
        </w:r>
        <w:r>
          <w:rPr>
            <w:noProof/>
            <w:webHidden/>
          </w:rPr>
          <w:tab/>
        </w:r>
        <w:r>
          <w:rPr>
            <w:noProof/>
            <w:webHidden/>
          </w:rPr>
          <w:fldChar w:fldCharType="begin"/>
        </w:r>
        <w:r>
          <w:rPr>
            <w:noProof/>
            <w:webHidden/>
          </w:rPr>
          <w:instrText xml:space="preserve"> PAGEREF _Toc215483372 \h </w:instrText>
        </w:r>
        <w:r>
          <w:rPr>
            <w:noProof/>
            <w:webHidden/>
          </w:rPr>
        </w:r>
        <w:r>
          <w:rPr>
            <w:noProof/>
            <w:webHidden/>
          </w:rPr>
          <w:fldChar w:fldCharType="separate"/>
        </w:r>
        <w:r>
          <w:rPr>
            <w:noProof/>
            <w:webHidden/>
          </w:rPr>
          <w:t>19</w:t>
        </w:r>
        <w:r>
          <w:rPr>
            <w:noProof/>
            <w:webHidden/>
          </w:rPr>
          <w:fldChar w:fldCharType="end"/>
        </w:r>
      </w:hyperlink>
    </w:p>
    <w:p w14:paraId="713CF380" w14:textId="0D7C3E9A" w:rsidR="000C4B00" w:rsidRDefault="000C4B00">
      <w:pPr>
        <w:pStyle w:val="TOC5"/>
        <w:rPr>
          <w:rFonts w:eastAsiaTheme="minorEastAsia"/>
          <w:noProof/>
          <w:color w:val="auto"/>
          <w:kern w:val="2"/>
          <w:sz w:val="24"/>
          <w:szCs w:val="24"/>
          <w:lang w:eastAsia="en-AU"/>
          <w14:ligatures w14:val="standardContextual"/>
        </w:rPr>
      </w:pPr>
      <w:hyperlink w:anchor="_Toc215483373" w:history="1">
        <w:r w:rsidRPr="00BB6A7C">
          <w:rPr>
            <w:rStyle w:val="Hyperlink"/>
            <w:noProof/>
          </w:rPr>
          <w:t>5.3</w:t>
        </w:r>
        <w:r>
          <w:rPr>
            <w:rFonts w:eastAsiaTheme="minorEastAsia"/>
            <w:noProof/>
            <w:color w:val="auto"/>
            <w:kern w:val="2"/>
            <w:sz w:val="24"/>
            <w:szCs w:val="24"/>
            <w:lang w:eastAsia="en-AU"/>
            <w14:ligatures w14:val="standardContextual"/>
          </w:rPr>
          <w:tab/>
        </w:r>
        <w:r w:rsidRPr="00BB6A7C">
          <w:rPr>
            <w:rStyle w:val="Hyperlink"/>
            <w:noProof/>
          </w:rPr>
          <w:t>SPEAR requirements</w:t>
        </w:r>
        <w:r>
          <w:rPr>
            <w:noProof/>
            <w:webHidden/>
          </w:rPr>
          <w:tab/>
        </w:r>
        <w:r>
          <w:rPr>
            <w:noProof/>
            <w:webHidden/>
          </w:rPr>
          <w:fldChar w:fldCharType="begin"/>
        </w:r>
        <w:r>
          <w:rPr>
            <w:noProof/>
            <w:webHidden/>
          </w:rPr>
          <w:instrText xml:space="preserve"> PAGEREF _Toc215483373 \h </w:instrText>
        </w:r>
        <w:r>
          <w:rPr>
            <w:noProof/>
            <w:webHidden/>
          </w:rPr>
        </w:r>
        <w:r>
          <w:rPr>
            <w:noProof/>
            <w:webHidden/>
          </w:rPr>
          <w:fldChar w:fldCharType="separate"/>
        </w:r>
        <w:r>
          <w:rPr>
            <w:noProof/>
            <w:webHidden/>
          </w:rPr>
          <w:t>19</w:t>
        </w:r>
        <w:r>
          <w:rPr>
            <w:noProof/>
            <w:webHidden/>
          </w:rPr>
          <w:fldChar w:fldCharType="end"/>
        </w:r>
      </w:hyperlink>
    </w:p>
    <w:p w14:paraId="4A5676C0" w14:textId="5C4BD3A0" w:rsidR="000C4B00" w:rsidRDefault="000C4B00">
      <w:pPr>
        <w:pStyle w:val="TOC5"/>
        <w:rPr>
          <w:rFonts w:eastAsiaTheme="minorEastAsia"/>
          <w:noProof/>
          <w:color w:val="auto"/>
          <w:kern w:val="2"/>
          <w:sz w:val="24"/>
          <w:szCs w:val="24"/>
          <w:lang w:eastAsia="en-AU"/>
          <w14:ligatures w14:val="standardContextual"/>
        </w:rPr>
      </w:pPr>
      <w:hyperlink w:anchor="_Toc215483374" w:history="1">
        <w:r w:rsidRPr="00BB6A7C">
          <w:rPr>
            <w:rStyle w:val="Hyperlink"/>
            <w:noProof/>
          </w:rPr>
          <w:t>5.4</w:t>
        </w:r>
        <w:r>
          <w:rPr>
            <w:rFonts w:eastAsiaTheme="minorEastAsia"/>
            <w:noProof/>
            <w:color w:val="auto"/>
            <w:kern w:val="2"/>
            <w:sz w:val="24"/>
            <w:szCs w:val="24"/>
            <w:lang w:eastAsia="en-AU"/>
            <w14:ligatures w14:val="standardContextual"/>
          </w:rPr>
          <w:tab/>
        </w:r>
        <w:r w:rsidRPr="00BB6A7C">
          <w:rPr>
            <w:rStyle w:val="Hyperlink"/>
            <w:noProof/>
          </w:rPr>
          <w:t>EDM calibration and verification of GNSS or emerging technologies</w:t>
        </w:r>
        <w:r>
          <w:rPr>
            <w:noProof/>
            <w:webHidden/>
          </w:rPr>
          <w:tab/>
        </w:r>
        <w:r>
          <w:rPr>
            <w:noProof/>
            <w:webHidden/>
          </w:rPr>
          <w:fldChar w:fldCharType="begin"/>
        </w:r>
        <w:r>
          <w:rPr>
            <w:noProof/>
            <w:webHidden/>
          </w:rPr>
          <w:instrText xml:space="preserve"> PAGEREF _Toc215483374 \h </w:instrText>
        </w:r>
        <w:r>
          <w:rPr>
            <w:noProof/>
            <w:webHidden/>
          </w:rPr>
        </w:r>
        <w:r>
          <w:rPr>
            <w:noProof/>
            <w:webHidden/>
          </w:rPr>
          <w:fldChar w:fldCharType="separate"/>
        </w:r>
        <w:r>
          <w:rPr>
            <w:noProof/>
            <w:webHidden/>
          </w:rPr>
          <w:t>20</w:t>
        </w:r>
        <w:r>
          <w:rPr>
            <w:noProof/>
            <w:webHidden/>
          </w:rPr>
          <w:fldChar w:fldCharType="end"/>
        </w:r>
      </w:hyperlink>
    </w:p>
    <w:p w14:paraId="72168A53" w14:textId="4F539A78"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75" w:history="1">
        <w:r w:rsidRPr="00BB6A7C">
          <w:rPr>
            <w:rStyle w:val="Hyperlink"/>
            <w:noProof/>
          </w:rPr>
          <w:t>5.4.1</w:t>
        </w:r>
        <w:r>
          <w:rPr>
            <w:rFonts w:eastAsiaTheme="minorEastAsia"/>
            <w:noProof/>
            <w:color w:val="auto"/>
            <w:kern w:val="2"/>
            <w:sz w:val="24"/>
            <w:szCs w:val="24"/>
            <w:lang w:eastAsia="en-AU"/>
            <w14:ligatures w14:val="standardContextual"/>
          </w:rPr>
          <w:tab/>
        </w:r>
        <w:r w:rsidRPr="00BB6A7C">
          <w:rPr>
            <w:rStyle w:val="Hyperlink"/>
            <w:noProof/>
          </w:rPr>
          <w:t>Calibration of EDM equipment</w:t>
        </w:r>
        <w:r>
          <w:rPr>
            <w:noProof/>
            <w:webHidden/>
          </w:rPr>
          <w:tab/>
        </w:r>
        <w:r>
          <w:rPr>
            <w:noProof/>
            <w:webHidden/>
          </w:rPr>
          <w:fldChar w:fldCharType="begin"/>
        </w:r>
        <w:r>
          <w:rPr>
            <w:noProof/>
            <w:webHidden/>
          </w:rPr>
          <w:instrText xml:space="preserve"> PAGEREF _Toc215483375 \h </w:instrText>
        </w:r>
        <w:r>
          <w:rPr>
            <w:noProof/>
            <w:webHidden/>
          </w:rPr>
        </w:r>
        <w:r>
          <w:rPr>
            <w:noProof/>
            <w:webHidden/>
          </w:rPr>
          <w:fldChar w:fldCharType="separate"/>
        </w:r>
        <w:r>
          <w:rPr>
            <w:noProof/>
            <w:webHidden/>
          </w:rPr>
          <w:t>20</w:t>
        </w:r>
        <w:r>
          <w:rPr>
            <w:noProof/>
            <w:webHidden/>
          </w:rPr>
          <w:fldChar w:fldCharType="end"/>
        </w:r>
      </w:hyperlink>
    </w:p>
    <w:p w14:paraId="65C5858A" w14:textId="71AEEEB3"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76" w:history="1">
        <w:r w:rsidRPr="00BB6A7C">
          <w:rPr>
            <w:rStyle w:val="Hyperlink"/>
            <w:noProof/>
          </w:rPr>
          <w:t>5.4.2</w:t>
        </w:r>
        <w:r>
          <w:rPr>
            <w:rFonts w:eastAsiaTheme="minorEastAsia"/>
            <w:noProof/>
            <w:color w:val="auto"/>
            <w:kern w:val="2"/>
            <w:sz w:val="24"/>
            <w:szCs w:val="24"/>
            <w:lang w:eastAsia="en-AU"/>
            <w14:ligatures w14:val="standardContextual"/>
          </w:rPr>
          <w:tab/>
        </w:r>
        <w:r w:rsidRPr="00BB6A7C">
          <w:rPr>
            <w:rStyle w:val="Hyperlink"/>
            <w:noProof/>
          </w:rPr>
          <w:t>Verification of GNSS equipment</w:t>
        </w:r>
        <w:r>
          <w:rPr>
            <w:noProof/>
            <w:webHidden/>
          </w:rPr>
          <w:tab/>
        </w:r>
        <w:r>
          <w:rPr>
            <w:noProof/>
            <w:webHidden/>
          </w:rPr>
          <w:fldChar w:fldCharType="begin"/>
        </w:r>
        <w:r>
          <w:rPr>
            <w:noProof/>
            <w:webHidden/>
          </w:rPr>
          <w:instrText xml:space="preserve"> PAGEREF _Toc215483376 \h </w:instrText>
        </w:r>
        <w:r>
          <w:rPr>
            <w:noProof/>
            <w:webHidden/>
          </w:rPr>
        </w:r>
        <w:r>
          <w:rPr>
            <w:noProof/>
            <w:webHidden/>
          </w:rPr>
          <w:fldChar w:fldCharType="separate"/>
        </w:r>
        <w:r>
          <w:rPr>
            <w:noProof/>
            <w:webHidden/>
          </w:rPr>
          <w:t>20</w:t>
        </w:r>
        <w:r>
          <w:rPr>
            <w:noProof/>
            <w:webHidden/>
          </w:rPr>
          <w:fldChar w:fldCharType="end"/>
        </w:r>
      </w:hyperlink>
    </w:p>
    <w:p w14:paraId="65A0F4D8" w14:textId="58C95264"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77" w:history="1">
        <w:r w:rsidRPr="00BB6A7C">
          <w:rPr>
            <w:rStyle w:val="Hyperlink"/>
            <w:noProof/>
          </w:rPr>
          <w:t>5.4.3</w:t>
        </w:r>
        <w:r>
          <w:rPr>
            <w:rFonts w:eastAsiaTheme="minorEastAsia"/>
            <w:noProof/>
            <w:color w:val="auto"/>
            <w:kern w:val="2"/>
            <w:sz w:val="24"/>
            <w:szCs w:val="24"/>
            <w:lang w:eastAsia="en-AU"/>
            <w14:ligatures w14:val="standardContextual"/>
          </w:rPr>
          <w:tab/>
        </w:r>
        <w:r w:rsidRPr="00BB6A7C">
          <w:rPr>
            <w:rStyle w:val="Hyperlink"/>
            <w:noProof/>
          </w:rPr>
          <w:t>Verification of emerging technologies</w:t>
        </w:r>
        <w:r>
          <w:rPr>
            <w:noProof/>
            <w:webHidden/>
          </w:rPr>
          <w:tab/>
        </w:r>
        <w:r>
          <w:rPr>
            <w:noProof/>
            <w:webHidden/>
          </w:rPr>
          <w:fldChar w:fldCharType="begin"/>
        </w:r>
        <w:r>
          <w:rPr>
            <w:noProof/>
            <w:webHidden/>
          </w:rPr>
          <w:instrText xml:space="preserve"> PAGEREF _Toc215483377 \h </w:instrText>
        </w:r>
        <w:r>
          <w:rPr>
            <w:noProof/>
            <w:webHidden/>
          </w:rPr>
        </w:r>
        <w:r>
          <w:rPr>
            <w:noProof/>
            <w:webHidden/>
          </w:rPr>
          <w:fldChar w:fldCharType="separate"/>
        </w:r>
        <w:r>
          <w:rPr>
            <w:noProof/>
            <w:webHidden/>
          </w:rPr>
          <w:t>21</w:t>
        </w:r>
        <w:r>
          <w:rPr>
            <w:noProof/>
            <w:webHidden/>
          </w:rPr>
          <w:fldChar w:fldCharType="end"/>
        </w:r>
      </w:hyperlink>
    </w:p>
    <w:p w14:paraId="6ADDEA04" w14:textId="1CFC72DF" w:rsidR="000C4B00" w:rsidRDefault="000C4B00">
      <w:pPr>
        <w:pStyle w:val="TOC5"/>
        <w:rPr>
          <w:rFonts w:eastAsiaTheme="minorEastAsia"/>
          <w:noProof/>
          <w:color w:val="auto"/>
          <w:kern w:val="2"/>
          <w:sz w:val="24"/>
          <w:szCs w:val="24"/>
          <w:lang w:eastAsia="en-AU"/>
          <w14:ligatures w14:val="standardContextual"/>
        </w:rPr>
      </w:pPr>
      <w:hyperlink w:anchor="_Toc215483378" w:history="1">
        <w:r w:rsidRPr="00BB6A7C">
          <w:rPr>
            <w:rStyle w:val="Hyperlink"/>
            <w:noProof/>
          </w:rPr>
          <w:t>5.5</w:t>
        </w:r>
        <w:r>
          <w:rPr>
            <w:rFonts w:eastAsiaTheme="minorEastAsia"/>
            <w:noProof/>
            <w:color w:val="auto"/>
            <w:kern w:val="2"/>
            <w:sz w:val="24"/>
            <w:szCs w:val="24"/>
            <w:lang w:eastAsia="en-AU"/>
            <w14:ligatures w14:val="standardContextual"/>
          </w:rPr>
          <w:tab/>
        </w:r>
        <w:r w:rsidRPr="00BB6A7C">
          <w:rPr>
            <w:rStyle w:val="Hyperlink"/>
            <w:noProof/>
          </w:rPr>
          <w:t>Crown descriptions</w:t>
        </w:r>
        <w:r>
          <w:rPr>
            <w:noProof/>
            <w:webHidden/>
          </w:rPr>
          <w:tab/>
        </w:r>
        <w:r>
          <w:rPr>
            <w:noProof/>
            <w:webHidden/>
          </w:rPr>
          <w:fldChar w:fldCharType="begin"/>
        </w:r>
        <w:r>
          <w:rPr>
            <w:noProof/>
            <w:webHidden/>
          </w:rPr>
          <w:instrText xml:space="preserve"> PAGEREF _Toc215483378 \h </w:instrText>
        </w:r>
        <w:r>
          <w:rPr>
            <w:noProof/>
            <w:webHidden/>
          </w:rPr>
        </w:r>
        <w:r>
          <w:rPr>
            <w:noProof/>
            <w:webHidden/>
          </w:rPr>
          <w:fldChar w:fldCharType="separate"/>
        </w:r>
        <w:r>
          <w:rPr>
            <w:noProof/>
            <w:webHidden/>
          </w:rPr>
          <w:t>21</w:t>
        </w:r>
        <w:r>
          <w:rPr>
            <w:noProof/>
            <w:webHidden/>
          </w:rPr>
          <w:fldChar w:fldCharType="end"/>
        </w:r>
      </w:hyperlink>
    </w:p>
    <w:p w14:paraId="5E679CB4" w14:textId="05B0BE32" w:rsidR="000C4B00" w:rsidRDefault="000C4B00">
      <w:pPr>
        <w:pStyle w:val="TOC5"/>
        <w:rPr>
          <w:rFonts w:eastAsiaTheme="minorEastAsia"/>
          <w:noProof/>
          <w:color w:val="auto"/>
          <w:kern w:val="2"/>
          <w:sz w:val="24"/>
          <w:szCs w:val="24"/>
          <w:lang w:eastAsia="en-AU"/>
          <w14:ligatures w14:val="standardContextual"/>
        </w:rPr>
      </w:pPr>
      <w:hyperlink w:anchor="_Toc215483379" w:history="1">
        <w:r w:rsidRPr="00BB6A7C">
          <w:rPr>
            <w:rStyle w:val="Hyperlink"/>
            <w:noProof/>
          </w:rPr>
          <w:t>5.6</w:t>
        </w:r>
        <w:r>
          <w:rPr>
            <w:rFonts w:eastAsiaTheme="minorEastAsia"/>
            <w:noProof/>
            <w:color w:val="auto"/>
            <w:kern w:val="2"/>
            <w:sz w:val="24"/>
            <w:szCs w:val="24"/>
            <w:lang w:eastAsia="en-AU"/>
            <w14:ligatures w14:val="standardContextual"/>
          </w:rPr>
          <w:tab/>
        </w:r>
        <w:r w:rsidRPr="00BB6A7C">
          <w:rPr>
            <w:rStyle w:val="Hyperlink"/>
            <w:noProof/>
          </w:rPr>
          <w:t>Other inclusions (Appendices)</w:t>
        </w:r>
        <w:r>
          <w:rPr>
            <w:noProof/>
            <w:webHidden/>
          </w:rPr>
          <w:tab/>
        </w:r>
        <w:r>
          <w:rPr>
            <w:noProof/>
            <w:webHidden/>
          </w:rPr>
          <w:fldChar w:fldCharType="begin"/>
        </w:r>
        <w:r>
          <w:rPr>
            <w:noProof/>
            <w:webHidden/>
          </w:rPr>
          <w:instrText xml:space="preserve"> PAGEREF _Toc215483379 \h </w:instrText>
        </w:r>
        <w:r>
          <w:rPr>
            <w:noProof/>
            <w:webHidden/>
          </w:rPr>
        </w:r>
        <w:r>
          <w:rPr>
            <w:noProof/>
            <w:webHidden/>
          </w:rPr>
          <w:fldChar w:fldCharType="separate"/>
        </w:r>
        <w:r>
          <w:rPr>
            <w:noProof/>
            <w:webHidden/>
          </w:rPr>
          <w:t>21</w:t>
        </w:r>
        <w:r>
          <w:rPr>
            <w:noProof/>
            <w:webHidden/>
          </w:rPr>
          <w:fldChar w:fldCharType="end"/>
        </w:r>
      </w:hyperlink>
    </w:p>
    <w:p w14:paraId="47F38BF8" w14:textId="26A701EF" w:rsidR="000C4B00" w:rsidRDefault="000C4B00">
      <w:pPr>
        <w:pStyle w:val="TOC4"/>
        <w:rPr>
          <w:rFonts w:eastAsiaTheme="minorEastAsia"/>
          <w:b w:val="0"/>
          <w:noProof/>
          <w:color w:val="auto"/>
          <w:kern w:val="2"/>
          <w:sz w:val="24"/>
          <w:szCs w:val="24"/>
          <w:lang w:eastAsia="en-AU"/>
          <w14:ligatures w14:val="standardContextual"/>
        </w:rPr>
      </w:pPr>
      <w:hyperlink w:anchor="_Toc215483380" w:history="1">
        <w:r w:rsidRPr="00BB6A7C">
          <w:rPr>
            <w:rStyle w:val="Hyperlink"/>
            <w:noProof/>
          </w:rPr>
          <w:t>6</w:t>
        </w:r>
        <w:r>
          <w:rPr>
            <w:rFonts w:eastAsiaTheme="minorEastAsia"/>
            <w:b w:val="0"/>
            <w:noProof/>
            <w:color w:val="auto"/>
            <w:kern w:val="2"/>
            <w:sz w:val="24"/>
            <w:szCs w:val="24"/>
            <w:lang w:eastAsia="en-AU"/>
            <w14:ligatures w14:val="standardContextual"/>
          </w:rPr>
          <w:tab/>
        </w:r>
        <w:r w:rsidRPr="00BB6A7C">
          <w:rPr>
            <w:rStyle w:val="Hyperlink"/>
            <w:noProof/>
          </w:rPr>
          <w:t>Abstracts of field records</w:t>
        </w:r>
        <w:r>
          <w:rPr>
            <w:noProof/>
            <w:webHidden/>
          </w:rPr>
          <w:tab/>
        </w:r>
        <w:r>
          <w:rPr>
            <w:noProof/>
            <w:webHidden/>
          </w:rPr>
          <w:fldChar w:fldCharType="begin"/>
        </w:r>
        <w:r>
          <w:rPr>
            <w:noProof/>
            <w:webHidden/>
          </w:rPr>
          <w:instrText xml:space="preserve"> PAGEREF _Toc215483380 \h </w:instrText>
        </w:r>
        <w:r>
          <w:rPr>
            <w:noProof/>
            <w:webHidden/>
          </w:rPr>
        </w:r>
        <w:r>
          <w:rPr>
            <w:noProof/>
            <w:webHidden/>
          </w:rPr>
          <w:fldChar w:fldCharType="separate"/>
        </w:r>
        <w:r>
          <w:rPr>
            <w:noProof/>
            <w:webHidden/>
          </w:rPr>
          <w:t>22</w:t>
        </w:r>
        <w:r>
          <w:rPr>
            <w:noProof/>
            <w:webHidden/>
          </w:rPr>
          <w:fldChar w:fldCharType="end"/>
        </w:r>
      </w:hyperlink>
    </w:p>
    <w:p w14:paraId="654D761E" w14:textId="15635F2C" w:rsidR="000C4B00" w:rsidRDefault="000C4B00">
      <w:pPr>
        <w:pStyle w:val="TOC5"/>
        <w:rPr>
          <w:rFonts w:eastAsiaTheme="minorEastAsia"/>
          <w:noProof/>
          <w:color w:val="auto"/>
          <w:kern w:val="2"/>
          <w:sz w:val="24"/>
          <w:szCs w:val="24"/>
          <w:lang w:eastAsia="en-AU"/>
          <w14:ligatures w14:val="standardContextual"/>
        </w:rPr>
      </w:pPr>
      <w:hyperlink w:anchor="_Toc215483381" w:history="1">
        <w:r w:rsidRPr="00BB6A7C">
          <w:rPr>
            <w:rStyle w:val="Hyperlink"/>
            <w:noProof/>
          </w:rPr>
          <w:t>6.1</w:t>
        </w:r>
        <w:r>
          <w:rPr>
            <w:rFonts w:eastAsiaTheme="minorEastAsia"/>
            <w:noProof/>
            <w:color w:val="auto"/>
            <w:kern w:val="2"/>
            <w:sz w:val="24"/>
            <w:szCs w:val="24"/>
            <w:lang w:eastAsia="en-AU"/>
            <w14:ligatures w14:val="standardContextual"/>
          </w:rPr>
          <w:tab/>
        </w:r>
        <w:r w:rsidRPr="00BB6A7C">
          <w:rPr>
            <w:rStyle w:val="Hyperlink"/>
            <w:noProof/>
          </w:rPr>
          <w:t>General advice</w:t>
        </w:r>
        <w:r>
          <w:rPr>
            <w:noProof/>
            <w:webHidden/>
          </w:rPr>
          <w:tab/>
        </w:r>
        <w:r>
          <w:rPr>
            <w:noProof/>
            <w:webHidden/>
          </w:rPr>
          <w:fldChar w:fldCharType="begin"/>
        </w:r>
        <w:r>
          <w:rPr>
            <w:noProof/>
            <w:webHidden/>
          </w:rPr>
          <w:instrText xml:space="preserve"> PAGEREF _Toc215483381 \h </w:instrText>
        </w:r>
        <w:r>
          <w:rPr>
            <w:noProof/>
            <w:webHidden/>
          </w:rPr>
        </w:r>
        <w:r>
          <w:rPr>
            <w:noProof/>
            <w:webHidden/>
          </w:rPr>
          <w:fldChar w:fldCharType="separate"/>
        </w:r>
        <w:r>
          <w:rPr>
            <w:noProof/>
            <w:webHidden/>
          </w:rPr>
          <w:t>22</w:t>
        </w:r>
        <w:r>
          <w:rPr>
            <w:noProof/>
            <w:webHidden/>
          </w:rPr>
          <w:fldChar w:fldCharType="end"/>
        </w:r>
      </w:hyperlink>
    </w:p>
    <w:p w14:paraId="67B9529C" w14:textId="566E61EB"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82" w:history="1">
        <w:r w:rsidRPr="00BB6A7C">
          <w:rPr>
            <w:rStyle w:val="Hyperlink"/>
            <w:noProof/>
          </w:rPr>
          <w:t>6.1.1</w:t>
        </w:r>
        <w:r>
          <w:rPr>
            <w:rFonts w:eastAsiaTheme="minorEastAsia"/>
            <w:noProof/>
            <w:color w:val="auto"/>
            <w:kern w:val="2"/>
            <w:sz w:val="24"/>
            <w:szCs w:val="24"/>
            <w:lang w:eastAsia="en-AU"/>
            <w14:ligatures w14:val="standardContextual"/>
          </w:rPr>
          <w:tab/>
        </w:r>
        <w:r w:rsidRPr="00BB6A7C">
          <w:rPr>
            <w:rStyle w:val="Hyperlink"/>
            <w:noProof/>
          </w:rPr>
          <w:t>The purpose for preparing an abstract of field records</w:t>
        </w:r>
        <w:r>
          <w:rPr>
            <w:noProof/>
            <w:webHidden/>
          </w:rPr>
          <w:tab/>
        </w:r>
        <w:r>
          <w:rPr>
            <w:noProof/>
            <w:webHidden/>
          </w:rPr>
          <w:fldChar w:fldCharType="begin"/>
        </w:r>
        <w:r>
          <w:rPr>
            <w:noProof/>
            <w:webHidden/>
          </w:rPr>
          <w:instrText xml:space="preserve"> PAGEREF _Toc215483382 \h </w:instrText>
        </w:r>
        <w:r>
          <w:rPr>
            <w:noProof/>
            <w:webHidden/>
          </w:rPr>
        </w:r>
        <w:r>
          <w:rPr>
            <w:noProof/>
            <w:webHidden/>
          </w:rPr>
          <w:fldChar w:fldCharType="separate"/>
        </w:r>
        <w:r>
          <w:rPr>
            <w:noProof/>
            <w:webHidden/>
          </w:rPr>
          <w:t>22</w:t>
        </w:r>
        <w:r>
          <w:rPr>
            <w:noProof/>
            <w:webHidden/>
          </w:rPr>
          <w:fldChar w:fldCharType="end"/>
        </w:r>
      </w:hyperlink>
    </w:p>
    <w:p w14:paraId="4BA31239" w14:textId="59E1E20F"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83" w:history="1">
        <w:r w:rsidRPr="00BB6A7C">
          <w:rPr>
            <w:rStyle w:val="Hyperlink"/>
            <w:noProof/>
          </w:rPr>
          <w:t>6.1.2</w:t>
        </w:r>
        <w:r>
          <w:rPr>
            <w:rFonts w:eastAsiaTheme="minorEastAsia"/>
            <w:noProof/>
            <w:color w:val="auto"/>
            <w:kern w:val="2"/>
            <w:sz w:val="24"/>
            <w:szCs w:val="24"/>
            <w:lang w:eastAsia="en-AU"/>
            <w14:ligatures w14:val="standardContextual"/>
          </w:rPr>
          <w:tab/>
        </w:r>
        <w:r w:rsidRPr="00BB6A7C">
          <w:rPr>
            <w:rStyle w:val="Hyperlink"/>
            <w:noProof/>
          </w:rPr>
          <w:t>Life of a survey and abstract of field records</w:t>
        </w:r>
        <w:r>
          <w:rPr>
            <w:noProof/>
            <w:webHidden/>
          </w:rPr>
          <w:tab/>
        </w:r>
        <w:r>
          <w:rPr>
            <w:noProof/>
            <w:webHidden/>
          </w:rPr>
          <w:fldChar w:fldCharType="begin"/>
        </w:r>
        <w:r>
          <w:rPr>
            <w:noProof/>
            <w:webHidden/>
          </w:rPr>
          <w:instrText xml:space="preserve"> PAGEREF _Toc215483383 \h </w:instrText>
        </w:r>
        <w:r>
          <w:rPr>
            <w:noProof/>
            <w:webHidden/>
          </w:rPr>
        </w:r>
        <w:r>
          <w:rPr>
            <w:noProof/>
            <w:webHidden/>
          </w:rPr>
          <w:fldChar w:fldCharType="separate"/>
        </w:r>
        <w:r>
          <w:rPr>
            <w:noProof/>
            <w:webHidden/>
          </w:rPr>
          <w:t>22</w:t>
        </w:r>
        <w:r>
          <w:rPr>
            <w:noProof/>
            <w:webHidden/>
          </w:rPr>
          <w:fldChar w:fldCharType="end"/>
        </w:r>
      </w:hyperlink>
    </w:p>
    <w:p w14:paraId="49FEEF98" w14:textId="2594C07B" w:rsidR="000C4B00" w:rsidRDefault="000C4B00">
      <w:pPr>
        <w:pStyle w:val="TOC5"/>
        <w:rPr>
          <w:rFonts w:eastAsiaTheme="minorEastAsia"/>
          <w:noProof/>
          <w:color w:val="auto"/>
          <w:kern w:val="2"/>
          <w:sz w:val="24"/>
          <w:szCs w:val="24"/>
          <w:lang w:eastAsia="en-AU"/>
          <w14:ligatures w14:val="standardContextual"/>
        </w:rPr>
      </w:pPr>
      <w:hyperlink w:anchor="_Toc215483384" w:history="1">
        <w:r w:rsidRPr="00BB6A7C">
          <w:rPr>
            <w:rStyle w:val="Hyperlink"/>
            <w:noProof/>
          </w:rPr>
          <w:t>6.2</w:t>
        </w:r>
        <w:r>
          <w:rPr>
            <w:rFonts w:eastAsiaTheme="minorEastAsia"/>
            <w:noProof/>
            <w:color w:val="auto"/>
            <w:kern w:val="2"/>
            <w:sz w:val="24"/>
            <w:szCs w:val="24"/>
            <w:lang w:eastAsia="en-AU"/>
            <w14:ligatures w14:val="standardContextual"/>
          </w:rPr>
          <w:tab/>
        </w:r>
        <w:r w:rsidRPr="00BB6A7C">
          <w:rPr>
            <w:rStyle w:val="Hyperlink"/>
            <w:noProof/>
          </w:rPr>
          <w:t>Land Registry Services requirements</w:t>
        </w:r>
        <w:r>
          <w:rPr>
            <w:noProof/>
            <w:webHidden/>
          </w:rPr>
          <w:tab/>
        </w:r>
        <w:r>
          <w:rPr>
            <w:noProof/>
            <w:webHidden/>
          </w:rPr>
          <w:fldChar w:fldCharType="begin"/>
        </w:r>
        <w:r>
          <w:rPr>
            <w:noProof/>
            <w:webHidden/>
          </w:rPr>
          <w:instrText xml:space="preserve"> PAGEREF _Toc215483384 \h </w:instrText>
        </w:r>
        <w:r>
          <w:rPr>
            <w:noProof/>
            <w:webHidden/>
          </w:rPr>
        </w:r>
        <w:r>
          <w:rPr>
            <w:noProof/>
            <w:webHidden/>
          </w:rPr>
          <w:fldChar w:fldCharType="separate"/>
        </w:r>
        <w:r>
          <w:rPr>
            <w:noProof/>
            <w:webHidden/>
          </w:rPr>
          <w:t>23</w:t>
        </w:r>
        <w:r>
          <w:rPr>
            <w:noProof/>
            <w:webHidden/>
          </w:rPr>
          <w:fldChar w:fldCharType="end"/>
        </w:r>
      </w:hyperlink>
    </w:p>
    <w:p w14:paraId="543A80B8" w14:textId="2D1215DB"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85" w:history="1">
        <w:r w:rsidRPr="00BB6A7C">
          <w:rPr>
            <w:rStyle w:val="Hyperlink"/>
            <w:noProof/>
          </w:rPr>
          <w:t>6.2.1</w:t>
        </w:r>
        <w:r>
          <w:rPr>
            <w:rFonts w:eastAsiaTheme="minorEastAsia"/>
            <w:noProof/>
            <w:color w:val="auto"/>
            <w:kern w:val="2"/>
            <w:sz w:val="24"/>
            <w:szCs w:val="24"/>
            <w:lang w:eastAsia="en-AU"/>
            <w14:ligatures w14:val="standardContextual"/>
          </w:rPr>
          <w:tab/>
        </w:r>
        <w:r w:rsidRPr="00BB6A7C">
          <w:rPr>
            <w:rStyle w:val="Hyperlink"/>
            <w:noProof/>
          </w:rPr>
          <w:t>Requirement for an abstract of field records</w:t>
        </w:r>
        <w:r>
          <w:rPr>
            <w:noProof/>
            <w:webHidden/>
          </w:rPr>
          <w:tab/>
        </w:r>
        <w:r>
          <w:rPr>
            <w:noProof/>
            <w:webHidden/>
          </w:rPr>
          <w:fldChar w:fldCharType="begin"/>
        </w:r>
        <w:r>
          <w:rPr>
            <w:noProof/>
            <w:webHidden/>
          </w:rPr>
          <w:instrText xml:space="preserve"> PAGEREF _Toc215483385 \h </w:instrText>
        </w:r>
        <w:r>
          <w:rPr>
            <w:noProof/>
            <w:webHidden/>
          </w:rPr>
        </w:r>
        <w:r>
          <w:rPr>
            <w:noProof/>
            <w:webHidden/>
          </w:rPr>
          <w:fldChar w:fldCharType="separate"/>
        </w:r>
        <w:r>
          <w:rPr>
            <w:noProof/>
            <w:webHidden/>
          </w:rPr>
          <w:t>23</w:t>
        </w:r>
        <w:r>
          <w:rPr>
            <w:noProof/>
            <w:webHidden/>
          </w:rPr>
          <w:fldChar w:fldCharType="end"/>
        </w:r>
      </w:hyperlink>
    </w:p>
    <w:p w14:paraId="6368FF43" w14:textId="254AEA75"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86" w:history="1">
        <w:r w:rsidRPr="00BB6A7C">
          <w:rPr>
            <w:rStyle w:val="Hyperlink"/>
            <w:noProof/>
          </w:rPr>
          <w:t>6.2.2</w:t>
        </w:r>
        <w:r>
          <w:rPr>
            <w:rFonts w:eastAsiaTheme="minorEastAsia"/>
            <w:noProof/>
            <w:color w:val="auto"/>
            <w:kern w:val="2"/>
            <w:sz w:val="24"/>
            <w:szCs w:val="24"/>
            <w:lang w:eastAsia="en-AU"/>
            <w14:ligatures w14:val="standardContextual"/>
          </w:rPr>
          <w:tab/>
        </w:r>
        <w:r w:rsidRPr="00BB6A7C">
          <w:rPr>
            <w:rStyle w:val="Hyperlink"/>
            <w:noProof/>
          </w:rPr>
          <w:t>Subdivision of ‘Super-Lots’ and subsequent stages of an ’estate’ type Master Plan</w:t>
        </w:r>
        <w:r>
          <w:rPr>
            <w:noProof/>
            <w:webHidden/>
          </w:rPr>
          <w:tab/>
        </w:r>
        <w:r>
          <w:rPr>
            <w:noProof/>
            <w:webHidden/>
          </w:rPr>
          <w:fldChar w:fldCharType="begin"/>
        </w:r>
        <w:r>
          <w:rPr>
            <w:noProof/>
            <w:webHidden/>
          </w:rPr>
          <w:instrText xml:space="preserve"> PAGEREF _Toc215483386 \h </w:instrText>
        </w:r>
        <w:r>
          <w:rPr>
            <w:noProof/>
            <w:webHidden/>
          </w:rPr>
        </w:r>
        <w:r>
          <w:rPr>
            <w:noProof/>
            <w:webHidden/>
          </w:rPr>
          <w:fldChar w:fldCharType="separate"/>
        </w:r>
        <w:r>
          <w:rPr>
            <w:noProof/>
            <w:webHidden/>
          </w:rPr>
          <w:t>23</w:t>
        </w:r>
        <w:r>
          <w:rPr>
            <w:noProof/>
            <w:webHidden/>
          </w:rPr>
          <w:fldChar w:fldCharType="end"/>
        </w:r>
      </w:hyperlink>
    </w:p>
    <w:p w14:paraId="4E15A72C" w14:textId="2404187D" w:rsidR="000C4B00" w:rsidRDefault="000C4B00">
      <w:pPr>
        <w:pStyle w:val="TOC5"/>
        <w:rPr>
          <w:rFonts w:eastAsiaTheme="minorEastAsia"/>
          <w:noProof/>
          <w:color w:val="auto"/>
          <w:kern w:val="2"/>
          <w:sz w:val="24"/>
          <w:szCs w:val="24"/>
          <w:lang w:eastAsia="en-AU"/>
          <w14:ligatures w14:val="standardContextual"/>
        </w:rPr>
      </w:pPr>
      <w:hyperlink w:anchor="_Toc215483387" w:history="1">
        <w:r w:rsidRPr="00BB6A7C">
          <w:rPr>
            <w:rStyle w:val="Hyperlink"/>
            <w:noProof/>
          </w:rPr>
          <w:t>6.3</w:t>
        </w:r>
        <w:r>
          <w:rPr>
            <w:rFonts w:eastAsiaTheme="minorEastAsia"/>
            <w:noProof/>
            <w:color w:val="auto"/>
            <w:kern w:val="2"/>
            <w:sz w:val="24"/>
            <w:szCs w:val="24"/>
            <w:lang w:eastAsia="en-AU"/>
            <w14:ligatures w14:val="standardContextual"/>
          </w:rPr>
          <w:tab/>
        </w:r>
        <w:r w:rsidRPr="00BB6A7C">
          <w:rPr>
            <w:rStyle w:val="Hyperlink"/>
            <w:noProof/>
          </w:rPr>
          <w:t>Format of the abstract of field records</w:t>
        </w:r>
        <w:r>
          <w:rPr>
            <w:noProof/>
            <w:webHidden/>
          </w:rPr>
          <w:tab/>
        </w:r>
        <w:r>
          <w:rPr>
            <w:noProof/>
            <w:webHidden/>
          </w:rPr>
          <w:fldChar w:fldCharType="begin"/>
        </w:r>
        <w:r>
          <w:rPr>
            <w:noProof/>
            <w:webHidden/>
          </w:rPr>
          <w:instrText xml:space="preserve"> PAGEREF _Toc215483387 \h </w:instrText>
        </w:r>
        <w:r>
          <w:rPr>
            <w:noProof/>
            <w:webHidden/>
          </w:rPr>
        </w:r>
        <w:r>
          <w:rPr>
            <w:noProof/>
            <w:webHidden/>
          </w:rPr>
          <w:fldChar w:fldCharType="separate"/>
        </w:r>
        <w:r>
          <w:rPr>
            <w:noProof/>
            <w:webHidden/>
          </w:rPr>
          <w:t>24</w:t>
        </w:r>
        <w:r>
          <w:rPr>
            <w:noProof/>
            <w:webHidden/>
          </w:rPr>
          <w:fldChar w:fldCharType="end"/>
        </w:r>
      </w:hyperlink>
    </w:p>
    <w:p w14:paraId="2FBB2A29" w14:textId="56E20CDB"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88" w:history="1">
        <w:r w:rsidRPr="00BB6A7C">
          <w:rPr>
            <w:rStyle w:val="Hyperlink"/>
            <w:noProof/>
          </w:rPr>
          <w:t>6.3.1</w:t>
        </w:r>
        <w:r>
          <w:rPr>
            <w:rFonts w:eastAsiaTheme="minorEastAsia"/>
            <w:noProof/>
            <w:color w:val="auto"/>
            <w:kern w:val="2"/>
            <w:sz w:val="24"/>
            <w:szCs w:val="24"/>
            <w:lang w:eastAsia="en-AU"/>
            <w14:ligatures w14:val="standardContextual"/>
          </w:rPr>
          <w:tab/>
        </w:r>
        <w:r w:rsidRPr="00BB6A7C">
          <w:rPr>
            <w:rStyle w:val="Hyperlink"/>
            <w:noProof/>
          </w:rPr>
          <w:t>If traversing techniques have been employed</w:t>
        </w:r>
        <w:r>
          <w:rPr>
            <w:noProof/>
            <w:webHidden/>
          </w:rPr>
          <w:tab/>
        </w:r>
        <w:r>
          <w:rPr>
            <w:noProof/>
            <w:webHidden/>
          </w:rPr>
          <w:fldChar w:fldCharType="begin"/>
        </w:r>
        <w:r>
          <w:rPr>
            <w:noProof/>
            <w:webHidden/>
          </w:rPr>
          <w:instrText xml:space="preserve"> PAGEREF _Toc215483388 \h </w:instrText>
        </w:r>
        <w:r>
          <w:rPr>
            <w:noProof/>
            <w:webHidden/>
          </w:rPr>
        </w:r>
        <w:r>
          <w:rPr>
            <w:noProof/>
            <w:webHidden/>
          </w:rPr>
          <w:fldChar w:fldCharType="separate"/>
        </w:r>
        <w:r>
          <w:rPr>
            <w:noProof/>
            <w:webHidden/>
          </w:rPr>
          <w:t>24</w:t>
        </w:r>
        <w:r>
          <w:rPr>
            <w:noProof/>
            <w:webHidden/>
          </w:rPr>
          <w:fldChar w:fldCharType="end"/>
        </w:r>
      </w:hyperlink>
    </w:p>
    <w:p w14:paraId="3A4D454E" w14:textId="542CBA88"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89" w:history="1">
        <w:r w:rsidRPr="00BB6A7C">
          <w:rPr>
            <w:rStyle w:val="Hyperlink"/>
            <w:noProof/>
          </w:rPr>
          <w:t>6.3.2</w:t>
        </w:r>
        <w:r>
          <w:rPr>
            <w:rFonts w:eastAsiaTheme="minorEastAsia"/>
            <w:noProof/>
            <w:color w:val="auto"/>
            <w:kern w:val="2"/>
            <w:sz w:val="24"/>
            <w:szCs w:val="24"/>
            <w:lang w:eastAsia="en-AU"/>
            <w14:ligatures w14:val="standardContextual"/>
          </w:rPr>
          <w:tab/>
        </w:r>
        <w:r w:rsidRPr="00BB6A7C">
          <w:rPr>
            <w:rStyle w:val="Hyperlink"/>
            <w:noProof/>
          </w:rPr>
          <w:t>If alternative measurement techniques have been employed</w:t>
        </w:r>
        <w:r>
          <w:rPr>
            <w:noProof/>
            <w:webHidden/>
          </w:rPr>
          <w:tab/>
        </w:r>
        <w:r>
          <w:rPr>
            <w:noProof/>
            <w:webHidden/>
          </w:rPr>
          <w:fldChar w:fldCharType="begin"/>
        </w:r>
        <w:r>
          <w:rPr>
            <w:noProof/>
            <w:webHidden/>
          </w:rPr>
          <w:instrText xml:space="preserve"> PAGEREF _Toc215483389 \h </w:instrText>
        </w:r>
        <w:r>
          <w:rPr>
            <w:noProof/>
            <w:webHidden/>
          </w:rPr>
        </w:r>
        <w:r>
          <w:rPr>
            <w:noProof/>
            <w:webHidden/>
          </w:rPr>
          <w:fldChar w:fldCharType="separate"/>
        </w:r>
        <w:r>
          <w:rPr>
            <w:noProof/>
            <w:webHidden/>
          </w:rPr>
          <w:t>24</w:t>
        </w:r>
        <w:r>
          <w:rPr>
            <w:noProof/>
            <w:webHidden/>
          </w:rPr>
          <w:fldChar w:fldCharType="end"/>
        </w:r>
      </w:hyperlink>
    </w:p>
    <w:p w14:paraId="41689614" w14:textId="47FBB451" w:rsidR="000C4B00" w:rsidRDefault="000C4B00">
      <w:pPr>
        <w:pStyle w:val="TOC6"/>
        <w:tabs>
          <w:tab w:val="left" w:pos="992"/>
        </w:tabs>
        <w:rPr>
          <w:rFonts w:eastAsiaTheme="minorEastAsia"/>
          <w:noProof/>
          <w:color w:val="auto"/>
          <w:kern w:val="2"/>
          <w:sz w:val="24"/>
          <w:szCs w:val="24"/>
          <w:lang w:eastAsia="en-AU"/>
          <w14:ligatures w14:val="standardContextual"/>
        </w:rPr>
      </w:pPr>
      <w:hyperlink w:anchor="_Toc215483390" w:history="1">
        <w:r w:rsidRPr="00BB6A7C">
          <w:rPr>
            <w:rStyle w:val="Hyperlink"/>
            <w:noProof/>
          </w:rPr>
          <w:t>6.3.3</w:t>
        </w:r>
        <w:r>
          <w:rPr>
            <w:rFonts w:eastAsiaTheme="minorEastAsia"/>
            <w:noProof/>
            <w:color w:val="auto"/>
            <w:kern w:val="2"/>
            <w:sz w:val="24"/>
            <w:szCs w:val="24"/>
            <w:lang w:eastAsia="en-AU"/>
            <w14:ligatures w14:val="standardContextual"/>
          </w:rPr>
          <w:tab/>
        </w:r>
        <w:r w:rsidRPr="00BB6A7C">
          <w:rPr>
            <w:rStyle w:val="Hyperlink"/>
            <w:noProof/>
          </w:rPr>
          <w:t>Postponement of placement of marks and/or lodgement of supplementary abstract of field records</w:t>
        </w:r>
        <w:r>
          <w:rPr>
            <w:noProof/>
            <w:webHidden/>
          </w:rPr>
          <w:tab/>
        </w:r>
        <w:r>
          <w:rPr>
            <w:noProof/>
            <w:webHidden/>
          </w:rPr>
          <w:fldChar w:fldCharType="begin"/>
        </w:r>
        <w:r>
          <w:rPr>
            <w:noProof/>
            <w:webHidden/>
          </w:rPr>
          <w:instrText xml:space="preserve"> PAGEREF _Toc215483390 \h </w:instrText>
        </w:r>
        <w:r>
          <w:rPr>
            <w:noProof/>
            <w:webHidden/>
          </w:rPr>
        </w:r>
        <w:r>
          <w:rPr>
            <w:noProof/>
            <w:webHidden/>
          </w:rPr>
          <w:fldChar w:fldCharType="separate"/>
        </w:r>
        <w:r>
          <w:rPr>
            <w:noProof/>
            <w:webHidden/>
          </w:rPr>
          <w:t>25</w:t>
        </w:r>
        <w:r>
          <w:rPr>
            <w:noProof/>
            <w:webHidden/>
          </w:rPr>
          <w:fldChar w:fldCharType="end"/>
        </w:r>
      </w:hyperlink>
    </w:p>
    <w:p w14:paraId="645267D0" w14:textId="4D15012F" w:rsidR="000C4B00" w:rsidRDefault="000C4B00">
      <w:pPr>
        <w:pStyle w:val="TOC4"/>
        <w:rPr>
          <w:rFonts w:eastAsiaTheme="minorEastAsia"/>
          <w:b w:val="0"/>
          <w:noProof/>
          <w:color w:val="auto"/>
          <w:kern w:val="2"/>
          <w:sz w:val="24"/>
          <w:szCs w:val="24"/>
          <w:lang w:eastAsia="en-AU"/>
          <w14:ligatures w14:val="standardContextual"/>
        </w:rPr>
      </w:pPr>
      <w:hyperlink w:anchor="_Toc215483391" w:history="1">
        <w:r w:rsidRPr="00BB6A7C">
          <w:rPr>
            <w:rStyle w:val="Hyperlink"/>
            <w:noProof/>
          </w:rPr>
          <w:t>7</w:t>
        </w:r>
        <w:r>
          <w:rPr>
            <w:rFonts w:eastAsiaTheme="minorEastAsia"/>
            <w:b w:val="0"/>
            <w:noProof/>
            <w:color w:val="auto"/>
            <w:kern w:val="2"/>
            <w:sz w:val="24"/>
            <w:szCs w:val="24"/>
            <w:lang w:eastAsia="en-AU"/>
            <w14:ligatures w14:val="standardContextual"/>
          </w:rPr>
          <w:tab/>
        </w:r>
        <w:r w:rsidRPr="00BB6A7C">
          <w:rPr>
            <w:rStyle w:val="Hyperlink"/>
            <w:noProof/>
          </w:rPr>
          <w:t>EDM calibration and verification of GNSS/ emerging technologies</w:t>
        </w:r>
        <w:r>
          <w:rPr>
            <w:noProof/>
            <w:webHidden/>
          </w:rPr>
          <w:tab/>
        </w:r>
        <w:r>
          <w:rPr>
            <w:noProof/>
            <w:webHidden/>
          </w:rPr>
          <w:fldChar w:fldCharType="begin"/>
        </w:r>
        <w:r>
          <w:rPr>
            <w:noProof/>
            <w:webHidden/>
          </w:rPr>
          <w:instrText xml:space="preserve"> PAGEREF _Toc215483391 \h </w:instrText>
        </w:r>
        <w:r>
          <w:rPr>
            <w:noProof/>
            <w:webHidden/>
          </w:rPr>
        </w:r>
        <w:r>
          <w:rPr>
            <w:noProof/>
            <w:webHidden/>
          </w:rPr>
          <w:fldChar w:fldCharType="separate"/>
        </w:r>
        <w:r>
          <w:rPr>
            <w:noProof/>
            <w:webHidden/>
          </w:rPr>
          <w:t>25</w:t>
        </w:r>
        <w:r>
          <w:rPr>
            <w:noProof/>
            <w:webHidden/>
          </w:rPr>
          <w:fldChar w:fldCharType="end"/>
        </w:r>
      </w:hyperlink>
    </w:p>
    <w:p w14:paraId="48657BA4" w14:textId="2E50DF17" w:rsidR="000C4B00" w:rsidRDefault="000C4B00">
      <w:pPr>
        <w:pStyle w:val="TOC5"/>
        <w:rPr>
          <w:rFonts w:eastAsiaTheme="minorEastAsia"/>
          <w:noProof/>
          <w:color w:val="auto"/>
          <w:kern w:val="2"/>
          <w:sz w:val="24"/>
          <w:szCs w:val="24"/>
          <w:lang w:eastAsia="en-AU"/>
          <w14:ligatures w14:val="standardContextual"/>
        </w:rPr>
      </w:pPr>
      <w:hyperlink w:anchor="_Toc215483392" w:history="1">
        <w:r w:rsidRPr="00BB6A7C">
          <w:rPr>
            <w:rStyle w:val="Hyperlink"/>
            <w:noProof/>
          </w:rPr>
          <w:t>7.1</w:t>
        </w:r>
        <w:r>
          <w:rPr>
            <w:rFonts w:eastAsiaTheme="minorEastAsia"/>
            <w:noProof/>
            <w:color w:val="auto"/>
            <w:kern w:val="2"/>
            <w:sz w:val="24"/>
            <w:szCs w:val="24"/>
            <w:lang w:eastAsia="en-AU"/>
            <w14:ligatures w14:val="standardContextual"/>
          </w:rPr>
          <w:tab/>
        </w:r>
        <w:r w:rsidRPr="00BB6A7C">
          <w:rPr>
            <w:rStyle w:val="Hyperlink"/>
            <w:noProof/>
          </w:rPr>
          <w:t>Meeting EDM standards requirements</w:t>
        </w:r>
        <w:r>
          <w:rPr>
            <w:noProof/>
            <w:webHidden/>
          </w:rPr>
          <w:tab/>
        </w:r>
        <w:r>
          <w:rPr>
            <w:noProof/>
            <w:webHidden/>
          </w:rPr>
          <w:fldChar w:fldCharType="begin"/>
        </w:r>
        <w:r>
          <w:rPr>
            <w:noProof/>
            <w:webHidden/>
          </w:rPr>
          <w:instrText xml:space="preserve"> PAGEREF _Toc215483392 \h </w:instrText>
        </w:r>
        <w:r>
          <w:rPr>
            <w:noProof/>
            <w:webHidden/>
          </w:rPr>
        </w:r>
        <w:r>
          <w:rPr>
            <w:noProof/>
            <w:webHidden/>
          </w:rPr>
          <w:fldChar w:fldCharType="separate"/>
        </w:r>
        <w:r>
          <w:rPr>
            <w:noProof/>
            <w:webHidden/>
          </w:rPr>
          <w:t>25</w:t>
        </w:r>
        <w:r>
          <w:rPr>
            <w:noProof/>
            <w:webHidden/>
          </w:rPr>
          <w:fldChar w:fldCharType="end"/>
        </w:r>
      </w:hyperlink>
    </w:p>
    <w:p w14:paraId="78451DB0" w14:textId="4DF14844" w:rsidR="000C4B00" w:rsidRDefault="000C4B00">
      <w:pPr>
        <w:pStyle w:val="TOC5"/>
        <w:rPr>
          <w:rFonts w:eastAsiaTheme="minorEastAsia"/>
          <w:noProof/>
          <w:color w:val="auto"/>
          <w:kern w:val="2"/>
          <w:sz w:val="24"/>
          <w:szCs w:val="24"/>
          <w:lang w:eastAsia="en-AU"/>
          <w14:ligatures w14:val="standardContextual"/>
        </w:rPr>
      </w:pPr>
      <w:hyperlink w:anchor="_Toc215483393" w:history="1">
        <w:r w:rsidRPr="00BB6A7C">
          <w:rPr>
            <w:rStyle w:val="Hyperlink"/>
            <w:noProof/>
          </w:rPr>
          <w:t>7.2</w:t>
        </w:r>
        <w:r>
          <w:rPr>
            <w:rFonts w:eastAsiaTheme="minorEastAsia"/>
            <w:noProof/>
            <w:color w:val="auto"/>
            <w:kern w:val="2"/>
            <w:sz w:val="24"/>
            <w:szCs w:val="24"/>
            <w:lang w:eastAsia="en-AU"/>
            <w14:ligatures w14:val="standardContextual"/>
          </w:rPr>
          <w:tab/>
        </w:r>
        <w:r w:rsidRPr="00BB6A7C">
          <w:rPr>
            <w:rStyle w:val="Hyperlink"/>
            <w:noProof/>
          </w:rPr>
          <w:t>Verification of GNSS</w:t>
        </w:r>
        <w:r>
          <w:rPr>
            <w:noProof/>
            <w:webHidden/>
          </w:rPr>
          <w:tab/>
        </w:r>
        <w:r>
          <w:rPr>
            <w:noProof/>
            <w:webHidden/>
          </w:rPr>
          <w:fldChar w:fldCharType="begin"/>
        </w:r>
        <w:r>
          <w:rPr>
            <w:noProof/>
            <w:webHidden/>
          </w:rPr>
          <w:instrText xml:space="preserve"> PAGEREF _Toc215483393 \h </w:instrText>
        </w:r>
        <w:r>
          <w:rPr>
            <w:noProof/>
            <w:webHidden/>
          </w:rPr>
        </w:r>
        <w:r>
          <w:rPr>
            <w:noProof/>
            <w:webHidden/>
          </w:rPr>
          <w:fldChar w:fldCharType="separate"/>
        </w:r>
        <w:r>
          <w:rPr>
            <w:noProof/>
            <w:webHidden/>
          </w:rPr>
          <w:t>26</w:t>
        </w:r>
        <w:r>
          <w:rPr>
            <w:noProof/>
            <w:webHidden/>
          </w:rPr>
          <w:fldChar w:fldCharType="end"/>
        </w:r>
      </w:hyperlink>
    </w:p>
    <w:p w14:paraId="0E90E459" w14:textId="6D75AF0F" w:rsidR="000C4B00" w:rsidRDefault="000C4B00">
      <w:pPr>
        <w:pStyle w:val="TOC5"/>
        <w:rPr>
          <w:rFonts w:eastAsiaTheme="minorEastAsia"/>
          <w:noProof/>
          <w:color w:val="auto"/>
          <w:kern w:val="2"/>
          <w:sz w:val="24"/>
          <w:szCs w:val="24"/>
          <w:lang w:eastAsia="en-AU"/>
          <w14:ligatures w14:val="standardContextual"/>
        </w:rPr>
      </w:pPr>
      <w:hyperlink w:anchor="_Toc215483394" w:history="1">
        <w:r w:rsidRPr="00BB6A7C">
          <w:rPr>
            <w:rStyle w:val="Hyperlink"/>
            <w:noProof/>
          </w:rPr>
          <w:t>7.3</w:t>
        </w:r>
        <w:r>
          <w:rPr>
            <w:rFonts w:eastAsiaTheme="minorEastAsia"/>
            <w:noProof/>
            <w:color w:val="auto"/>
            <w:kern w:val="2"/>
            <w:sz w:val="24"/>
            <w:szCs w:val="24"/>
            <w:lang w:eastAsia="en-AU"/>
            <w14:ligatures w14:val="standardContextual"/>
          </w:rPr>
          <w:tab/>
        </w:r>
        <w:r w:rsidRPr="00BB6A7C">
          <w:rPr>
            <w:rStyle w:val="Hyperlink"/>
            <w:noProof/>
          </w:rPr>
          <w:t>Verification of emerging technologies</w:t>
        </w:r>
        <w:r>
          <w:rPr>
            <w:noProof/>
            <w:webHidden/>
          </w:rPr>
          <w:tab/>
        </w:r>
        <w:r>
          <w:rPr>
            <w:noProof/>
            <w:webHidden/>
          </w:rPr>
          <w:fldChar w:fldCharType="begin"/>
        </w:r>
        <w:r>
          <w:rPr>
            <w:noProof/>
            <w:webHidden/>
          </w:rPr>
          <w:instrText xml:space="preserve"> PAGEREF _Toc215483394 \h </w:instrText>
        </w:r>
        <w:r>
          <w:rPr>
            <w:noProof/>
            <w:webHidden/>
          </w:rPr>
        </w:r>
        <w:r>
          <w:rPr>
            <w:noProof/>
            <w:webHidden/>
          </w:rPr>
          <w:fldChar w:fldCharType="separate"/>
        </w:r>
        <w:r>
          <w:rPr>
            <w:noProof/>
            <w:webHidden/>
          </w:rPr>
          <w:t>26</w:t>
        </w:r>
        <w:r>
          <w:rPr>
            <w:noProof/>
            <w:webHidden/>
          </w:rPr>
          <w:fldChar w:fldCharType="end"/>
        </w:r>
      </w:hyperlink>
    </w:p>
    <w:p w14:paraId="6794E41A" w14:textId="14B2044D" w:rsidR="000C4B00" w:rsidRDefault="000C4B00">
      <w:pPr>
        <w:pStyle w:val="TOC4"/>
        <w:rPr>
          <w:rFonts w:eastAsiaTheme="minorEastAsia"/>
          <w:b w:val="0"/>
          <w:noProof/>
          <w:color w:val="auto"/>
          <w:kern w:val="2"/>
          <w:sz w:val="24"/>
          <w:szCs w:val="24"/>
          <w:lang w:eastAsia="en-AU"/>
          <w14:ligatures w14:val="standardContextual"/>
        </w:rPr>
      </w:pPr>
      <w:hyperlink w:anchor="_Toc215483395" w:history="1">
        <w:r w:rsidRPr="00BB6A7C">
          <w:rPr>
            <w:rStyle w:val="Hyperlink"/>
            <w:noProof/>
          </w:rPr>
          <w:t>8</w:t>
        </w:r>
        <w:r>
          <w:rPr>
            <w:rFonts w:eastAsiaTheme="minorEastAsia"/>
            <w:b w:val="0"/>
            <w:noProof/>
            <w:color w:val="auto"/>
            <w:kern w:val="2"/>
            <w:sz w:val="24"/>
            <w:szCs w:val="24"/>
            <w:lang w:eastAsia="en-AU"/>
            <w14:ligatures w14:val="standardContextual"/>
          </w:rPr>
          <w:tab/>
        </w:r>
        <w:r w:rsidRPr="00BB6A7C">
          <w:rPr>
            <w:rStyle w:val="Hyperlink"/>
            <w:noProof/>
          </w:rPr>
          <w:t>Precision of dimensions on plans of cadastral surveys and abstracts of field records</w:t>
        </w:r>
        <w:r>
          <w:rPr>
            <w:noProof/>
            <w:webHidden/>
          </w:rPr>
          <w:tab/>
        </w:r>
        <w:r>
          <w:rPr>
            <w:noProof/>
            <w:webHidden/>
          </w:rPr>
          <w:fldChar w:fldCharType="begin"/>
        </w:r>
        <w:r>
          <w:rPr>
            <w:noProof/>
            <w:webHidden/>
          </w:rPr>
          <w:instrText xml:space="preserve"> PAGEREF _Toc215483395 \h </w:instrText>
        </w:r>
        <w:r>
          <w:rPr>
            <w:noProof/>
            <w:webHidden/>
          </w:rPr>
        </w:r>
        <w:r>
          <w:rPr>
            <w:noProof/>
            <w:webHidden/>
          </w:rPr>
          <w:fldChar w:fldCharType="separate"/>
        </w:r>
        <w:r>
          <w:rPr>
            <w:noProof/>
            <w:webHidden/>
          </w:rPr>
          <w:t>26</w:t>
        </w:r>
        <w:r>
          <w:rPr>
            <w:noProof/>
            <w:webHidden/>
          </w:rPr>
          <w:fldChar w:fldCharType="end"/>
        </w:r>
      </w:hyperlink>
    </w:p>
    <w:p w14:paraId="55FF9502" w14:textId="368225A1" w:rsidR="000C4B00" w:rsidRDefault="000C4B00">
      <w:pPr>
        <w:pStyle w:val="TOC4"/>
        <w:rPr>
          <w:rFonts w:eastAsiaTheme="minorEastAsia"/>
          <w:b w:val="0"/>
          <w:noProof/>
          <w:color w:val="auto"/>
          <w:kern w:val="2"/>
          <w:sz w:val="24"/>
          <w:szCs w:val="24"/>
          <w:lang w:eastAsia="en-AU"/>
          <w14:ligatures w14:val="standardContextual"/>
        </w:rPr>
      </w:pPr>
      <w:hyperlink w:anchor="_Toc215483396" w:history="1">
        <w:r w:rsidRPr="00BB6A7C">
          <w:rPr>
            <w:rStyle w:val="Hyperlink"/>
            <w:noProof/>
          </w:rPr>
          <w:t>9</w:t>
        </w:r>
        <w:r>
          <w:rPr>
            <w:rFonts w:eastAsiaTheme="minorEastAsia"/>
            <w:b w:val="0"/>
            <w:noProof/>
            <w:color w:val="auto"/>
            <w:kern w:val="2"/>
            <w:sz w:val="24"/>
            <w:szCs w:val="24"/>
            <w:lang w:eastAsia="en-AU"/>
            <w14:ligatures w14:val="standardContextual"/>
          </w:rPr>
          <w:tab/>
        </w:r>
        <w:r w:rsidRPr="00BB6A7C">
          <w:rPr>
            <w:rStyle w:val="Hyperlink"/>
            <w:noProof/>
          </w:rPr>
          <w:t>General advice</w:t>
        </w:r>
        <w:r>
          <w:rPr>
            <w:noProof/>
            <w:webHidden/>
          </w:rPr>
          <w:tab/>
        </w:r>
        <w:r>
          <w:rPr>
            <w:noProof/>
            <w:webHidden/>
          </w:rPr>
          <w:fldChar w:fldCharType="begin"/>
        </w:r>
        <w:r>
          <w:rPr>
            <w:noProof/>
            <w:webHidden/>
          </w:rPr>
          <w:instrText xml:space="preserve"> PAGEREF _Toc215483396 \h </w:instrText>
        </w:r>
        <w:r>
          <w:rPr>
            <w:noProof/>
            <w:webHidden/>
          </w:rPr>
        </w:r>
        <w:r>
          <w:rPr>
            <w:noProof/>
            <w:webHidden/>
          </w:rPr>
          <w:fldChar w:fldCharType="separate"/>
        </w:r>
        <w:r>
          <w:rPr>
            <w:noProof/>
            <w:webHidden/>
          </w:rPr>
          <w:t>27</w:t>
        </w:r>
        <w:r>
          <w:rPr>
            <w:noProof/>
            <w:webHidden/>
          </w:rPr>
          <w:fldChar w:fldCharType="end"/>
        </w:r>
      </w:hyperlink>
    </w:p>
    <w:p w14:paraId="49044637" w14:textId="6F60FB7D" w:rsidR="000C4B00" w:rsidRDefault="000C4B00">
      <w:pPr>
        <w:pStyle w:val="TOC5"/>
        <w:rPr>
          <w:rFonts w:eastAsiaTheme="minorEastAsia"/>
          <w:noProof/>
          <w:color w:val="auto"/>
          <w:kern w:val="2"/>
          <w:sz w:val="24"/>
          <w:szCs w:val="24"/>
          <w:lang w:eastAsia="en-AU"/>
          <w14:ligatures w14:val="standardContextual"/>
        </w:rPr>
      </w:pPr>
      <w:hyperlink w:anchor="_Toc215483397" w:history="1">
        <w:r w:rsidRPr="00BB6A7C">
          <w:rPr>
            <w:rStyle w:val="Hyperlink"/>
            <w:noProof/>
          </w:rPr>
          <w:t>9.1</w:t>
        </w:r>
        <w:r>
          <w:rPr>
            <w:rFonts w:eastAsiaTheme="minorEastAsia"/>
            <w:noProof/>
            <w:color w:val="auto"/>
            <w:kern w:val="2"/>
            <w:sz w:val="24"/>
            <w:szCs w:val="24"/>
            <w:lang w:eastAsia="en-AU"/>
            <w14:ligatures w14:val="standardContextual"/>
          </w:rPr>
          <w:tab/>
        </w:r>
        <w:r w:rsidRPr="00BB6A7C">
          <w:rPr>
            <w:rStyle w:val="Hyperlink"/>
            <w:noProof/>
          </w:rPr>
          <w:t>Surveyor-General consent to Crown land boundary determinations</w:t>
        </w:r>
        <w:r>
          <w:rPr>
            <w:noProof/>
            <w:webHidden/>
          </w:rPr>
          <w:tab/>
        </w:r>
        <w:r>
          <w:rPr>
            <w:noProof/>
            <w:webHidden/>
          </w:rPr>
          <w:fldChar w:fldCharType="begin"/>
        </w:r>
        <w:r>
          <w:rPr>
            <w:noProof/>
            <w:webHidden/>
          </w:rPr>
          <w:instrText xml:space="preserve"> PAGEREF _Toc215483397 \h </w:instrText>
        </w:r>
        <w:r>
          <w:rPr>
            <w:noProof/>
            <w:webHidden/>
          </w:rPr>
        </w:r>
        <w:r>
          <w:rPr>
            <w:noProof/>
            <w:webHidden/>
          </w:rPr>
          <w:fldChar w:fldCharType="separate"/>
        </w:r>
        <w:r>
          <w:rPr>
            <w:noProof/>
            <w:webHidden/>
          </w:rPr>
          <w:t>27</w:t>
        </w:r>
        <w:r>
          <w:rPr>
            <w:noProof/>
            <w:webHidden/>
          </w:rPr>
          <w:fldChar w:fldCharType="end"/>
        </w:r>
      </w:hyperlink>
    </w:p>
    <w:p w14:paraId="440699AD" w14:textId="7C09C467" w:rsidR="000C4B00" w:rsidRDefault="000C4B00">
      <w:pPr>
        <w:pStyle w:val="TOC5"/>
        <w:rPr>
          <w:rFonts w:eastAsiaTheme="minorEastAsia"/>
          <w:noProof/>
          <w:color w:val="auto"/>
          <w:kern w:val="2"/>
          <w:sz w:val="24"/>
          <w:szCs w:val="24"/>
          <w:lang w:eastAsia="en-AU"/>
          <w14:ligatures w14:val="standardContextual"/>
        </w:rPr>
      </w:pPr>
      <w:hyperlink w:anchor="_Toc215483398" w:history="1">
        <w:r w:rsidRPr="00BB6A7C">
          <w:rPr>
            <w:rStyle w:val="Hyperlink"/>
            <w:noProof/>
          </w:rPr>
          <w:t>9.2</w:t>
        </w:r>
        <w:r>
          <w:rPr>
            <w:rFonts w:eastAsiaTheme="minorEastAsia"/>
            <w:noProof/>
            <w:color w:val="auto"/>
            <w:kern w:val="2"/>
            <w:sz w:val="24"/>
            <w:szCs w:val="24"/>
            <w:lang w:eastAsia="en-AU"/>
            <w14:ligatures w14:val="standardContextual"/>
          </w:rPr>
          <w:tab/>
        </w:r>
        <w:r w:rsidRPr="00BB6A7C">
          <w:rPr>
            <w:rStyle w:val="Hyperlink"/>
            <w:noProof/>
          </w:rPr>
          <w:t>State border determinations</w:t>
        </w:r>
        <w:r>
          <w:rPr>
            <w:noProof/>
            <w:webHidden/>
          </w:rPr>
          <w:tab/>
        </w:r>
        <w:r>
          <w:rPr>
            <w:noProof/>
            <w:webHidden/>
          </w:rPr>
          <w:fldChar w:fldCharType="begin"/>
        </w:r>
        <w:r>
          <w:rPr>
            <w:noProof/>
            <w:webHidden/>
          </w:rPr>
          <w:instrText xml:space="preserve"> PAGEREF _Toc215483398 \h </w:instrText>
        </w:r>
        <w:r>
          <w:rPr>
            <w:noProof/>
            <w:webHidden/>
          </w:rPr>
        </w:r>
        <w:r>
          <w:rPr>
            <w:noProof/>
            <w:webHidden/>
          </w:rPr>
          <w:fldChar w:fldCharType="separate"/>
        </w:r>
        <w:r>
          <w:rPr>
            <w:noProof/>
            <w:webHidden/>
          </w:rPr>
          <w:t>28</w:t>
        </w:r>
        <w:r>
          <w:rPr>
            <w:noProof/>
            <w:webHidden/>
          </w:rPr>
          <w:fldChar w:fldCharType="end"/>
        </w:r>
      </w:hyperlink>
    </w:p>
    <w:p w14:paraId="4C4258B0" w14:textId="0296D969" w:rsidR="000C4B00" w:rsidRDefault="000C4B00">
      <w:pPr>
        <w:pStyle w:val="TOC5"/>
        <w:rPr>
          <w:rFonts w:eastAsiaTheme="minorEastAsia"/>
          <w:noProof/>
          <w:color w:val="auto"/>
          <w:kern w:val="2"/>
          <w:sz w:val="24"/>
          <w:szCs w:val="24"/>
          <w:lang w:eastAsia="en-AU"/>
          <w14:ligatures w14:val="standardContextual"/>
        </w:rPr>
      </w:pPr>
      <w:hyperlink w:anchor="_Toc215483399" w:history="1">
        <w:r w:rsidRPr="00BB6A7C">
          <w:rPr>
            <w:rStyle w:val="Hyperlink"/>
            <w:noProof/>
          </w:rPr>
          <w:t>9.3</w:t>
        </w:r>
        <w:r>
          <w:rPr>
            <w:rFonts w:eastAsiaTheme="minorEastAsia"/>
            <w:noProof/>
            <w:color w:val="auto"/>
            <w:kern w:val="2"/>
            <w:sz w:val="24"/>
            <w:szCs w:val="24"/>
            <w:lang w:eastAsia="en-AU"/>
            <w14:ligatures w14:val="standardContextual"/>
          </w:rPr>
          <w:tab/>
        </w:r>
        <w:r w:rsidRPr="00BB6A7C">
          <w:rPr>
            <w:rStyle w:val="Hyperlink"/>
            <w:noProof/>
          </w:rPr>
          <w:t>Ad Medium Filum Aquae</w:t>
        </w:r>
        <w:r>
          <w:rPr>
            <w:noProof/>
            <w:webHidden/>
          </w:rPr>
          <w:tab/>
        </w:r>
        <w:r>
          <w:rPr>
            <w:noProof/>
            <w:webHidden/>
          </w:rPr>
          <w:fldChar w:fldCharType="begin"/>
        </w:r>
        <w:r>
          <w:rPr>
            <w:noProof/>
            <w:webHidden/>
          </w:rPr>
          <w:instrText xml:space="preserve"> PAGEREF _Toc215483399 \h </w:instrText>
        </w:r>
        <w:r>
          <w:rPr>
            <w:noProof/>
            <w:webHidden/>
          </w:rPr>
        </w:r>
        <w:r>
          <w:rPr>
            <w:noProof/>
            <w:webHidden/>
          </w:rPr>
          <w:fldChar w:fldCharType="separate"/>
        </w:r>
        <w:r>
          <w:rPr>
            <w:noProof/>
            <w:webHidden/>
          </w:rPr>
          <w:t>28</w:t>
        </w:r>
        <w:r>
          <w:rPr>
            <w:noProof/>
            <w:webHidden/>
          </w:rPr>
          <w:fldChar w:fldCharType="end"/>
        </w:r>
      </w:hyperlink>
    </w:p>
    <w:p w14:paraId="285145C9" w14:textId="783F9476" w:rsidR="000C4B00" w:rsidRDefault="000C4B00">
      <w:pPr>
        <w:pStyle w:val="TOC5"/>
        <w:rPr>
          <w:rFonts w:eastAsiaTheme="minorEastAsia"/>
          <w:noProof/>
          <w:color w:val="auto"/>
          <w:kern w:val="2"/>
          <w:sz w:val="24"/>
          <w:szCs w:val="24"/>
          <w:lang w:eastAsia="en-AU"/>
          <w14:ligatures w14:val="standardContextual"/>
        </w:rPr>
      </w:pPr>
      <w:hyperlink w:anchor="_Toc215483400" w:history="1">
        <w:r w:rsidRPr="00BB6A7C">
          <w:rPr>
            <w:rStyle w:val="Hyperlink"/>
            <w:noProof/>
          </w:rPr>
          <w:t>9.4</w:t>
        </w:r>
        <w:r>
          <w:rPr>
            <w:rFonts w:eastAsiaTheme="minorEastAsia"/>
            <w:noProof/>
            <w:color w:val="auto"/>
            <w:kern w:val="2"/>
            <w:sz w:val="24"/>
            <w:szCs w:val="24"/>
            <w:lang w:eastAsia="en-AU"/>
            <w14:ligatures w14:val="standardContextual"/>
          </w:rPr>
          <w:tab/>
        </w:r>
        <w:r w:rsidRPr="00BB6A7C">
          <w:rPr>
            <w:rStyle w:val="Hyperlink"/>
            <w:noProof/>
          </w:rPr>
          <w:t>Consideration of the width of roads</w:t>
        </w:r>
        <w:r>
          <w:rPr>
            <w:noProof/>
            <w:webHidden/>
          </w:rPr>
          <w:tab/>
        </w:r>
        <w:r>
          <w:rPr>
            <w:noProof/>
            <w:webHidden/>
          </w:rPr>
          <w:fldChar w:fldCharType="begin"/>
        </w:r>
        <w:r>
          <w:rPr>
            <w:noProof/>
            <w:webHidden/>
          </w:rPr>
          <w:instrText xml:space="preserve"> PAGEREF _Toc215483400 \h </w:instrText>
        </w:r>
        <w:r>
          <w:rPr>
            <w:noProof/>
            <w:webHidden/>
          </w:rPr>
        </w:r>
        <w:r>
          <w:rPr>
            <w:noProof/>
            <w:webHidden/>
          </w:rPr>
          <w:fldChar w:fldCharType="separate"/>
        </w:r>
        <w:r>
          <w:rPr>
            <w:noProof/>
            <w:webHidden/>
          </w:rPr>
          <w:t>28</w:t>
        </w:r>
        <w:r>
          <w:rPr>
            <w:noProof/>
            <w:webHidden/>
          </w:rPr>
          <w:fldChar w:fldCharType="end"/>
        </w:r>
      </w:hyperlink>
    </w:p>
    <w:p w14:paraId="50EEEE6F" w14:textId="4997C8B3" w:rsidR="000C4B00" w:rsidRDefault="000C4B00">
      <w:pPr>
        <w:pStyle w:val="TOC5"/>
        <w:rPr>
          <w:rFonts w:eastAsiaTheme="minorEastAsia"/>
          <w:noProof/>
          <w:color w:val="auto"/>
          <w:kern w:val="2"/>
          <w:sz w:val="24"/>
          <w:szCs w:val="24"/>
          <w:lang w:eastAsia="en-AU"/>
          <w14:ligatures w14:val="standardContextual"/>
        </w:rPr>
      </w:pPr>
      <w:hyperlink w:anchor="_Toc215483401" w:history="1">
        <w:r w:rsidRPr="00BB6A7C">
          <w:rPr>
            <w:rStyle w:val="Hyperlink"/>
            <w:noProof/>
          </w:rPr>
          <w:t>9.5</w:t>
        </w:r>
        <w:r>
          <w:rPr>
            <w:rFonts w:eastAsiaTheme="minorEastAsia"/>
            <w:noProof/>
            <w:color w:val="auto"/>
            <w:kern w:val="2"/>
            <w:sz w:val="24"/>
            <w:szCs w:val="24"/>
            <w:lang w:eastAsia="en-AU"/>
            <w14:ligatures w14:val="standardContextual"/>
          </w:rPr>
          <w:tab/>
        </w:r>
        <w:r w:rsidRPr="00BB6A7C">
          <w:rPr>
            <w:rStyle w:val="Hyperlink"/>
            <w:noProof/>
          </w:rPr>
          <w:t>Mean High Water Mark determinations</w:t>
        </w:r>
        <w:r>
          <w:rPr>
            <w:noProof/>
            <w:webHidden/>
          </w:rPr>
          <w:tab/>
        </w:r>
        <w:r>
          <w:rPr>
            <w:noProof/>
            <w:webHidden/>
          </w:rPr>
          <w:fldChar w:fldCharType="begin"/>
        </w:r>
        <w:r>
          <w:rPr>
            <w:noProof/>
            <w:webHidden/>
          </w:rPr>
          <w:instrText xml:space="preserve"> PAGEREF _Toc215483401 \h </w:instrText>
        </w:r>
        <w:r>
          <w:rPr>
            <w:noProof/>
            <w:webHidden/>
          </w:rPr>
        </w:r>
        <w:r>
          <w:rPr>
            <w:noProof/>
            <w:webHidden/>
          </w:rPr>
          <w:fldChar w:fldCharType="separate"/>
        </w:r>
        <w:r>
          <w:rPr>
            <w:noProof/>
            <w:webHidden/>
          </w:rPr>
          <w:t>28</w:t>
        </w:r>
        <w:r>
          <w:rPr>
            <w:noProof/>
            <w:webHidden/>
          </w:rPr>
          <w:fldChar w:fldCharType="end"/>
        </w:r>
      </w:hyperlink>
    </w:p>
    <w:p w14:paraId="793DFDEC" w14:textId="6B1338E5" w:rsidR="000C4B00" w:rsidRDefault="000C4B00">
      <w:pPr>
        <w:pStyle w:val="TOC5"/>
        <w:rPr>
          <w:rFonts w:eastAsiaTheme="minorEastAsia"/>
          <w:noProof/>
          <w:color w:val="auto"/>
          <w:kern w:val="2"/>
          <w:sz w:val="24"/>
          <w:szCs w:val="24"/>
          <w:lang w:eastAsia="en-AU"/>
          <w14:ligatures w14:val="standardContextual"/>
        </w:rPr>
      </w:pPr>
      <w:hyperlink w:anchor="_Toc215483402" w:history="1">
        <w:r w:rsidRPr="00BB6A7C">
          <w:rPr>
            <w:rStyle w:val="Hyperlink"/>
            <w:noProof/>
          </w:rPr>
          <w:t>9.6</w:t>
        </w:r>
        <w:r>
          <w:rPr>
            <w:rFonts w:eastAsiaTheme="minorEastAsia"/>
            <w:noProof/>
            <w:color w:val="auto"/>
            <w:kern w:val="2"/>
            <w:sz w:val="24"/>
            <w:szCs w:val="24"/>
            <w:lang w:eastAsia="en-AU"/>
            <w14:ligatures w14:val="standardContextual"/>
          </w:rPr>
          <w:tab/>
        </w:r>
        <w:r w:rsidRPr="00BB6A7C">
          <w:rPr>
            <w:rStyle w:val="Hyperlink"/>
            <w:noProof/>
          </w:rPr>
          <w:t>Converting natural boundaries to Metes and Bounds</w:t>
        </w:r>
        <w:r>
          <w:rPr>
            <w:noProof/>
            <w:webHidden/>
          </w:rPr>
          <w:tab/>
        </w:r>
        <w:r>
          <w:rPr>
            <w:noProof/>
            <w:webHidden/>
          </w:rPr>
          <w:fldChar w:fldCharType="begin"/>
        </w:r>
        <w:r>
          <w:rPr>
            <w:noProof/>
            <w:webHidden/>
          </w:rPr>
          <w:instrText xml:space="preserve"> PAGEREF _Toc215483402 \h </w:instrText>
        </w:r>
        <w:r>
          <w:rPr>
            <w:noProof/>
            <w:webHidden/>
          </w:rPr>
        </w:r>
        <w:r>
          <w:rPr>
            <w:noProof/>
            <w:webHidden/>
          </w:rPr>
          <w:fldChar w:fldCharType="separate"/>
        </w:r>
        <w:r>
          <w:rPr>
            <w:noProof/>
            <w:webHidden/>
          </w:rPr>
          <w:t>29</w:t>
        </w:r>
        <w:r>
          <w:rPr>
            <w:noProof/>
            <w:webHidden/>
          </w:rPr>
          <w:fldChar w:fldCharType="end"/>
        </w:r>
      </w:hyperlink>
    </w:p>
    <w:p w14:paraId="5A4352A0" w14:textId="0AA4C62C" w:rsidR="000C4B00" w:rsidRDefault="000C4B00">
      <w:pPr>
        <w:pStyle w:val="TOC5"/>
        <w:rPr>
          <w:rFonts w:eastAsiaTheme="minorEastAsia"/>
          <w:noProof/>
          <w:color w:val="auto"/>
          <w:kern w:val="2"/>
          <w:sz w:val="24"/>
          <w:szCs w:val="24"/>
          <w:lang w:eastAsia="en-AU"/>
          <w14:ligatures w14:val="standardContextual"/>
        </w:rPr>
      </w:pPr>
      <w:hyperlink w:anchor="_Toc215483403" w:history="1">
        <w:r w:rsidRPr="00BB6A7C">
          <w:rPr>
            <w:rStyle w:val="Hyperlink"/>
            <w:noProof/>
          </w:rPr>
          <w:t>9.7</w:t>
        </w:r>
        <w:r>
          <w:rPr>
            <w:rFonts w:eastAsiaTheme="minorEastAsia"/>
            <w:noProof/>
            <w:color w:val="auto"/>
            <w:kern w:val="2"/>
            <w:sz w:val="24"/>
            <w:szCs w:val="24"/>
            <w:lang w:eastAsia="en-AU"/>
            <w14:ligatures w14:val="standardContextual"/>
          </w:rPr>
          <w:tab/>
        </w:r>
        <w:r w:rsidRPr="00BB6A7C">
          <w:rPr>
            <w:rStyle w:val="Hyperlink"/>
            <w:noProof/>
          </w:rPr>
          <w:t xml:space="preserve">Adopting occupation as a Crown boundary under Section 271, </w:t>
        </w:r>
        <w:r w:rsidRPr="00BB6A7C">
          <w:rPr>
            <w:rStyle w:val="Hyperlink"/>
            <w:i/>
            <w:noProof/>
          </w:rPr>
          <w:t>Property Law Act 1958</w:t>
        </w:r>
        <w:r>
          <w:rPr>
            <w:noProof/>
            <w:webHidden/>
          </w:rPr>
          <w:tab/>
        </w:r>
        <w:r>
          <w:rPr>
            <w:noProof/>
            <w:webHidden/>
          </w:rPr>
          <w:fldChar w:fldCharType="begin"/>
        </w:r>
        <w:r>
          <w:rPr>
            <w:noProof/>
            <w:webHidden/>
          </w:rPr>
          <w:instrText xml:space="preserve"> PAGEREF _Toc215483403 \h </w:instrText>
        </w:r>
        <w:r>
          <w:rPr>
            <w:noProof/>
            <w:webHidden/>
          </w:rPr>
        </w:r>
        <w:r>
          <w:rPr>
            <w:noProof/>
            <w:webHidden/>
          </w:rPr>
          <w:fldChar w:fldCharType="separate"/>
        </w:r>
        <w:r>
          <w:rPr>
            <w:noProof/>
            <w:webHidden/>
          </w:rPr>
          <w:t>29</w:t>
        </w:r>
        <w:r>
          <w:rPr>
            <w:noProof/>
            <w:webHidden/>
          </w:rPr>
          <w:fldChar w:fldCharType="end"/>
        </w:r>
      </w:hyperlink>
    </w:p>
    <w:p w14:paraId="63C5A2C2" w14:textId="07A56E81" w:rsidR="000C4B00" w:rsidRDefault="000C4B00">
      <w:pPr>
        <w:pStyle w:val="TOC5"/>
        <w:rPr>
          <w:rFonts w:eastAsiaTheme="minorEastAsia"/>
          <w:noProof/>
          <w:color w:val="auto"/>
          <w:kern w:val="2"/>
          <w:sz w:val="24"/>
          <w:szCs w:val="24"/>
          <w:lang w:eastAsia="en-AU"/>
          <w14:ligatures w14:val="standardContextual"/>
        </w:rPr>
      </w:pPr>
      <w:hyperlink w:anchor="_Toc215483404" w:history="1">
        <w:r w:rsidRPr="00BB6A7C">
          <w:rPr>
            <w:rStyle w:val="Hyperlink"/>
            <w:noProof/>
          </w:rPr>
          <w:t>9.8</w:t>
        </w:r>
        <w:r>
          <w:rPr>
            <w:rFonts w:eastAsiaTheme="minorEastAsia"/>
            <w:noProof/>
            <w:color w:val="auto"/>
            <w:kern w:val="2"/>
            <w:sz w:val="24"/>
            <w:szCs w:val="24"/>
            <w:lang w:eastAsia="en-AU"/>
            <w14:ligatures w14:val="standardContextual"/>
          </w:rPr>
          <w:tab/>
        </w:r>
        <w:r w:rsidRPr="00BB6A7C">
          <w:rPr>
            <w:rStyle w:val="Hyperlink"/>
            <w:noProof/>
          </w:rPr>
          <w:t>Crown Cadastral Surveys</w:t>
        </w:r>
        <w:r>
          <w:rPr>
            <w:noProof/>
            <w:webHidden/>
          </w:rPr>
          <w:tab/>
        </w:r>
        <w:r>
          <w:rPr>
            <w:noProof/>
            <w:webHidden/>
          </w:rPr>
          <w:fldChar w:fldCharType="begin"/>
        </w:r>
        <w:r>
          <w:rPr>
            <w:noProof/>
            <w:webHidden/>
          </w:rPr>
          <w:instrText xml:space="preserve"> PAGEREF _Toc215483404 \h </w:instrText>
        </w:r>
        <w:r>
          <w:rPr>
            <w:noProof/>
            <w:webHidden/>
          </w:rPr>
        </w:r>
        <w:r>
          <w:rPr>
            <w:noProof/>
            <w:webHidden/>
          </w:rPr>
          <w:fldChar w:fldCharType="separate"/>
        </w:r>
        <w:r>
          <w:rPr>
            <w:noProof/>
            <w:webHidden/>
          </w:rPr>
          <w:t>29</w:t>
        </w:r>
        <w:r>
          <w:rPr>
            <w:noProof/>
            <w:webHidden/>
          </w:rPr>
          <w:fldChar w:fldCharType="end"/>
        </w:r>
      </w:hyperlink>
    </w:p>
    <w:p w14:paraId="3001D620" w14:textId="6A6DF3A4" w:rsidR="000C4B00" w:rsidRDefault="000C4B00">
      <w:pPr>
        <w:pStyle w:val="TOC1"/>
        <w:rPr>
          <w:rFonts w:eastAsiaTheme="minorEastAsia"/>
          <w:b w:val="0"/>
          <w:noProof/>
          <w:color w:val="auto"/>
          <w:kern w:val="2"/>
          <w:sz w:val="24"/>
          <w:szCs w:val="24"/>
          <w:lang w:eastAsia="en-AU"/>
          <w14:ligatures w14:val="standardContextual"/>
        </w:rPr>
      </w:pPr>
      <w:hyperlink w:anchor="_Toc215483405" w:history="1">
        <w:r w:rsidRPr="00BB6A7C">
          <w:rPr>
            <w:rStyle w:val="Hyperlink"/>
            <w:noProof/>
          </w:rPr>
          <w:t>Appendix A Survey documents required when lodging a plan of subdivision or consolidation</w:t>
        </w:r>
        <w:r>
          <w:rPr>
            <w:noProof/>
            <w:webHidden/>
          </w:rPr>
          <w:tab/>
        </w:r>
        <w:r>
          <w:rPr>
            <w:noProof/>
            <w:webHidden/>
          </w:rPr>
          <w:fldChar w:fldCharType="begin"/>
        </w:r>
        <w:r>
          <w:rPr>
            <w:noProof/>
            <w:webHidden/>
          </w:rPr>
          <w:instrText xml:space="preserve"> PAGEREF _Toc215483405 \h </w:instrText>
        </w:r>
        <w:r>
          <w:rPr>
            <w:noProof/>
            <w:webHidden/>
          </w:rPr>
        </w:r>
        <w:r>
          <w:rPr>
            <w:noProof/>
            <w:webHidden/>
          </w:rPr>
          <w:fldChar w:fldCharType="separate"/>
        </w:r>
        <w:r>
          <w:rPr>
            <w:noProof/>
            <w:webHidden/>
          </w:rPr>
          <w:t>30</w:t>
        </w:r>
        <w:r>
          <w:rPr>
            <w:noProof/>
            <w:webHidden/>
          </w:rPr>
          <w:fldChar w:fldCharType="end"/>
        </w:r>
      </w:hyperlink>
    </w:p>
    <w:p w14:paraId="518067CF" w14:textId="1102AE82" w:rsidR="000C4B00" w:rsidRDefault="000C4B00">
      <w:pPr>
        <w:pStyle w:val="TOC2"/>
        <w:rPr>
          <w:rFonts w:eastAsiaTheme="minorEastAsia"/>
          <w:noProof/>
          <w:color w:val="auto"/>
          <w:kern w:val="2"/>
          <w:sz w:val="24"/>
          <w:szCs w:val="24"/>
          <w:lang w:eastAsia="en-AU"/>
          <w14:ligatures w14:val="standardContextual"/>
        </w:rPr>
      </w:pPr>
      <w:hyperlink w:anchor="_Toc215483406" w:history="1">
        <w:r w:rsidRPr="00BB6A7C">
          <w:rPr>
            <w:rStyle w:val="Hyperlink"/>
            <w:noProof/>
          </w:rPr>
          <w:t>Exemptions to providing an abstract of field records</w:t>
        </w:r>
        <w:r>
          <w:rPr>
            <w:noProof/>
            <w:webHidden/>
          </w:rPr>
          <w:tab/>
        </w:r>
        <w:r>
          <w:rPr>
            <w:noProof/>
            <w:webHidden/>
          </w:rPr>
          <w:fldChar w:fldCharType="begin"/>
        </w:r>
        <w:r>
          <w:rPr>
            <w:noProof/>
            <w:webHidden/>
          </w:rPr>
          <w:instrText xml:space="preserve"> PAGEREF _Toc215483406 \h </w:instrText>
        </w:r>
        <w:r>
          <w:rPr>
            <w:noProof/>
            <w:webHidden/>
          </w:rPr>
        </w:r>
        <w:r>
          <w:rPr>
            <w:noProof/>
            <w:webHidden/>
          </w:rPr>
          <w:fldChar w:fldCharType="separate"/>
        </w:r>
        <w:r>
          <w:rPr>
            <w:noProof/>
            <w:webHidden/>
          </w:rPr>
          <w:t>30</w:t>
        </w:r>
        <w:r>
          <w:rPr>
            <w:noProof/>
            <w:webHidden/>
          </w:rPr>
          <w:fldChar w:fldCharType="end"/>
        </w:r>
      </w:hyperlink>
    </w:p>
    <w:p w14:paraId="461B5667" w14:textId="681432D5" w:rsidR="000C4B00" w:rsidRDefault="000C4B00">
      <w:pPr>
        <w:pStyle w:val="TOC2"/>
        <w:rPr>
          <w:rFonts w:eastAsiaTheme="minorEastAsia"/>
          <w:noProof/>
          <w:color w:val="auto"/>
          <w:kern w:val="2"/>
          <w:sz w:val="24"/>
          <w:szCs w:val="24"/>
          <w:lang w:eastAsia="en-AU"/>
          <w14:ligatures w14:val="standardContextual"/>
        </w:rPr>
      </w:pPr>
      <w:hyperlink w:anchor="_Toc215483407" w:history="1">
        <w:r w:rsidRPr="00BB6A7C">
          <w:rPr>
            <w:rStyle w:val="Hyperlink"/>
            <w:noProof/>
          </w:rPr>
          <w:t>Partial surveys</w:t>
        </w:r>
        <w:r>
          <w:rPr>
            <w:noProof/>
            <w:webHidden/>
          </w:rPr>
          <w:tab/>
        </w:r>
        <w:r>
          <w:rPr>
            <w:noProof/>
            <w:webHidden/>
          </w:rPr>
          <w:fldChar w:fldCharType="begin"/>
        </w:r>
        <w:r>
          <w:rPr>
            <w:noProof/>
            <w:webHidden/>
          </w:rPr>
          <w:instrText xml:space="preserve"> PAGEREF _Toc215483407 \h </w:instrText>
        </w:r>
        <w:r>
          <w:rPr>
            <w:noProof/>
            <w:webHidden/>
          </w:rPr>
        </w:r>
        <w:r>
          <w:rPr>
            <w:noProof/>
            <w:webHidden/>
          </w:rPr>
          <w:fldChar w:fldCharType="separate"/>
        </w:r>
        <w:r>
          <w:rPr>
            <w:noProof/>
            <w:webHidden/>
          </w:rPr>
          <w:t>30</w:t>
        </w:r>
        <w:r>
          <w:rPr>
            <w:noProof/>
            <w:webHidden/>
          </w:rPr>
          <w:fldChar w:fldCharType="end"/>
        </w:r>
      </w:hyperlink>
    </w:p>
    <w:p w14:paraId="21CE7DF8" w14:textId="0FCBF877" w:rsidR="000C4B00" w:rsidRDefault="000C4B00">
      <w:pPr>
        <w:pStyle w:val="TOC2"/>
        <w:rPr>
          <w:rFonts w:eastAsiaTheme="minorEastAsia"/>
          <w:noProof/>
          <w:color w:val="auto"/>
          <w:kern w:val="2"/>
          <w:sz w:val="24"/>
          <w:szCs w:val="24"/>
          <w:lang w:eastAsia="en-AU"/>
          <w14:ligatures w14:val="standardContextual"/>
        </w:rPr>
      </w:pPr>
      <w:hyperlink w:anchor="_Toc215483408" w:history="1">
        <w:r w:rsidRPr="00BB6A7C">
          <w:rPr>
            <w:rStyle w:val="Hyperlink"/>
            <w:noProof/>
          </w:rPr>
          <w:t xml:space="preserve">Non-survey guidelines for plans lodged under Section 32, </w:t>
        </w:r>
        <w:r w:rsidRPr="00BB6A7C">
          <w:rPr>
            <w:rStyle w:val="Hyperlink"/>
            <w:i/>
            <w:noProof/>
          </w:rPr>
          <w:t>Subdivision Act 1988</w:t>
        </w:r>
        <w:r>
          <w:rPr>
            <w:noProof/>
            <w:webHidden/>
          </w:rPr>
          <w:tab/>
        </w:r>
        <w:r>
          <w:rPr>
            <w:noProof/>
            <w:webHidden/>
          </w:rPr>
          <w:fldChar w:fldCharType="begin"/>
        </w:r>
        <w:r>
          <w:rPr>
            <w:noProof/>
            <w:webHidden/>
          </w:rPr>
          <w:instrText xml:space="preserve"> PAGEREF _Toc215483408 \h </w:instrText>
        </w:r>
        <w:r>
          <w:rPr>
            <w:noProof/>
            <w:webHidden/>
          </w:rPr>
        </w:r>
        <w:r>
          <w:rPr>
            <w:noProof/>
            <w:webHidden/>
          </w:rPr>
          <w:fldChar w:fldCharType="separate"/>
        </w:r>
        <w:r>
          <w:rPr>
            <w:noProof/>
            <w:webHidden/>
          </w:rPr>
          <w:t>31</w:t>
        </w:r>
        <w:r>
          <w:rPr>
            <w:noProof/>
            <w:webHidden/>
          </w:rPr>
          <w:fldChar w:fldCharType="end"/>
        </w:r>
      </w:hyperlink>
    </w:p>
    <w:p w14:paraId="09C350B0" w14:textId="040BC1A7" w:rsidR="000C4B00" w:rsidRDefault="000C4B00">
      <w:pPr>
        <w:pStyle w:val="TOC1"/>
        <w:rPr>
          <w:rFonts w:eastAsiaTheme="minorEastAsia"/>
          <w:b w:val="0"/>
          <w:noProof/>
          <w:color w:val="auto"/>
          <w:kern w:val="2"/>
          <w:sz w:val="24"/>
          <w:szCs w:val="24"/>
          <w:lang w:eastAsia="en-AU"/>
          <w14:ligatures w14:val="standardContextual"/>
        </w:rPr>
      </w:pPr>
      <w:hyperlink w:anchor="_Toc215483409" w:history="1">
        <w:r w:rsidRPr="00BB6A7C">
          <w:rPr>
            <w:rStyle w:val="Hyperlink"/>
            <w:noProof/>
          </w:rPr>
          <w:t>Appendix B LUV guidelines for estate subdivisions</w:t>
        </w:r>
        <w:r>
          <w:rPr>
            <w:noProof/>
            <w:webHidden/>
          </w:rPr>
          <w:tab/>
        </w:r>
        <w:r>
          <w:rPr>
            <w:noProof/>
            <w:webHidden/>
          </w:rPr>
          <w:fldChar w:fldCharType="begin"/>
        </w:r>
        <w:r>
          <w:rPr>
            <w:noProof/>
            <w:webHidden/>
          </w:rPr>
          <w:instrText xml:space="preserve"> PAGEREF _Toc215483409 \h </w:instrText>
        </w:r>
        <w:r>
          <w:rPr>
            <w:noProof/>
            <w:webHidden/>
          </w:rPr>
        </w:r>
        <w:r>
          <w:rPr>
            <w:noProof/>
            <w:webHidden/>
          </w:rPr>
          <w:fldChar w:fldCharType="separate"/>
        </w:r>
        <w:r>
          <w:rPr>
            <w:noProof/>
            <w:webHidden/>
          </w:rPr>
          <w:t>32</w:t>
        </w:r>
        <w:r>
          <w:rPr>
            <w:noProof/>
            <w:webHidden/>
          </w:rPr>
          <w:fldChar w:fldCharType="end"/>
        </w:r>
      </w:hyperlink>
    </w:p>
    <w:p w14:paraId="24FB2F41" w14:textId="6A6DFFDF" w:rsidR="000C4B00" w:rsidRDefault="000C4B00">
      <w:pPr>
        <w:pStyle w:val="TOC2"/>
        <w:rPr>
          <w:rFonts w:eastAsiaTheme="minorEastAsia"/>
          <w:noProof/>
          <w:color w:val="auto"/>
          <w:kern w:val="2"/>
          <w:sz w:val="24"/>
          <w:szCs w:val="24"/>
          <w:lang w:eastAsia="en-AU"/>
          <w14:ligatures w14:val="standardContextual"/>
        </w:rPr>
      </w:pPr>
      <w:hyperlink w:anchor="_Toc215483410" w:history="1">
        <w:r w:rsidRPr="00BB6A7C">
          <w:rPr>
            <w:rStyle w:val="Hyperlink"/>
            <w:noProof/>
          </w:rPr>
          <w:t>Supplementary abstract of field records</w:t>
        </w:r>
        <w:r>
          <w:rPr>
            <w:noProof/>
            <w:webHidden/>
          </w:rPr>
          <w:tab/>
        </w:r>
        <w:r>
          <w:rPr>
            <w:noProof/>
            <w:webHidden/>
          </w:rPr>
          <w:fldChar w:fldCharType="begin"/>
        </w:r>
        <w:r>
          <w:rPr>
            <w:noProof/>
            <w:webHidden/>
          </w:rPr>
          <w:instrText xml:space="preserve"> PAGEREF _Toc215483410 \h </w:instrText>
        </w:r>
        <w:r>
          <w:rPr>
            <w:noProof/>
            <w:webHidden/>
          </w:rPr>
        </w:r>
        <w:r>
          <w:rPr>
            <w:noProof/>
            <w:webHidden/>
          </w:rPr>
          <w:fldChar w:fldCharType="separate"/>
        </w:r>
        <w:r>
          <w:rPr>
            <w:noProof/>
            <w:webHidden/>
          </w:rPr>
          <w:t>32</w:t>
        </w:r>
        <w:r>
          <w:rPr>
            <w:noProof/>
            <w:webHidden/>
          </w:rPr>
          <w:fldChar w:fldCharType="end"/>
        </w:r>
      </w:hyperlink>
    </w:p>
    <w:p w14:paraId="535096BF" w14:textId="62328B28" w:rsidR="000C4B00" w:rsidRDefault="000C4B00">
      <w:pPr>
        <w:pStyle w:val="TOC2"/>
        <w:rPr>
          <w:rFonts w:eastAsiaTheme="minorEastAsia"/>
          <w:noProof/>
          <w:color w:val="auto"/>
          <w:kern w:val="2"/>
          <w:sz w:val="24"/>
          <w:szCs w:val="24"/>
          <w:lang w:eastAsia="en-AU"/>
          <w14:ligatures w14:val="standardContextual"/>
        </w:rPr>
      </w:pPr>
      <w:hyperlink w:anchor="_Toc215483411" w:history="1">
        <w:r w:rsidRPr="00BB6A7C">
          <w:rPr>
            <w:rStyle w:val="Hyperlink"/>
            <w:noProof/>
          </w:rPr>
          <w:t>Licensed surveyor’s report</w:t>
        </w:r>
        <w:r>
          <w:rPr>
            <w:noProof/>
            <w:webHidden/>
          </w:rPr>
          <w:tab/>
        </w:r>
        <w:r>
          <w:rPr>
            <w:noProof/>
            <w:webHidden/>
          </w:rPr>
          <w:fldChar w:fldCharType="begin"/>
        </w:r>
        <w:r>
          <w:rPr>
            <w:noProof/>
            <w:webHidden/>
          </w:rPr>
          <w:instrText xml:space="preserve"> PAGEREF _Toc215483411 \h </w:instrText>
        </w:r>
        <w:r>
          <w:rPr>
            <w:noProof/>
            <w:webHidden/>
          </w:rPr>
        </w:r>
        <w:r>
          <w:rPr>
            <w:noProof/>
            <w:webHidden/>
          </w:rPr>
          <w:fldChar w:fldCharType="separate"/>
        </w:r>
        <w:r>
          <w:rPr>
            <w:noProof/>
            <w:webHidden/>
          </w:rPr>
          <w:t>32</w:t>
        </w:r>
        <w:r>
          <w:rPr>
            <w:noProof/>
            <w:webHidden/>
          </w:rPr>
          <w:fldChar w:fldCharType="end"/>
        </w:r>
      </w:hyperlink>
    </w:p>
    <w:p w14:paraId="55B3F7D3" w14:textId="5D209FDF" w:rsidR="000C4B00" w:rsidRDefault="000C4B00">
      <w:pPr>
        <w:pStyle w:val="TOC2"/>
        <w:rPr>
          <w:rFonts w:eastAsiaTheme="minorEastAsia"/>
          <w:noProof/>
          <w:color w:val="auto"/>
          <w:kern w:val="2"/>
          <w:sz w:val="24"/>
          <w:szCs w:val="24"/>
          <w:lang w:eastAsia="en-AU"/>
          <w14:ligatures w14:val="standardContextual"/>
        </w:rPr>
      </w:pPr>
      <w:hyperlink w:anchor="_Toc215483412" w:history="1">
        <w:r w:rsidRPr="00BB6A7C">
          <w:rPr>
            <w:rStyle w:val="Hyperlink"/>
            <w:noProof/>
          </w:rPr>
          <w:t>Examples of licensed surveyor’s reports</w:t>
        </w:r>
        <w:r>
          <w:rPr>
            <w:noProof/>
            <w:webHidden/>
          </w:rPr>
          <w:tab/>
        </w:r>
        <w:r>
          <w:rPr>
            <w:noProof/>
            <w:webHidden/>
          </w:rPr>
          <w:fldChar w:fldCharType="begin"/>
        </w:r>
        <w:r>
          <w:rPr>
            <w:noProof/>
            <w:webHidden/>
          </w:rPr>
          <w:instrText xml:space="preserve"> PAGEREF _Toc215483412 \h </w:instrText>
        </w:r>
        <w:r>
          <w:rPr>
            <w:noProof/>
            <w:webHidden/>
          </w:rPr>
        </w:r>
        <w:r>
          <w:rPr>
            <w:noProof/>
            <w:webHidden/>
          </w:rPr>
          <w:fldChar w:fldCharType="separate"/>
        </w:r>
        <w:r>
          <w:rPr>
            <w:noProof/>
            <w:webHidden/>
          </w:rPr>
          <w:t>33</w:t>
        </w:r>
        <w:r>
          <w:rPr>
            <w:noProof/>
            <w:webHidden/>
          </w:rPr>
          <w:fldChar w:fldCharType="end"/>
        </w:r>
      </w:hyperlink>
    </w:p>
    <w:p w14:paraId="74373CB4" w14:textId="2F89B70E" w:rsidR="000C4B00" w:rsidRDefault="000C4B00">
      <w:pPr>
        <w:pStyle w:val="TOC1"/>
        <w:rPr>
          <w:rFonts w:eastAsiaTheme="minorEastAsia"/>
          <w:b w:val="0"/>
          <w:noProof/>
          <w:color w:val="auto"/>
          <w:kern w:val="2"/>
          <w:sz w:val="24"/>
          <w:szCs w:val="24"/>
          <w:lang w:eastAsia="en-AU"/>
          <w14:ligatures w14:val="standardContextual"/>
        </w:rPr>
      </w:pPr>
      <w:hyperlink w:anchor="_Toc215483413" w:history="1">
        <w:r w:rsidRPr="00BB6A7C">
          <w:rPr>
            <w:rStyle w:val="Hyperlink"/>
            <w:noProof/>
          </w:rPr>
          <w:t>Appendix C Abbreviations used in this document</w:t>
        </w:r>
        <w:r>
          <w:rPr>
            <w:noProof/>
            <w:webHidden/>
          </w:rPr>
          <w:tab/>
        </w:r>
        <w:r>
          <w:rPr>
            <w:noProof/>
            <w:webHidden/>
          </w:rPr>
          <w:fldChar w:fldCharType="begin"/>
        </w:r>
        <w:r>
          <w:rPr>
            <w:noProof/>
            <w:webHidden/>
          </w:rPr>
          <w:instrText xml:space="preserve"> PAGEREF _Toc215483413 \h </w:instrText>
        </w:r>
        <w:r>
          <w:rPr>
            <w:noProof/>
            <w:webHidden/>
          </w:rPr>
        </w:r>
        <w:r>
          <w:rPr>
            <w:noProof/>
            <w:webHidden/>
          </w:rPr>
          <w:fldChar w:fldCharType="separate"/>
        </w:r>
        <w:r>
          <w:rPr>
            <w:noProof/>
            <w:webHidden/>
          </w:rPr>
          <w:t>34</w:t>
        </w:r>
        <w:r>
          <w:rPr>
            <w:noProof/>
            <w:webHidden/>
          </w:rPr>
          <w:fldChar w:fldCharType="end"/>
        </w:r>
      </w:hyperlink>
    </w:p>
    <w:p w14:paraId="77A5AB77" w14:textId="0620CA8B" w:rsidR="005209F0" w:rsidRDefault="00F7790A" w:rsidP="00CA022C">
      <w:r>
        <w:fldChar w:fldCharType="end"/>
      </w:r>
    </w:p>
    <w:bookmarkEnd w:id="0"/>
    <w:p w14:paraId="758381C5" w14:textId="272D60BB" w:rsidR="001D7902" w:rsidRPr="001D7902" w:rsidRDefault="001D7902" w:rsidP="00CA022C"/>
    <w:p w14:paraId="51165009" w14:textId="77777777" w:rsidR="00781ABD" w:rsidRDefault="00781ABD">
      <w:r>
        <w:br w:type="page"/>
      </w:r>
    </w:p>
    <w:p w14:paraId="3E04523E" w14:textId="26CB8E80" w:rsidR="007D3823" w:rsidRDefault="007D3823" w:rsidP="00CA022C">
      <w:pPr>
        <w:pStyle w:val="TOCHeading"/>
      </w:pPr>
      <w:r w:rsidRPr="007D3823">
        <w:lastRenderedPageBreak/>
        <w:t>A</w:t>
      </w:r>
      <w:r>
        <w:t>cknowledgement of Country</w:t>
      </w:r>
    </w:p>
    <w:p w14:paraId="7592EE78" w14:textId="77777777" w:rsidR="00FD2EF0" w:rsidRDefault="00FD2EF0">
      <w:pPr>
        <w:sectPr w:rsidR="00FD2EF0" w:rsidSect="00CA022C">
          <w:footerReference w:type="default" r:id="rId25"/>
          <w:type w:val="continuous"/>
          <w:pgSz w:w="11906" w:h="16838"/>
          <w:pgMar w:top="1758" w:right="567" w:bottom="1531" w:left="567" w:header="851" w:footer="510" w:gutter="0"/>
          <w:pgNumType w:start="0"/>
          <w:cols w:space="708"/>
          <w:titlePg/>
          <w:docGrid w:linePitch="360"/>
        </w:sectPr>
      </w:pPr>
    </w:p>
    <w:p w14:paraId="000158D9" w14:textId="77777777" w:rsidR="0020148C" w:rsidRDefault="0020148C" w:rsidP="003F23DF">
      <w:pPr>
        <w:pStyle w:val="Heading6"/>
        <w:spacing w:before="107" w:line="218" w:lineRule="auto"/>
        <w:ind w:right="591"/>
      </w:pPr>
    </w:p>
    <w:p w14:paraId="358CEF33" w14:textId="7F411CF8" w:rsidR="003F23DF" w:rsidRDefault="003F23DF" w:rsidP="003F23DF">
      <w:pPr>
        <w:pStyle w:val="Heading6"/>
        <w:spacing w:before="107" w:line="218" w:lineRule="auto"/>
        <w:ind w:right="591"/>
      </w:pPr>
      <w:r>
        <w:t>We</w:t>
      </w:r>
      <w:r>
        <w:rPr>
          <w:spacing w:val="-9"/>
        </w:rPr>
        <w:t xml:space="preserve"> </w:t>
      </w:r>
      <w:r>
        <w:t>proudly</w:t>
      </w:r>
      <w:r>
        <w:rPr>
          <w:spacing w:val="-9"/>
        </w:rPr>
        <w:t xml:space="preserve"> </w:t>
      </w:r>
      <w:r>
        <w:t>acknowledge</w:t>
      </w:r>
      <w:r>
        <w:rPr>
          <w:spacing w:val="-9"/>
        </w:rPr>
        <w:t xml:space="preserve"> </w:t>
      </w:r>
      <w:r>
        <w:t>First Peoples throughout Victoria for</w:t>
      </w:r>
      <w:r>
        <w:rPr>
          <w:spacing w:val="-11"/>
        </w:rPr>
        <w:t xml:space="preserve"> </w:t>
      </w:r>
      <w:r>
        <w:t>their</w:t>
      </w:r>
      <w:r>
        <w:rPr>
          <w:spacing w:val="-11"/>
        </w:rPr>
        <w:t xml:space="preserve"> </w:t>
      </w:r>
      <w:r>
        <w:t>ongoing</w:t>
      </w:r>
      <w:r>
        <w:rPr>
          <w:spacing w:val="-11"/>
        </w:rPr>
        <w:t xml:space="preserve"> </w:t>
      </w:r>
      <w:r>
        <w:t>strength</w:t>
      </w:r>
      <w:r>
        <w:rPr>
          <w:spacing w:val="-11"/>
        </w:rPr>
        <w:t xml:space="preserve"> </w:t>
      </w:r>
      <w:r>
        <w:t>and resilience</w:t>
      </w:r>
      <w:r>
        <w:rPr>
          <w:spacing w:val="-15"/>
        </w:rPr>
        <w:t xml:space="preserve"> </w:t>
      </w:r>
      <w:r>
        <w:t>in</w:t>
      </w:r>
      <w:r>
        <w:rPr>
          <w:spacing w:val="-15"/>
        </w:rPr>
        <w:t xml:space="preserve"> </w:t>
      </w:r>
      <w:r>
        <w:t>practising</w:t>
      </w:r>
      <w:r>
        <w:rPr>
          <w:spacing w:val="-15"/>
        </w:rPr>
        <w:t xml:space="preserve"> </w:t>
      </w:r>
      <w:r>
        <w:t>the</w:t>
      </w:r>
      <w:r>
        <w:rPr>
          <w:spacing w:val="-15"/>
        </w:rPr>
        <w:t xml:space="preserve"> </w:t>
      </w:r>
      <w:r>
        <w:t>world’s oldest living culture.</w:t>
      </w:r>
    </w:p>
    <w:p w14:paraId="7AC14094" w14:textId="77777777" w:rsidR="003F23DF" w:rsidRDefault="003F23DF" w:rsidP="003F23DF">
      <w:pPr>
        <w:pStyle w:val="BodyText"/>
        <w:spacing w:before="6"/>
        <w:rPr>
          <w:rFonts w:ascii="VIC Light"/>
          <w:sz w:val="27"/>
        </w:rPr>
      </w:pPr>
    </w:p>
    <w:p w14:paraId="62D771CA" w14:textId="77777777" w:rsidR="003F23DF" w:rsidRDefault="003F23DF" w:rsidP="003F23DF">
      <w:pPr>
        <w:pStyle w:val="BodyText"/>
        <w:spacing w:line="218" w:lineRule="auto"/>
        <w:rPr>
          <w:rFonts w:ascii="VIC Light"/>
        </w:rPr>
      </w:pPr>
      <w:r>
        <w:rPr>
          <w:rFonts w:ascii="VIC Light"/>
          <w:color w:val="212429"/>
        </w:rPr>
        <w:t>We acknowledge the Traditional Owners of the lands,</w:t>
      </w:r>
      <w:r>
        <w:rPr>
          <w:rFonts w:ascii="VIC Light"/>
          <w:color w:val="212429"/>
          <w:spacing w:val="-5"/>
        </w:rPr>
        <w:t xml:space="preserve"> </w:t>
      </w:r>
      <w:r>
        <w:rPr>
          <w:rFonts w:ascii="VIC Light"/>
          <w:color w:val="212429"/>
        </w:rPr>
        <w:t>waters</w:t>
      </w:r>
      <w:r>
        <w:rPr>
          <w:rFonts w:ascii="VIC Light"/>
          <w:color w:val="212429"/>
          <w:spacing w:val="-5"/>
        </w:rPr>
        <w:t xml:space="preserve"> </w:t>
      </w:r>
      <w:r>
        <w:rPr>
          <w:rFonts w:ascii="VIC Light"/>
          <w:color w:val="212429"/>
        </w:rPr>
        <w:t>and</w:t>
      </w:r>
      <w:r>
        <w:rPr>
          <w:rFonts w:ascii="VIC Light"/>
          <w:color w:val="212429"/>
          <w:spacing w:val="-5"/>
        </w:rPr>
        <w:t xml:space="preserve"> </w:t>
      </w:r>
      <w:r>
        <w:rPr>
          <w:rFonts w:ascii="VIC Light"/>
          <w:color w:val="212429"/>
        </w:rPr>
        <w:t>skies</w:t>
      </w:r>
      <w:r>
        <w:rPr>
          <w:rFonts w:ascii="VIC Light"/>
          <w:color w:val="212429"/>
          <w:spacing w:val="-5"/>
        </w:rPr>
        <w:t xml:space="preserve"> </w:t>
      </w:r>
      <w:r>
        <w:rPr>
          <w:rFonts w:ascii="VIC Light"/>
          <w:color w:val="212429"/>
        </w:rPr>
        <w:t>on</w:t>
      </w:r>
      <w:r>
        <w:rPr>
          <w:rFonts w:ascii="VIC Light"/>
          <w:color w:val="212429"/>
          <w:spacing w:val="-5"/>
        </w:rPr>
        <w:t xml:space="preserve"> </w:t>
      </w:r>
      <w:r>
        <w:rPr>
          <w:rFonts w:ascii="VIC Light"/>
          <w:color w:val="212429"/>
        </w:rPr>
        <w:t>which</w:t>
      </w:r>
      <w:r>
        <w:rPr>
          <w:rFonts w:ascii="VIC Light"/>
          <w:color w:val="212429"/>
          <w:spacing w:val="-5"/>
        </w:rPr>
        <w:t xml:space="preserve"> </w:t>
      </w:r>
      <w:r>
        <w:rPr>
          <w:rFonts w:ascii="VIC Light"/>
          <w:color w:val="212429"/>
        </w:rPr>
        <w:t>we</w:t>
      </w:r>
      <w:r>
        <w:rPr>
          <w:rFonts w:ascii="VIC Light"/>
          <w:color w:val="212429"/>
          <w:spacing w:val="-5"/>
        </w:rPr>
        <w:t xml:space="preserve"> </w:t>
      </w:r>
      <w:r>
        <w:rPr>
          <w:rFonts w:ascii="VIC Light"/>
          <w:color w:val="212429"/>
        </w:rPr>
        <w:t>live</w:t>
      </w:r>
      <w:r>
        <w:rPr>
          <w:rFonts w:ascii="VIC Light"/>
          <w:color w:val="212429"/>
          <w:spacing w:val="-5"/>
        </w:rPr>
        <w:t xml:space="preserve"> </w:t>
      </w:r>
      <w:r>
        <w:rPr>
          <w:rFonts w:ascii="VIC Light"/>
          <w:color w:val="212429"/>
        </w:rPr>
        <w:t>and</w:t>
      </w:r>
      <w:r>
        <w:rPr>
          <w:rFonts w:ascii="VIC Light"/>
          <w:color w:val="212429"/>
          <w:spacing w:val="-5"/>
        </w:rPr>
        <w:t xml:space="preserve"> </w:t>
      </w:r>
      <w:r>
        <w:rPr>
          <w:rFonts w:ascii="VIC Light"/>
          <w:color w:val="212429"/>
        </w:rPr>
        <w:t>work, and their unique ability to care for Country and deep spiritual connection to it.</w:t>
      </w:r>
    </w:p>
    <w:p w14:paraId="5A74EFB7" w14:textId="6FC26E27" w:rsidR="003F23DF" w:rsidRDefault="003F23DF" w:rsidP="003F23DF">
      <w:pPr>
        <w:pStyle w:val="BodyText"/>
        <w:spacing w:before="165" w:line="218" w:lineRule="auto"/>
        <w:ind w:right="215"/>
        <w:rPr>
          <w:rFonts w:ascii="VIC Light"/>
        </w:rPr>
      </w:pPr>
      <w:r>
        <w:rPr>
          <w:rFonts w:ascii="VIC Light"/>
          <w:color w:val="212429"/>
        </w:rPr>
        <w:t>We pay our respects to Elders past and present whose knowledge and wisdom has ensured the continuation of spiritual and cultural practices. We acknowledge the use of Song Lines as an integral</w:t>
      </w:r>
      <w:r>
        <w:rPr>
          <w:rFonts w:ascii="VIC Light"/>
          <w:color w:val="212429"/>
          <w:spacing w:val="-8"/>
        </w:rPr>
        <w:t xml:space="preserve"> </w:t>
      </w:r>
      <w:r>
        <w:rPr>
          <w:rFonts w:ascii="VIC Light"/>
          <w:color w:val="212429"/>
        </w:rPr>
        <w:t>part</w:t>
      </w:r>
      <w:r>
        <w:rPr>
          <w:rFonts w:ascii="VIC Light"/>
          <w:color w:val="212429"/>
          <w:spacing w:val="-8"/>
        </w:rPr>
        <w:t xml:space="preserve"> </w:t>
      </w:r>
      <w:r>
        <w:rPr>
          <w:rFonts w:ascii="VIC Light"/>
          <w:color w:val="212429"/>
        </w:rPr>
        <w:t>of</w:t>
      </w:r>
      <w:r>
        <w:rPr>
          <w:rFonts w:ascii="VIC Light"/>
          <w:color w:val="212429"/>
          <w:spacing w:val="-8"/>
        </w:rPr>
        <w:t xml:space="preserve"> </w:t>
      </w:r>
      <w:r>
        <w:rPr>
          <w:rFonts w:ascii="VIC Light"/>
          <w:color w:val="212429"/>
        </w:rPr>
        <w:t>First</w:t>
      </w:r>
      <w:r>
        <w:rPr>
          <w:rFonts w:ascii="VIC Light"/>
          <w:color w:val="212429"/>
          <w:spacing w:val="-8"/>
        </w:rPr>
        <w:t xml:space="preserve"> </w:t>
      </w:r>
      <w:r>
        <w:rPr>
          <w:rFonts w:ascii="VIC Light"/>
          <w:color w:val="212429"/>
        </w:rPr>
        <w:t>Peoples</w:t>
      </w:r>
      <w:r>
        <w:rPr>
          <w:rFonts w:ascii="VIC Light"/>
          <w:color w:val="212429"/>
          <w:spacing w:val="-8"/>
        </w:rPr>
        <w:t xml:space="preserve"> </w:t>
      </w:r>
      <w:r>
        <w:rPr>
          <w:rFonts w:ascii="VIC Light"/>
          <w:color w:val="212429"/>
        </w:rPr>
        <w:t>Culture.</w:t>
      </w:r>
      <w:r>
        <w:rPr>
          <w:rFonts w:ascii="VIC Light"/>
          <w:color w:val="212429"/>
          <w:spacing w:val="-8"/>
        </w:rPr>
        <w:t xml:space="preserve"> </w:t>
      </w:r>
      <w:r>
        <w:rPr>
          <w:rFonts w:ascii="VIC Light"/>
          <w:color w:val="212429"/>
        </w:rPr>
        <w:t>Song</w:t>
      </w:r>
      <w:r>
        <w:rPr>
          <w:rFonts w:ascii="VIC Light"/>
          <w:color w:val="212429"/>
          <w:spacing w:val="-8"/>
        </w:rPr>
        <w:t xml:space="preserve"> </w:t>
      </w:r>
      <w:r>
        <w:rPr>
          <w:rFonts w:ascii="VIC Light"/>
          <w:color w:val="212429"/>
        </w:rPr>
        <w:t>Lines connected our First Peoples to their journeys.</w:t>
      </w:r>
      <w:r>
        <w:rPr>
          <w:rFonts w:ascii="VIC Light"/>
        </w:rPr>
        <w:t xml:space="preserve"> </w:t>
      </w:r>
      <w:r>
        <w:rPr>
          <w:rFonts w:ascii="VIC Light"/>
          <w:color w:val="212429"/>
        </w:rPr>
        <w:t>They</w:t>
      </w:r>
      <w:r>
        <w:rPr>
          <w:rFonts w:ascii="VIC Light"/>
          <w:color w:val="212429"/>
          <w:spacing w:val="-9"/>
        </w:rPr>
        <w:t xml:space="preserve"> </w:t>
      </w:r>
      <w:r>
        <w:rPr>
          <w:rFonts w:ascii="VIC Light"/>
          <w:color w:val="212429"/>
        </w:rPr>
        <w:t>have</w:t>
      </w:r>
      <w:r>
        <w:rPr>
          <w:rFonts w:ascii="VIC Light"/>
          <w:color w:val="212429"/>
          <w:spacing w:val="-9"/>
        </w:rPr>
        <w:t xml:space="preserve"> </w:t>
      </w:r>
      <w:r>
        <w:rPr>
          <w:rFonts w:ascii="VIC Light"/>
          <w:color w:val="212429"/>
        </w:rPr>
        <w:t>a</w:t>
      </w:r>
      <w:r>
        <w:rPr>
          <w:rFonts w:ascii="VIC Light"/>
          <w:color w:val="212429"/>
          <w:spacing w:val="-9"/>
        </w:rPr>
        <w:t xml:space="preserve"> </w:t>
      </w:r>
      <w:r>
        <w:rPr>
          <w:rFonts w:ascii="VIC Light"/>
          <w:color w:val="212429"/>
        </w:rPr>
        <w:t>cultural</w:t>
      </w:r>
      <w:r>
        <w:rPr>
          <w:rFonts w:ascii="VIC Light"/>
          <w:color w:val="212429"/>
          <w:spacing w:val="-9"/>
        </w:rPr>
        <w:t xml:space="preserve"> </w:t>
      </w:r>
      <w:r>
        <w:rPr>
          <w:rFonts w:ascii="VIC Light"/>
          <w:color w:val="212429"/>
        </w:rPr>
        <w:t>significance</w:t>
      </w:r>
      <w:r>
        <w:rPr>
          <w:rFonts w:ascii="VIC Light"/>
          <w:color w:val="212429"/>
          <w:spacing w:val="-9"/>
        </w:rPr>
        <w:t xml:space="preserve"> </w:t>
      </w:r>
      <w:r>
        <w:rPr>
          <w:rFonts w:ascii="VIC Light"/>
          <w:color w:val="212429"/>
        </w:rPr>
        <w:t>as</w:t>
      </w:r>
      <w:r>
        <w:rPr>
          <w:rFonts w:ascii="VIC Light"/>
          <w:color w:val="212429"/>
          <w:spacing w:val="-9"/>
        </w:rPr>
        <w:t xml:space="preserve"> </w:t>
      </w:r>
      <w:r>
        <w:rPr>
          <w:rFonts w:ascii="VIC Light"/>
          <w:color w:val="212429"/>
        </w:rPr>
        <w:t>trade</w:t>
      </w:r>
      <w:r>
        <w:rPr>
          <w:rFonts w:ascii="VIC Light"/>
          <w:color w:val="212429"/>
          <w:spacing w:val="-9"/>
        </w:rPr>
        <w:t xml:space="preserve"> </w:t>
      </w:r>
      <w:r>
        <w:rPr>
          <w:rFonts w:ascii="VIC Light"/>
          <w:color w:val="212429"/>
        </w:rPr>
        <w:t>routes and ceremonial paths and play an important role in connecting shared stories between Traditional Owner Groups. We acknowledge</w:t>
      </w:r>
      <w:r>
        <w:rPr>
          <w:rFonts w:ascii="VIC Light"/>
        </w:rPr>
        <w:t xml:space="preserve"> </w:t>
      </w:r>
      <w:r>
        <w:rPr>
          <w:rFonts w:ascii="VIC Light"/>
          <w:color w:val="212429"/>
        </w:rPr>
        <w:t>that</w:t>
      </w:r>
      <w:r>
        <w:rPr>
          <w:rFonts w:ascii="VIC Light"/>
          <w:color w:val="212429"/>
          <w:spacing w:val="-5"/>
        </w:rPr>
        <w:t xml:space="preserve"> </w:t>
      </w:r>
      <w:r>
        <w:rPr>
          <w:rFonts w:ascii="VIC Light"/>
          <w:color w:val="212429"/>
        </w:rPr>
        <w:t>some</w:t>
      </w:r>
      <w:r>
        <w:rPr>
          <w:rFonts w:ascii="VIC Light"/>
          <w:color w:val="212429"/>
          <w:spacing w:val="-5"/>
        </w:rPr>
        <w:t xml:space="preserve"> </w:t>
      </w:r>
      <w:r>
        <w:rPr>
          <w:rFonts w:ascii="VIC Light"/>
          <w:color w:val="212429"/>
        </w:rPr>
        <w:t>of</w:t>
      </w:r>
      <w:r>
        <w:rPr>
          <w:rFonts w:ascii="VIC Light"/>
          <w:color w:val="212429"/>
          <w:spacing w:val="-5"/>
        </w:rPr>
        <w:t xml:space="preserve"> </w:t>
      </w:r>
      <w:r>
        <w:rPr>
          <w:rFonts w:ascii="VIC Light"/>
          <w:color w:val="212429"/>
        </w:rPr>
        <w:t>the</w:t>
      </w:r>
      <w:r>
        <w:rPr>
          <w:rFonts w:ascii="VIC Light"/>
          <w:color w:val="212429"/>
          <w:spacing w:val="-5"/>
        </w:rPr>
        <w:t xml:space="preserve"> </w:t>
      </w:r>
      <w:r>
        <w:rPr>
          <w:rFonts w:ascii="VIC Light"/>
          <w:color w:val="212429"/>
        </w:rPr>
        <w:t>transport</w:t>
      </w:r>
      <w:r>
        <w:rPr>
          <w:rFonts w:ascii="VIC Light"/>
          <w:color w:val="212429"/>
          <w:spacing w:val="-5"/>
        </w:rPr>
        <w:t xml:space="preserve"> </w:t>
      </w:r>
      <w:r>
        <w:rPr>
          <w:rFonts w:ascii="VIC Light"/>
          <w:color w:val="212429"/>
        </w:rPr>
        <w:t>network</w:t>
      </w:r>
      <w:r>
        <w:rPr>
          <w:rFonts w:ascii="VIC Light"/>
          <w:color w:val="212429"/>
          <w:spacing w:val="-5"/>
        </w:rPr>
        <w:t xml:space="preserve"> </w:t>
      </w:r>
      <w:r>
        <w:rPr>
          <w:rFonts w:ascii="VIC Light"/>
          <w:color w:val="212429"/>
        </w:rPr>
        <w:t>is</w:t>
      </w:r>
      <w:r>
        <w:rPr>
          <w:rFonts w:ascii="VIC Light"/>
          <w:color w:val="212429"/>
          <w:spacing w:val="-5"/>
        </w:rPr>
        <w:t xml:space="preserve"> </w:t>
      </w:r>
      <w:r>
        <w:rPr>
          <w:rFonts w:ascii="VIC Light"/>
          <w:color w:val="212429"/>
        </w:rPr>
        <w:t>on</w:t>
      </w:r>
      <w:r>
        <w:rPr>
          <w:rFonts w:ascii="VIC Light"/>
          <w:color w:val="212429"/>
          <w:spacing w:val="-5"/>
        </w:rPr>
        <w:t xml:space="preserve"> </w:t>
      </w:r>
      <w:r>
        <w:rPr>
          <w:rFonts w:ascii="VIC Light"/>
          <w:color w:val="212429"/>
        </w:rPr>
        <w:t>those traditional Song Lines.</w:t>
      </w:r>
    </w:p>
    <w:p w14:paraId="531D2622" w14:textId="77777777" w:rsidR="003F23DF" w:rsidRDefault="003F23DF" w:rsidP="003F23DF">
      <w:pPr>
        <w:pStyle w:val="BodyText"/>
        <w:spacing w:before="156" w:line="218" w:lineRule="auto"/>
        <w:rPr>
          <w:rFonts w:ascii="VIC Light"/>
        </w:rPr>
      </w:pPr>
      <w:r>
        <w:rPr>
          <w:rFonts w:ascii="VIC Light"/>
          <w:color w:val="212429"/>
        </w:rPr>
        <w:t>We recognise that there are long-lasting, far reaching and intergenerational consequences of colonisation and dispossession. Colonisation has left</w:t>
      </w:r>
      <w:r>
        <w:rPr>
          <w:rFonts w:ascii="VIC Light"/>
          <w:color w:val="212429"/>
          <w:spacing w:val="-10"/>
        </w:rPr>
        <w:t xml:space="preserve"> </w:t>
      </w:r>
      <w:r>
        <w:rPr>
          <w:rFonts w:ascii="VIC Light"/>
          <w:color w:val="212429"/>
        </w:rPr>
        <w:t>entrenched</w:t>
      </w:r>
      <w:r>
        <w:rPr>
          <w:rFonts w:ascii="VIC Light"/>
          <w:color w:val="212429"/>
          <w:spacing w:val="-10"/>
        </w:rPr>
        <w:t xml:space="preserve"> </w:t>
      </w:r>
      <w:r>
        <w:rPr>
          <w:rFonts w:ascii="VIC Light"/>
          <w:color w:val="212429"/>
        </w:rPr>
        <w:t>systemic</w:t>
      </w:r>
      <w:r>
        <w:rPr>
          <w:rFonts w:ascii="VIC Light"/>
          <w:color w:val="212429"/>
          <w:spacing w:val="-10"/>
        </w:rPr>
        <w:t xml:space="preserve"> </w:t>
      </w:r>
      <w:r>
        <w:rPr>
          <w:rFonts w:ascii="VIC Light"/>
          <w:color w:val="212429"/>
        </w:rPr>
        <w:t>and</w:t>
      </w:r>
      <w:r>
        <w:rPr>
          <w:rFonts w:ascii="VIC Light"/>
          <w:color w:val="212429"/>
          <w:spacing w:val="-10"/>
        </w:rPr>
        <w:t xml:space="preserve"> </w:t>
      </w:r>
      <w:r>
        <w:rPr>
          <w:rFonts w:ascii="VIC Light"/>
          <w:color w:val="212429"/>
        </w:rPr>
        <w:t>structural</w:t>
      </w:r>
      <w:r>
        <w:rPr>
          <w:rFonts w:ascii="VIC Light"/>
          <w:color w:val="212429"/>
          <w:spacing w:val="-10"/>
        </w:rPr>
        <w:t xml:space="preserve"> </w:t>
      </w:r>
      <w:r>
        <w:rPr>
          <w:rFonts w:ascii="VIC Light"/>
          <w:color w:val="212429"/>
        </w:rPr>
        <w:t>racism</w:t>
      </w:r>
      <w:r>
        <w:rPr>
          <w:rFonts w:ascii="VIC Light"/>
          <w:color w:val="212429"/>
          <w:spacing w:val="-10"/>
        </w:rPr>
        <w:t xml:space="preserve"> </w:t>
      </w:r>
      <w:r>
        <w:rPr>
          <w:rFonts w:ascii="VIC Light"/>
          <w:color w:val="212429"/>
        </w:rPr>
        <w:t>and suffering, due to laws and policies of colony that had the specific intent of excluding First Peoples and</w:t>
      </w:r>
      <w:r>
        <w:rPr>
          <w:rFonts w:ascii="VIC Light"/>
          <w:color w:val="212429"/>
          <w:spacing w:val="-5"/>
        </w:rPr>
        <w:t xml:space="preserve"> </w:t>
      </w:r>
      <w:r>
        <w:rPr>
          <w:rFonts w:ascii="VIC Light"/>
          <w:color w:val="212429"/>
        </w:rPr>
        <w:t>their</w:t>
      </w:r>
      <w:r>
        <w:rPr>
          <w:rFonts w:ascii="VIC Light"/>
          <w:color w:val="212429"/>
          <w:spacing w:val="-5"/>
        </w:rPr>
        <w:t xml:space="preserve"> </w:t>
      </w:r>
      <w:r>
        <w:rPr>
          <w:rFonts w:ascii="VIC Light"/>
          <w:color w:val="212429"/>
        </w:rPr>
        <w:t>laws,</w:t>
      </w:r>
      <w:r>
        <w:rPr>
          <w:rFonts w:ascii="VIC Light"/>
          <w:color w:val="212429"/>
          <w:spacing w:val="-5"/>
        </w:rPr>
        <w:t xml:space="preserve"> </w:t>
      </w:r>
      <w:r>
        <w:rPr>
          <w:rFonts w:ascii="VIC Light"/>
          <w:color w:val="212429"/>
        </w:rPr>
        <w:t>lore,</w:t>
      </w:r>
      <w:r>
        <w:rPr>
          <w:rFonts w:ascii="VIC Light"/>
          <w:color w:val="212429"/>
          <w:spacing w:val="-6"/>
        </w:rPr>
        <w:t xml:space="preserve"> </w:t>
      </w:r>
      <w:r>
        <w:rPr>
          <w:rFonts w:ascii="VIC Light"/>
          <w:color w:val="212429"/>
        </w:rPr>
        <w:t>customs,</w:t>
      </w:r>
      <w:r>
        <w:rPr>
          <w:rFonts w:ascii="VIC Light"/>
          <w:color w:val="212429"/>
          <w:spacing w:val="-5"/>
        </w:rPr>
        <w:t xml:space="preserve"> </w:t>
      </w:r>
      <w:r>
        <w:rPr>
          <w:rFonts w:ascii="VIC Light"/>
          <w:color w:val="212429"/>
        </w:rPr>
        <w:t>language</w:t>
      </w:r>
      <w:r>
        <w:rPr>
          <w:rFonts w:ascii="VIC Light"/>
          <w:color w:val="212429"/>
          <w:spacing w:val="-5"/>
        </w:rPr>
        <w:t xml:space="preserve"> </w:t>
      </w:r>
      <w:r>
        <w:rPr>
          <w:rFonts w:ascii="VIC Light"/>
          <w:color w:val="212429"/>
        </w:rPr>
        <w:t>and</w:t>
      </w:r>
      <w:r>
        <w:rPr>
          <w:rFonts w:ascii="VIC Light"/>
          <w:color w:val="212429"/>
          <w:spacing w:val="-5"/>
        </w:rPr>
        <w:t xml:space="preserve"> </w:t>
      </w:r>
      <w:r>
        <w:rPr>
          <w:rFonts w:ascii="VIC Light"/>
          <w:color w:val="212429"/>
        </w:rPr>
        <w:t>culture.</w:t>
      </w:r>
    </w:p>
    <w:p w14:paraId="3A95B390" w14:textId="4844BD3B" w:rsidR="003F23DF" w:rsidRDefault="003F23DF" w:rsidP="003F23DF">
      <w:pPr>
        <w:pStyle w:val="BodyText"/>
        <w:spacing w:before="162" w:line="218" w:lineRule="auto"/>
        <w:ind w:right="215"/>
        <w:rPr>
          <w:rFonts w:ascii="VIC Light"/>
        </w:rPr>
      </w:pPr>
      <w:r>
        <w:rPr>
          <w:rFonts w:ascii="VIC Light"/>
          <w:color w:val="212429"/>
        </w:rPr>
        <w:t>We</w:t>
      </w:r>
      <w:r>
        <w:rPr>
          <w:rFonts w:ascii="VIC Light"/>
          <w:color w:val="212429"/>
          <w:spacing w:val="-8"/>
        </w:rPr>
        <w:t xml:space="preserve"> </w:t>
      </w:r>
      <w:r>
        <w:rPr>
          <w:rFonts w:ascii="VIC Light"/>
          <w:color w:val="212429"/>
        </w:rPr>
        <w:t>acknowledge</w:t>
      </w:r>
      <w:r>
        <w:rPr>
          <w:rFonts w:ascii="VIC Light"/>
          <w:color w:val="212429"/>
          <w:spacing w:val="-8"/>
        </w:rPr>
        <w:t xml:space="preserve"> </w:t>
      </w:r>
      <w:r>
        <w:rPr>
          <w:rFonts w:ascii="VIC Light"/>
          <w:color w:val="212429"/>
        </w:rPr>
        <w:t>that</w:t>
      </w:r>
      <w:r>
        <w:rPr>
          <w:rFonts w:ascii="VIC Light"/>
          <w:color w:val="212429"/>
          <w:spacing w:val="-8"/>
        </w:rPr>
        <w:t xml:space="preserve"> </w:t>
      </w:r>
      <w:r>
        <w:rPr>
          <w:rFonts w:ascii="VIC Light"/>
          <w:color w:val="212429"/>
        </w:rPr>
        <w:t>the</w:t>
      </w:r>
      <w:r>
        <w:rPr>
          <w:rFonts w:ascii="VIC Light"/>
          <w:color w:val="212429"/>
          <w:spacing w:val="-8"/>
        </w:rPr>
        <w:t xml:space="preserve"> </w:t>
      </w:r>
      <w:r>
        <w:rPr>
          <w:rFonts w:ascii="VIC Light"/>
          <w:color w:val="212429"/>
        </w:rPr>
        <w:t>impact</w:t>
      </w:r>
      <w:r>
        <w:rPr>
          <w:rFonts w:ascii="VIC Light"/>
          <w:color w:val="212429"/>
          <w:spacing w:val="-8"/>
        </w:rPr>
        <w:t xml:space="preserve"> </w:t>
      </w:r>
      <w:r>
        <w:rPr>
          <w:rFonts w:ascii="VIC Light"/>
          <w:color w:val="212429"/>
        </w:rPr>
        <w:t>and</w:t>
      </w:r>
      <w:r>
        <w:rPr>
          <w:rFonts w:ascii="VIC Light"/>
          <w:color w:val="212429"/>
          <w:spacing w:val="-8"/>
        </w:rPr>
        <w:t xml:space="preserve"> </w:t>
      </w:r>
      <w:r>
        <w:rPr>
          <w:rFonts w:ascii="VIC Light"/>
          <w:color w:val="212429"/>
        </w:rPr>
        <w:t>structures of colonisation still exist today, and that these</w:t>
      </w:r>
      <w:r>
        <w:rPr>
          <w:rFonts w:ascii="VIC Light"/>
        </w:rPr>
        <w:t xml:space="preserve"> </w:t>
      </w:r>
      <w:r>
        <w:rPr>
          <w:rFonts w:ascii="VIC Light"/>
          <w:color w:val="212429"/>
        </w:rPr>
        <w:t>continue</w:t>
      </w:r>
      <w:r>
        <w:rPr>
          <w:rFonts w:ascii="VIC Light"/>
          <w:color w:val="212429"/>
          <w:spacing w:val="-9"/>
        </w:rPr>
        <w:t xml:space="preserve"> </w:t>
      </w:r>
      <w:r>
        <w:rPr>
          <w:rFonts w:ascii="VIC Light"/>
          <w:color w:val="212429"/>
        </w:rPr>
        <w:t>to</w:t>
      </w:r>
      <w:r>
        <w:rPr>
          <w:rFonts w:ascii="VIC Light"/>
          <w:color w:val="212429"/>
          <w:spacing w:val="-9"/>
        </w:rPr>
        <w:t xml:space="preserve"> </w:t>
      </w:r>
      <w:r>
        <w:rPr>
          <w:rFonts w:ascii="VIC Light"/>
          <w:color w:val="212429"/>
        </w:rPr>
        <w:t>cause</w:t>
      </w:r>
      <w:r>
        <w:rPr>
          <w:rFonts w:ascii="VIC Light"/>
          <w:color w:val="212429"/>
          <w:spacing w:val="-9"/>
        </w:rPr>
        <w:t xml:space="preserve"> </w:t>
      </w:r>
      <w:r>
        <w:rPr>
          <w:rFonts w:ascii="VIC Light"/>
          <w:color w:val="212429"/>
        </w:rPr>
        <w:t>harm.</w:t>
      </w:r>
      <w:r>
        <w:rPr>
          <w:rFonts w:ascii="VIC Light"/>
          <w:color w:val="212429"/>
          <w:spacing w:val="-9"/>
        </w:rPr>
        <w:t xml:space="preserve"> </w:t>
      </w:r>
      <w:r>
        <w:rPr>
          <w:rFonts w:ascii="VIC Light"/>
          <w:color w:val="212429"/>
        </w:rPr>
        <w:t>The</w:t>
      </w:r>
      <w:r>
        <w:rPr>
          <w:rFonts w:ascii="VIC Light"/>
          <w:color w:val="212429"/>
          <w:spacing w:val="-9"/>
        </w:rPr>
        <w:t xml:space="preserve"> </w:t>
      </w:r>
      <w:r>
        <w:rPr>
          <w:rFonts w:ascii="VIC Light"/>
          <w:color w:val="212429"/>
        </w:rPr>
        <w:t>Victorian</w:t>
      </w:r>
      <w:r>
        <w:rPr>
          <w:rFonts w:ascii="VIC Light"/>
          <w:color w:val="212429"/>
          <w:spacing w:val="-9"/>
        </w:rPr>
        <w:t xml:space="preserve"> </w:t>
      </w:r>
      <w:r>
        <w:rPr>
          <w:rFonts w:ascii="VIC Light"/>
          <w:color w:val="212429"/>
        </w:rPr>
        <w:t>Government has a responsibility to transform its systems and service delivery so that Traditional Owners and First Peoples are the ones to hold decision-making power over the matters that affect their lives.</w:t>
      </w:r>
    </w:p>
    <w:p w14:paraId="1C165CE1" w14:textId="77777777" w:rsidR="003F23DF" w:rsidRDefault="003F23DF" w:rsidP="003F23DF">
      <w:pPr>
        <w:pStyle w:val="BodyText"/>
        <w:spacing w:before="162" w:line="218" w:lineRule="auto"/>
        <w:rPr>
          <w:rFonts w:ascii="VIC Light"/>
        </w:rPr>
      </w:pPr>
      <w:r>
        <w:rPr>
          <w:rFonts w:ascii="VIC Light"/>
          <w:color w:val="212429"/>
        </w:rPr>
        <w:t>As</w:t>
      </w:r>
      <w:r>
        <w:rPr>
          <w:rFonts w:ascii="VIC Light"/>
          <w:color w:val="212429"/>
          <w:spacing w:val="-6"/>
        </w:rPr>
        <w:t xml:space="preserve"> </w:t>
      </w:r>
      <w:r>
        <w:rPr>
          <w:rFonts w:ascii="VIC Light"/>
          <w:color w:val="212429"/>
        </w:rPr>
        <w:t>we</w:t>
      </w:r>
      <w:r>
        <w:rPr>
          <w:rFonts w:ascii="VIC Light"/>
          <w:color w:val="212429"/>
          <w:spacing w:val="-6"/>
        </w:rPr>
        <w:t xml:space="preserve"> </w:t>
      </w:r>
      <w:r>
        <w:rPr>
          <w:rFonts w:ascii="VIC Light"/>
          <w:color w:val="212429"/>
        </w:rPr>
        <w:t>work</w:t>
      </w:r>
      <w:r>
        <w:rPr>
          <w:rFonts w:ascii="VIC Light"/>
          <w:color w:val="212429"/>
          <w:spacing w:val="-6"/>
        </w:rPr>
        <w:t xml:space="preserve"> </w:t>
      </w:r>
      <w:r>
        <w:rPr>
          <w:rFonts w:ascii="VIC Light"/>
          <w:color w:val="212429"/>
        </w:rPr>
        <w:t>towards</w:t>
      </w:r>
      <w:r>
        <w:rPr>
          <w:rFonts w:ascii="VIC Light"/>
          <w:color w:val="212429"/>
          <w:spacing w:val="-6"/>
        </w:rPr>
        <w:t xml:space="preserve"> </w:t>
      </w:r>
      <w:r>
        <w:rPr>
          <w:rFonts w:ascii="VIC Light"/>
          <w:color w:val="212429"/>
        </w:rPr>
        <w:t>achieving</w:t>
      </w:r>
      <w:r>
        <w:rPr>
          <w:rFonts w:ascii="VIC Light"/>
          <w:color w:val="212429"/>
          <w:spacing w:val="-6"/>
        </w:rPr>
        <w:t xml:space="preserve"> </w:t>
      </w:r>
      <w:r>
        <w:rPr>
          <w:rFonts w:ascii="VIC Light"/>
          <w:color w:val="212429"/>
        </w:rPr>
        <w:t>our</w:t>
      </w:r>
      <w:r>
        <w:rPr>
          <w:rFonts w:ascii="VIC Light"/>
          <w:color w:val="212429"/>
          <w:spacing w:val="-6"/>
        </w:rPr>
        <w:t xml:space="preserve"> </w:t>
      </w:r>
      <w:r>
        <w:rPr>
          <w:rFonts w:ascii="VIC Light"/>
          <w:color w:val="212429"/>
        </w:rPr>
        <w:t>vision</w:t>
      </w:r>
      <w:r>
        <w:rPr>
          <w:rFonts w:ascii="VIC Light"/>
          <w:color w:val="212429"/>
          <w:spacing w:val="-6"/>
        </w:rPr>
        <w:t xml:space="preserve"> </w:t>
      </w:r>
      <w:r>
        <w:rPr>
          <w:rFonts w:ascii="VIC Light"/>
          <w:color w:val="212429"/>
        </w:rPr>
        <w:t>of</w:t>
      </w:r>
      <w:r>
        <w:rPr>
          <w:rFonts w:ascii="VIC Light"/>
          <w:color w:val="212429"/>
          <w:spacing w:val="-6"/>
        </w:rPr>
        <w:t xml:space="preserve"> </w:t>
      </w:r>
      <w:r>
        <w:rPr>
          <w:rFonts w:ascii="VIC Light"/>
          <w:color w:val="212429"/>
        </w:rPr>
        <w:t>thriving places and connected communities we recognise the contribution of First Peoples to Victorian life, and how this continues to enrich our society.</w:t>
      </w:r>
    </w:p>
    <w:p w14:paraId="11EF4EEC" w14:textId="2AB4819F" w:rsidR="003F23DF" w:rsidRDefault="003F23DF" w:rsidP="003F23DF">
      <w:pPr>
        <w:pStyle w:val="BodyText"/>
        <w:spacing w:before="165" w:line="218" w:lineRule="auto"/>
        <w:ind w:right="352"/>
        <w:rPr>
          <w:rFonts w:ascii="VIC Light"/>
        </w:rPr>
      </w:pPr>
      <w:r>
        <w:rPr>
          <w:rFonts w:ascii="VIC Light"/>
          <w:color w:val="212429"/>
        </w:rPr>
        <w:t>We acknowledge that Aboriginal self- determination is a human right enshrined in the</w:t>
      </w:r>
      <w:r>
        <w:rPr>
          <w:rFonts w:ascii="VIC Light"/>
          <w:color w:val="212429"/>
          <w:spacing w:val="-7"/>
        </w:rPr>
        <w:t xml:space="preserve"> </w:t>
      </w:r>
      <w:r>
        <w:rPr>
          <w:rFonts w:ascii="VIC Light"/>
          <w:color w:val="212429"/>
        </w:rPr>
        <w:t>United</w:t>
      </w:r>
      <w:r>
        <w:rPr>
          <w:rFonts w:ascii="VIC Light"/>
          <w:color w:val="212429"/>
          <w:spacing w:val="-7"/>
        </w:rPr>
        <w:t xml:space="preserve"> </w:t>
      </w:r>
      <w:r>
        <w:rPr>
          <w:rFonts w:ascii="VIC Light"/>
          <w:color w:val="212429"/>
        </w:rPr>
        <w:t>Nations</w:t>
      </w:r>
      <w:r>
        <w:rPr>
          <w:rFonts w:ascii="VIC Light"/>
          <w:color w:val="212429"/>
          <w:spacing w:val="-7"/>
        </w:rPr>
        <w:t xml:space="preserve"> </w:t>
      </w:r>
      <w:r>
        <w:rPr>
          <w:rFonts w:ascii="VIC Light"/>
          <w:color w:val="212429"/>
        </w:rPr>
        <w:t>Declaration</w:t>
      </w:r>
      <w:r>
        <w:rPr>
          <w:rFonts w:ascii="VIC Light"/>
          <w:color w:val="212429"/>
          <w:spacing w:val="-7"/>
        </w:rPr>
        <w:t xml:space="preserve"> </w:t>
      </w:r>
      <w:r>
        <w:rPr>
          <w:rFonts w:ascii="VIC Light"/>
          <w:color w:val="212429"/>
        </w:rPr>
        <w:t>on</w:t>
      </w:r>
      <w:r>
        <w:rPr>
          <w:rFonts w:ascii="VIC Light"/>
          <w:color w:val="212429"/>
          <w:spacing w:val="-7"/>
        </w:rPr>
        <w:t xml:space="preserve"> </w:t>
      </w:r>
      <w:r>
        <w:rPr>
          <w:rFonts w:ascii="VIC Light"/>
          <w:color w:val="212429"/>
        </w:rPr>
        <w:t>the</w:t>
      </w:r>
      <w:r>
        <w:rPr>
          <w:rFonts w:ascii="VIC Light"/>
          <w:color w:val="212429"/>
          <w:spacing w:val="-7"/>
        </w:rPr>
        <w:t xml:space="preserve"> </w:t>
      </w:r>
      <w:r>
        <w:rPr>
          <w:rFonts w:ascii="VIC Light"/>
          <w:color w:val="212429"/>
        </w:rPr>
        <w:t>Rights</w:t>
      </w:r>
      <w:r>
        <w:rPr>
          <w:rFonts w:ascii="VIC Light"/>
          <w:color w:val="212429"/>
          <w:spacing w:val="-7"/>
        </w:rPr>
        <w:t xml:space="preserve"> </w:t>
      </w:r>
      <w:r>
        <w:rPr>
          <w:rFonts w:ascii="VIC Light"/>
          <w:color w:val="212429"/>
        </w:rPr>
        <w:t>of</w:t>
      </w:r>
      <w:r>
        <w:rPr>
          <w:rFonts w:ascii="VIC Light"/>
        </w:rPr>
        <w:t xml:space="preserve"> </w:t>
      </w:r>
      <w:r>
        <w:rPr>
          <w:rFonts w:ascii="VIC Light"/>
          <w:color w:val="212429"/>
        </w:rPr>
        <w:t>Indigenous</w:t>
      </w:r>
      <w:r>
        <w:rPr>
          <w:rFonts w:ascii="VIC Light"/>
          <w:color w:val="212429"/>
          <w:spacing w:val="-8"/>
        </w:rPr>
        <w:t xml:space="preserve"> </w:t>
      </w:r>
      <w:r>
        <w:rPr>
          <w:rFonts w:ascii="VIC Light"/>
          <w:color w:val="212429"/>
        </w:rPr>
        <w:t>Peoples</w:t>
      </w:r>
      <w:r>
        <w:rPr>
          <w:rFonts w:ascii="VIC Light"/>
          <w:color w:val="212429"/>
          <w:spacing w:val="-8"/>
        </w:rPr>
        <w:t xml:space="preserve"> </w:t>
      </w:r>
      <w:r>
        <w:rPr>
          <w:rFonts w:ascii="VIC Light"/>
          <w:color w:val="212429"/>
        </w:rPr>
        <w:t>and</w:t>
      </w:r>
      <w:r>
        <w:rPr>
          <w:rFonts w:ascii="VIC Light"/>
          <w:color w:val="212429"/>
          <w:spacing w:val="-8"/>
        </w:rPr>
        <w:t xml:space="preserve"> </w:t>
      </w:r>
      <w:r>
        <w:rPr>
          <w:rFonts w:ascii="VIC Light"/>
          <w:color w:val="212429"/>
        </w:rPr>
        <w:t>recognise</w:t>
      </w:r>
      <w:r>
        <w:rPr>
          <w:rFonts w:ascii="VIC Light"/>
          <w:color w:val="212429"/>
          <w:spacing w:val="-8"/>
        </w:rPr>
        <w:t xml:space="preserve"> </w:t>
      </w:r>
      <w:r>
        <w:rPr>
          <w:rFonts w:ascii="VIC Light"/>
          <w:color w:val="212429"/>
        </w:rPr>
        <w:t>the</w:t>
      </w:r>
      <w:r>
        <w:rPr>
          <w:rFonts w:ascii="VIC Light"/>
          <w:color w:val="212429"/>
          <w:spacing w:val="-8"/>
        </w:rPr>
        <w:t xml:space="preserve"> </w:t>
      </w:r>
      <w:r>
        <w:rPr>
          <w:rFonts w:ascii="VIC Light"/>
          <w:color w:val="212429"/>
        </w:rPr>
        <w:t>hard</w:t>
      </w:r>
      <w:r>
        <w:rPr>
          <w:rFonts w:ascii="VIC Light"/>
          <w:color w:val="212429"/>
          <w:spacing w:val="-8"/>
        </w:rPr>
        <w:t xml:space="preserve"> </w:t>
      </w:r>
      <w:r>
        <w:rPr>
          <w:rFonts w:ascii="VIC Light"/>
          <w:color w:val="212429"/>
        </w:rPr>
        <w:t>work of many generations of First Peoples who have fought for these rights to be recognised.</w:t>
      </w:r>
    </w:p>
    <w:p w14:paraId="6F54C8B8" w14:textId="35B6161F" w:rsidR="00265C38" w:rsidRDefault="003F23DF">
      <w:r>
        <w:rPr>
          <w:noProof/>
        </w:rPr>
        <mc:AlternateContent>
          <mc:Choice Requires="wps">
            <w:drawing>
              <wp:anchor distT="0" distB="0" distL="0" distR="0" simplePos="0" relativeHeight="251658250" behindDoc="1" locked="0" layoutInCell="1" allowOverlap="1" wp14:anchorId="257B7BAE" wp14:editId="0D448294">
                <wp:simplePos x="0" y="0"/>
                <wp:positionH relativeFrom="page">
                  <wp:posOffset>251460</wp:posOffset>
                </wp:positionH>
                <wp:positionV relativeFrom="page">
                  <wp:posOffset>251460</wp:posOffset>
                </wp:positionV>
                <wp:extent cx="7056120" cy="1018857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6120" cy="10188575"/>
                        </a:xfrm>
                        <a:custGeom>
                          <a:avLst/>
                          <a:gdLst/>
                          <a:ahLst/>
                          <a:cxnLst/>
                          <a:rect l="l" t="t" r="r" b="b"/>
                          <a:pathLst>
                            <a:path w="7056120" h="10188575">
                              <a:moveTo>
                                <a:pt x="7056005" y="0"/>
                              </a:moveTo>
                              <a:lnTo>
                                <a:pt x="0" y="0"/>
                              </a:lnTo>
                              <a:lnTo>
                                <a:pt x="0" y="10188003"/>
                              </a:lnTo>
                              <a:lnTo>
                                <a:pt x="7056005" y="10188003"/>
                              </a:lnTo>
                              <a:lnTo>
                                <a:pt x="7056005" y="0"/>
                              </a:lnTo>
                              <a:close/>
                            </a:path>
                          </a:pathLst>
                        </a:custGeom>
                        <a:solidFill>
                          <a:srgbClr val="DFFAF3"/>
                        </a:solidFill>
                      </wps:spPr>
                      <wps:bodyPr wrap="square" lIns="0" tIns="0" rIns="0" bIns="0" rtlCol="0">
                        <a:prstTxWarp prst="textNoShape">
                          <a:avLst/>
                        </a:prstTxWarp>
                        <a:noAutofit/>
                      </wps:bodyPr>
                    </wps:wsp>
                  </a:graphicData>
                </a:graphic>
              </wp:anchor>
            </w:drawing>
          </mc:Choice>
          <mc:Fallback>
            <w:pict>
              <v:shape w14:anchorId="25F0A05A" id="Graphic 31" o:spid="_x0000_s1026" style="position:absolute;margin-left:19.8pt;margin-top:19.8pt;width:555.6pt;height:802.25pt;z-index:-251658230;visibility:visible;mso-wrap-style:square;mso-wrap-distance-left:0;mso-wrap-distance-top:0;mso-wrap-distance-right:0;mso-wrap-distance-bottom:0;mso-position-horizontal:absolute;mso-position-horizontal-relative:page;mso-position-vertical:absolute;mso-position-vertical-relative:page;v-text-anchor:top" coordsize="7056120,1018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" path="m7056005,l,,,10188003r7056005,l7056005,xe" fillcolor="#dffaf3" stroked="f">
                <v:path arrowok="t"/>
                <w10:wrap anchorx="page" anchory="page"/>
              </v:shape>
            </w:pict>
          </mc:Fallback>
        </mc:AlternateContent>
      </w:r>
      <w:r>
        <w:rPr>
          <w:rFonts w:ascii="VIC Light"/>
          <w:noProof/>
        </w:rPr>
        <w:drawing>
          <wp:inline distT="0" distB="0" distL="0" distR="0" wp14:anchorId="0D5CE3FE" wp14:editId="3FA32C4A">
            <wp:extent cx="2846551" cy="282854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6" cstate="print"/>
                    <a:stretch>
                      <a:fillRect/>
                    </a:stretch>
                  </pic:blipFill>
                  <pic:spPr>
                    <a:xfrm>
                      <a:off x="0" y="0"/>
                      <a:ext cx="2846551" cy="2828544"/>
                    </a:xfrm>
                    <a:prstGeom prst="rect">
                      <a:avLst/>
                    </a:prstGeom>
                  </pic:spPr>
                </pic:pic>
              </a:graphicData>
            </a:graphic>
          </wp:inline>
        </w:drawing>
      </w:r>
    </w:p>
    <w:p w14:paraId="32824565" w14:textId="77777777" w:rsidR="00265C38" w:rsidRDefault="00265C38"/>
    <w:p w14:paraId="24C39E95" w14:textId="77777777" w:rsidR="003F23DF" w:rsidRDefault="003F23DF" w:rsidP="003F23DF">
      <w:pPr>
        <w:pStyle w:val="BodyText"/>
        <w:spacing w:before="10"/>
        <w:rPr>
          <w:rFonts w:ascii="VIC Medium"/>
        </w:rPr>
      </w:pPr>
      <w:r>
        <w:rPr>
          <w:noProof/>
        </w:rPr>
        <mc:AlternateContent>
          <mc:Choice Requires="wps">
            <w:drawing>
              <wp:anchor distT="0" distB="0" distL="0" distR="0" simplePos="0" relativeHeight="251658249" behindDoc="1" locked="0" layoutInCell="1" allowOverlap="1" wp14:anchorId="11A53155" wp14:editId="09625436">
                <wp:simplePos x="0" y="0"/>
                <wp:positionH relativeFrom="page">
                  <wp:posOffset>3962362</wp:posOffset>
                </wp:positionH>
                <wp:positionV relativeFrom="paragraph">
                  <wp:posOffset>167633</wp:posOffset>
                </wp:positionV>
                <wp:extent cx="126364" cy="133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33350"/>
                        </a:xfrm>
                        <a:custGeom>
                          <a:avLst/>
                          <a:gdLst/>
                          <a:ahLst/>
                          <a:cxnLst/>
                          <a:rect l="l" t="t" r="r" b="b"/>
                          <a:pathLst>
                            <a:path w="126364" h="133350">
                              <a:moveTo>
                                <a:pt x="63004" y="0"/>
                              </a:moveTo>
                              <a:lnTo>
                                <a:pt x="0" y="133273"/>
                              </a:lnTo>
                              <a:lnTo>
                                <a:pt x="125996" y="133299"/>
                              </a:lnTo>
                              <a:lnTo>
                                <a:pt x="63004" y="0"/>
                              </a:lnTo>
                              <a:close/>
                            </a:path>
                          </a:pathLst>
                        </a:custGeom>
                        <a:solidFill>
                          <a:srgbClr val="03A59D"/>
                        </a:solidFill>
                      </wps:spPr>
                      <wps:bodyPr wrap="square" lIns="0" tIns="0" rIns="0" bIns="0" rtlCol="0">
                        <a:prstTxWarp prst="textNoShape">
                          <a:avLst/>
                        </a:prstTxWarp>
                        <a:noAutofit/>
                      </wps:bodyPr>
                    </wps:wsp>
                  </a:graphicData>
                </a:graphic>
              </wp:anchor>
            </w:drawing>
          </mc:Choice>
          <mc:Fallback>
            <w:pict>
              <v:shape w14:anchorId="04088CD9" id="Graphic 30" o:spid="_x0000_s1026" style="position:absolute;margin-left:312pt;margin-top:13.2pt;width:9.95pt;height:10.5pt;z-index:-251658231;visibility:visible;mso-wrap-style:square;mso-wrap-distance-left:0;mso-wrap-distance-top:0;mso-wrap-distance-right:0;mso-wrap-distance-bottom:0;mso-position-horizontal:absolute;mso-position-horizontal-relative:page;mso-position-vertical:absolute;mso-position-vertical-relative:text;v-text-anchor:top" coordsize="126364,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" path="m63004,l,133273r125996,26l63004,xe" fillcolor="#03a59d" stroked="f">
                <v:path arrowok="t"/>
                <w10:wrap type="topAndBottom" anchorx="page"/>
              </v:shape>
            </w:pict>
          </mc:Fallback>
        </mc:AlternateContent>
      </w:r>
    </w:p>
    <w:p w14:paraId="0A22B4FB" w14:textId="286423F1" w:rsidR="003F23DF" w:rsidRPr="003F23DF" w:rsidRDefault="003F23DF" w:rsidP="003F23DF">
      <w:pPr>
        <w:pStyle w:val="BodyText"/>
        <w:spacing w:before="10"/>
        <w:rPr>
          <w:rFonts w:ascii="VIC Light"/>
          <w:sz w:val="17"/>
        </w:rPr>
      </w:pPr>
      <w:r>
        <w:rPr>
          <w:rFonts w:ascii="VIC Medium"/>
        </w:rPr>
        <w:t>Description</w:t>
      </w:r>
      <w:r>
        <w:rPr>
          <w:rFonts w:ascii="VIC Medium"/>
          <w:spacing w:val="-1"/>
        </w:rPr>
        <w:t xml:space="preserve"> </w:t>
      </w:r>
      <w:r>
        <w:rPr>
          <w:rFonts w:ascii="VIC Medium"/>
        </w:rPr>
        <w:t>of</w:t>
      </w:r>
      <w:r>
        <w:rPr>
          <w:rFonts w:ascii="VIC Medium"/>
          <w:spacing w:val="-1"/>
        </w:rPr>
        <w:t xml:space="preserve"> </w:t>
      </w:r>
      <w:r>
        <w:rPr>
          <w:rFonts w:ascii="VIC Medium"/>
          <w:spacing w:val="-2"/>
        </w:rPr>
        <w:t>artwork</w:t>
      </w:r>
    </w:p>
    <w:p w14:paraId="7085A585" w14:textId="77777777" w:rsidR="003F23DF" w:rsidRDefault="003F23DF" w:rsidP="003F23DF">
      <w:pPr>
        <w:spacing w:before="36" w:line="213" w:lineRule="auto"/>
        <w:ind w:right="560"/>
        <w:rPr>
          <w:rFonts w:ascii="VIC Light" w:hAnsi="VIC Light"/>
          <w:sz w:val="16"/>
        </w:rPr>
      </w:pPr>
      <w:r>
        <w:rPr>
          <w:rFonts w:ascii="VIC Light" w:hAnsi="VIC Light"/>
          <w:sz w:val="16"/>
        </w:rPr>
        <w:t>Aaron</w:t>
      </w:r>
      <w:r>
        <w:rPr>
          <w:rFonts w:ascii="VIC Light" w:hAnsi="VIC Light"/>
          <w:spacing w:val="-10"/>
          <w:sz w:val="16"/>
        </w:rPr>
        <w:t xml:space="preserve"> </w:t>
      </w:r>
      <w:r>
        <w:rPr>
          <w:rFonts w:ascii="VIC Light" w:hAnsi="VIC Light"/>
          <w:sz w:val="16"/>
        </w:rPr>
        <w:t>(Gunaikurnai)</w:t>
      </w:r>
      <w:r>
        <w:rPr>
          <w:rFonts w:ascii="VIC Light" w:hAnsi="VIC Light"/>
          <w:spacing w:val="-10"/>
          <w:sz w:val="16"/>
        </w:rPr>
        <w:t xml:space="preserve"> </w:t>
      </w:r>
      <w:r>
        <w:rPr>
          <w:rFonts w:ascii="VIC Light" w:hAnsi="VIC Light"/>
          <w:sz w:val="16"/>
        </w:rPr>
        <w:t>‘Movements</w:t>
      </w:r>
      <w:r>
        <w:rPr>
          <w:rFonts w:ascii="VIC Light" w:hAnsi="VIC Light"/>
          <w:spacing w:val="-10"/>
          <w:sz w:val="16"/>
        </w:rPr>
        <w:t xml:space="preserve"> </w:t>
      </w:r>
      <w:r>
        <w:rPr>
          <w:rFonts w:ascii="VIC Light" w:hAnsi="VIC Light"/>
          <w:sz w:val="16"/>
        </w:rPr>
        <w:t>Between</w:t>
      </w:r>
      <w:r>
        <w:rPr>
          <w:rFonts w:ascii="VIC Light" w:hAnsi="VIC Light"/>
          <w:spacing w:val="-10"/>
          <w:sz w:val="16"/>
        </w:rPr>
        <w:t xml:space="preserve"> </w:t>
      </w:r>
      <w:r>
        <w:rPr>
          <w:rFonts w:ascii="VIC Light" w:hAnsi="VIC Light"/>
          <w:sz w:val="16"/>
        </w:rPr>
        <w:t>the</w:t>
      </w:r>
      <w:r>
        <w:rPr>
          <w:rFonts w:ascii="VIC Light" w:hAnsi="VIC Light"/>
          <w:spacing w:val="-10"/>
          <w:sz w:val="16"/>
        </w:rPr>
        <w:t xml:space="preserve"> </w:t>
      </w:r>
      <w:r>
        <w:rPr>
          <w:rFonts w:ascii="VIC Light" w:hAnsi="VIC Light"/>
          <w:sz w:val="16"/>
        </w:rPr>
        <w:t>Five</w:t>
      </w:r>
      <w:r>
        <w:rPr>
          <w:rFonts w:ascii="VIC Light" w:hAnsi="VIC Light"/>
          <w:spacing w:val="-10"/>
          <w:sz w:val="16"/>
        </w:rPr>
        <w:t xml:space="preserve"> </w:t>
      </w:r>
      <w:r>
        <w:rPr>
          <w:rFonts w:ascii="VIC Light" w:hAnsi="VIC Light"/>
          <w:sz w:val="16"/>
        </w:rPr>
        <w:t>Clans’ 2019, acrylic on canvas.</w:t>
      </w:r>
    </w:p>
    <w:p w14:paraId="78B79CA6" w14:textId="4A7122FA" w:rsidR="003F23DF" w:rsidRDefault="003F23DF" w:rsidP="003F23DF">
      <w:pPr>
        <w:spacing w:line="213" w:lineRule="auto"/>
        <w:ind w:right="560"/>
        <w:rPr>
          <w:rFonts w:ascii="VIC Light" w:hAnsi="VIC Light"/>
          <w:sz w:val="16"/>
        </w:rPr>
      </w:pPr>
      <w:r>
        <w:rPr>
          <w:rFonts w:ascii="VIC Light" w:hAnsi="VIC Light"/>
          <w:sz w:val="16"/>
        </w:rPr>
        <w:t xml:space="preserve">‘The tracks are going between the </w:t>
      </w:r>
      <w:r w:rsidR="0094303E">
        <w:rPr>
          <w:rFonts w:ascii="VIC Light" w:hAnsi="VIC Light"/>
          <w:sz w:val="16"/>
        </w:rPr>
        <w:t>5</w:t>
      </w:r>
      <w:r>
        <w:rPr>
          <w:rFonts w:ascii="VIC Light" w:hAnsi="VIC Light"/>
          <w:sz w:val="16"/>
        </w:rPr>
        <w:t xml:space="preserve"> clans of the Gunaikurnai</w:t>
      </w:r>
      <w:r>
        <w:rPr>
          <w:rFonts w:ascii="VIC Light" w:hAnsi="VIC Light"/>
          <w:spacing w:val="-5"/>
          <w:sz w:val="16"/>
        </w:rPr>
        <w:t xml:space="preserve"> </w:t>
      </w:r>
      <w:r>
        <w:rPr>
          <w:rFonts w:ascii="VIC Light" w:hAnsi="VIC Light"/>
          <w:sz w:val="16"/>
        </w:rPr>
        <w:t>and</w:t>
      </w:r>
      <w:r>
        <w:rPr>
          <w:rFonts w:ascii="VIC Light" w:hAnsi="VIC Light"/>
          <w:spacing w:val="-5"/>
          <w:sz w:val="16"/>
        </w:rPr>
        <w:t xml:space="preserve"> </w:t>
      </w:r>
      <w:r>
        <w:rPr>
          <w:rFonts w:ascii="VIC Light" w:hAnsi="VIC Light"/>
          <w:sz w:val="16"/>
        </w:rPr>
        <w:t>the</w:t>
      </w:r>
      <w:r>
        <w:rPr>
          <w:rFonts w:ascii="VIC Light" w:hAnsi="VIC Light"/>
          <w:spacing w:val="-5"/>
          <w:sz w:val="16"/>
        </w:rPr>
        <w:t xml:space="preserve"> </w:t>
      </w:r>
      <w:r>
        <w:rPr>
          <w:rFonts w:ascii="VIC Light" w:hAnsi="VIC Light"/>
          <w:sz w:val="16"/>
        </w:rPr>
        <w:t>hands</w:t>
      </w:r>
      <w:r>
        <w:rPr>
          <w:rFonts w:ascii="VIC Light" w:hAnsi="VIC Light"/>
          <w:spacing w:val="-5"/>
          <w:sz w:val="16"/>
        </w:rPr>
        <w:t xml:space="preserve"> </w:t>
      </w:r>
      <w:r>
        <w:rPr>
          <w:rFonts w:ascii="VIC Light" w:hAnsi="VIC Light"/>
          <w:sz w:val="16"/>
        </w:rPr>
        <w:t>are</w:t>
      </w:r>
      <w:r>
        <w:rPr>
          <w:rFonts w:ascii="VIC Light" w:hAnsi="VIC Light"/>
          <w:spacing w:val="-5"/>
          <w:sz w:val="16"/>
        </w:rPr>
        <w:t xml:space="preserve"> </w:t>
      </w:r>
      <w:r>
        <w:rPr>
          <w:rFonts w:ascii="VIC Light" w:hAnsi="VIC Light"/>
          <w:sz w:val="16"/>
        </w:rPr>
        <w:t>the</w:t>
      </w:r>
      <w:r>
        <w:rPr>
          <w:rFonts w:ascii="VIC Light" w:hAnsi="VIC Light"/>
          <w:spacing w:val="-5"/>
          <w:sz w:val="16"/>
        </w:rPr>
        <w:t xml:space="preserve"> </w:t>
      </w:r>
      <w:r>
        <w:rPr>
          <w:rFonts w:ascii="VIC Light" w:hAnsi="VIC Light"/>
          <w:sz w:val="16"/>
        </w:rPr>
        <w:t>symbols</w:t>
      </w:r>
      <w:r>
        <w:rPr>
          <w:rFonts w:ascii="VIC Light" w:hAnsi="VIC Light"/>
          <w:spacing w:val="-5"/>
          <w:sz w:val="16"/>
        </w:rPr>
        <w:t xml:space="preserve"> </w:t>
      </w:r>
      <w:r>
        <w:rPr>
          <w:rFonts w:ascii="VIC Light" w:hAnsi="VIC Light"/>
          <w:sz w:val="16"/>
        </w:rPr>
        <w:t>of</w:t>
      </w:r>
      <w:r>
        <w:rPr>
          <w:rFonts w:ascii="VIC Light" w:hAnsi="VIC Light"/>
          <w:spacing w:val="-5"/>
          <w:sz w:val="16"/>
        </w:rPr>
        <w:t xml:space="preserve"> </w:t>
      </w:r>
      <w:r>
        <w:rPr>
          <w:rFonts w:ascii="VIC Light" w:hAnsi="VIC Light"/>
          <w:sz w:val="16"/>
        </w:rPr>
        <w:t>my</w:t>
      </w:r>
      <w:r>
        <w:rPr>
          <w:rFonts w:ascii="VIC Light" w:hAnsi="VIC Light"/>
          <w:spacing w:val="-5"/>
          <w:sz w:val="16"/>
        </w:rPr>
        <w:t xml:space="preserve"> </w:t>
      </w:r>
      <w:r>
        <w:rPr>
          <w:rFonts w:ascii="VIC Light" w:hAnsi="VIC Light"/>
          <w:sz w:val="16"/>
        </w:rPr>
        <w:t>spirit travelling around the campsites.’</w:t>
      </w:r>
    </w:p>
    <w:p w14:paraId="346D0F25" w14:textId="77D732B0" w:rsidR="00265C38" w:rsidRPr="003F23DF" w:rsidRDefault="003F23DF" w:rsidP="003F23DF">
      <w:pPr>
        <w:spacing w:line="213" w:lineRule="auto"/>
        <w:ind w:right="1071"/>
        <w:rPr>
          <w:rFonts w:ascii="VIC Light"/>
          <w:sz w:val="16"/>
        </w:rPr>
      </w:pPr>
      <w:r>
        <w:rPr>
          <w:rFonts w:ascii="VIC Light"/>
          <w:sz w:val="16"/>
        </w:rPr>
        <w:t>This artwork was created through programs provided by</w:t>
      </w:r>
      <w:r>
        <w:rPr>
          <w:rFonts w:ascii="VIC Light"/>
          <w:spacing w:val="-2"/>
          <w:sz w:val="16"/>
        </w:rPr>
        <w:t xml:space="preserve"> </w:t>
      </w:r>
      <w:r>
        <w:rPr>
          <w:rFonts w:ascii="VIC Light"/>
          <w:sz w:val="16"/>
        </w:rPr>
        <w:t>the</w:t>
      </w:r>
      <w:r>
        <w:rPr>
          <w:rFonts w:ascii="VIC Light"/>
          <w:spacing w:val="-2"/>
          <w:sz w:val="16"/>
        </w:rPr>
        <w:t xml:space="preserve"> </w:t>
      </w:r>
      <w:r>
        <w:rPr>
          <w:rFonts w:ascii="VIC Light"/>
          <w:sz w:val="16"/>
        </w:rPr>
        <w:t>Torch.</w:t>
      </w:r>
      <w:r>
        <w:rPr>
          <w:rFonts w:ascii="VIC Light"/>
          <w:spacing w:val="-2"/>
          <w:sz w:val="16"/>
        </w:rPr>
        <w:t xml:space="preserve"> </w:t>
      </w:r>
      <w:r>
        <w:rPr>
          <w:rFonts w:ascii="VIC Light"/>
          <w:sz w:val="16"/>
        </w:rPr>
        <w:t>The</w:t>
      </w:r>
      <w:r>
        <w:rPr>
          <w:rFonts w:ascii="VIC Light"/>
          <w:spacing w:val="-2"/>
          <w:sz w:val="16"/>
        </w:rPr>
        <w:t xml:space="preserve"> </w:t>
      </w:r>
      <w:r>
        <w:rPr>
          <w:rFonts w:ascii="VIC Light"/>
          <w:sz w:val="16"/>
        </w:rPr>
        <w:t>Torch</w:t>
      </w:r>
      <w:r>
        <w:rPr>
          <w:rFonts w:ascii="VIC Light"/>
          <w:spacing w:val="-2"/>
          <w:sz w:val="16"/>
        </w:rPr>
        <w:t xml:space="preserve"> </w:t>
      </w:r>
      <w:r>
        <w:rPr>
          <w:rFonts w:ascii="VIC Light"/>
          <w:sz w:val="16"/>
        </w:rPr>
        <w:t>provides</w:t>
      </w:r>
      <w:r>
        <w:rPr>
          <w:rFonts w:ascii="VIC Light"/>
          <w:spacing w:val="-2"/>
          <w:sz w:val="16"/>
        </w:rPr>
        <w:t xml:space="preserve"> </w:t>
      </w:r>
      <w:r>
        <w:rPr>
          <w:rFonts w:ascii="VIC Light"/>
          <w:sz w:val="16"/>
        </w:rPr>
        <w:t>art,</w:t>
      </w:r>
      <w:r>
        <w:rPr>
          <w:rFonts w:ascii="VIC Light"/>
          <w:spacing w:val="-2"/>
          <w:sz w:val="16"/>
        </w:rPr>
        <w:t xml:space="preserve"> </w:t>
      </w:r>
      <w:r>
        <w:rPr>
          <w:rFonts w:ascii="VIC Light"/>
          <w:sz w:val="16"/>
        </w:rPr>
        <w:t>cultural</w:t>
      </w:r>
      <w:r>
        <w:rPr>
          <w:rFonts w:ascii="VIC Light"/>
          <w:spacing w:val="-2"/>
          <w:sz w:val="16"/>
        </w:rPr>
        <w:t xml:space="preserve"> </w:t>
      </w:r>
      <w:r>
        <w:rPr>
          <w:rFonts w:ascii="VIC Light"/>
          <w:sz w:val="16"/>
        </w:rPr>
        <w:t>and</w:t>
      </w:r>
      <w:r>
        <w:rPr>
          <w:rFonts w:ascii="VIC Light"/>
          <w:spacing w:val="-2"/>
          <w:sz w:val="16"/>
        </w:rPr>
        <w:t xml:space="preserve"> </w:t>
      </w:r>
      <w:r>
        <w:rPr>
          <w:rFonts w:ascii="VIC Light"/>
          <w:sz w:val="16"/>
        </w:rPr>
        <w:t>arts industry support to Indigenous offenders and ex- offenders in Victoria. The Torch aims to reduce the rate</w:t>
      </w:r>
      <w:r>
        <w:rPr>
          <w:rFonts w:ascii="VIC Light"/>
          <w:spacing w:val="-8"/>
          <w:sz w:val="16"/>
        </w:rPr>
        <w:t xml:space="preserve"> </w:t>
      </w:r>
      <w:r>
        <w:rPr>
          <w:rFonts w:ascii="VIC Light"/>
          <w:sz w:val="16"/>
        </w:rPr>
        <w:t>of</w:t>
      </w:r>
      <w:r>
        <w:rPr>
          <w:rFonts w:ascii="VIC Light"/>
          <w:spacing w:val="-8"/>
          <w:sz w:val="16"/>
        </w:rPr>
        <w:t xml:space="preserve"> </w:t>
      </w:r>
      <w:r>
        <w:rPr>
          <w:rFonts w:ascii="VIC Light"/>
          <w:sz w:val="16"/>
        </w:rPr>
        <w:t>re-offending</w:t>
      </w:r>
      <w:r>
        <w:rPr>
          <w:rFonts w:ascii="VIC Light"/>
          <w:spacing w:val="-8"/>
          <w:sz w:val="16"/>
        </w:rPr>
        <w:t xml:space="preserve"> </w:t>
      </w:r>
      <w:r>
        <w:rPr>
          <w:rFonts w:ascii="VIC Light"/>
          <w:sz w:val="16"/>
        </w:rPr>
        <w:t>by</w:t>
      </w:r>
      <w:r>
        <w:rPr>
          <w:rFonts w:ascii="VIC Light"/>
          <w:spacing w:val="-8"/>
          <w:sz w:val="16"/>
        </w:rPr>
        <w:t xml:space="preserve"> </w:t>
      </w:r>
      <w:r>
        <w:rPr>
          <w:rFonts w:ascii="VIC Light"/>
          <w:sz w:val="16"/>
        </w:rPr>
        <w:t>encouraging</w:t>
      </w:r>
      <w:r>
        <w:rPr>
          <w:rFonts w:ascii="VIC Light"/>
          <w:spacing w:val="-8"/>
          <w:sz w:val="16"/>
        </w:rPr>
        <w:t xml:space="preserve"> </w:t>
      </w:r>
      <w:r>
        <w:rPr>
          <w:rFonts w:ascii="VIC Light"/>
          <w:sz w:val="16"/>
        </w:rPr>
        <w:t>the</w:t>
      </w:r>
      <w:r>
        <w:rPr>
          <w:rFonts w:ascii="VIC Light"/>
          <w:spacing w:val="-8"/>
          <w:sz w:val="16"/>
        </w:rPr>
        <w:t xml:space="preserve"> </w:t>
      </w:r>
      <w:r>
        <w:rPr>
          <w:rFonts w:ascii="VIC Light"/>
          <w:sz w:val="16"/>
        </w:rPr>
        <w:t>exploration</w:t>
      </w:r>
      <w:r>
        <w:rPr>
          <w:rFonts w:ascii="VIC Light"/>
          <w:spacing w:val="-8"/>
          <w:sz w:val="16"/>
        </w:rPr>
        <w:t xml:space="preserve"> </w:t>
      </w:r>
      <w:r>
        <w:rPr>
          <w:rFonts w:ascii="VIC Light"/>
          <w:sz w:val="16"/>
        </w:rPr>
        <w:t>of identity</w:t>
      </w:r>
      <w:r>
        <w:rPr>
          <w:rFonts w:ascii="VIC Light"/>
          <w:spacing w:val="-6"/>
          <w:sz w:val="16"/>
        </w:rPr>
        <w:t xml:space="preserve"> </w:t>
      </w:r>
      <w:r>
        <w:rPr>
          <w:rFonts w:ascii="VIC Light"/>
          <w:sz w:val="16"/>
        </w:rPr>
        <w:t>and</w:t>
      </w:r>
      <w:r>
        <w:rPr>
          <w:rFonts w:ascii="VIC Light"/>
          <w:spacing w:val="-6"/>
          <w:sz w:val="16"/>
        </w:rPr>
        <w:t xml:space="preserve"> </w:t>
      </w:r>
      <w:r>
        <w:rPr>
          <w:rFonts w:ascii="VIC Light"/>
          <w:sz w:val="16"/>
        </w:rPr>
        <w:t>culture</w:t>
      </w:r>
      <w:r>
        <w:rPr>
          <w:rFonts w:ascii="VIC Light"/>
          <w:spacing w:val="-6"/>
          <w:sz w:val="16"/>
        </w:rPr>
        <w:t xml:space="preserve"> </w:t>
      </w:r>
      <w:r>
        <w:rPr>
          <w:rFonts w:ascii="VIC Light"/>
          <w:sz w:val="16"/>
        </w:rPr>
        <w:t>through</w:t>
      </w:r>
      <w:r>
        <w:rPr>
          <w:rFonts w:ascii="VIC Light"/>
          <w:spacing w:val="-6"/>
          <w:sz w:val="16"/>
        </w:rPr>
        <w:t xml:space="preserve"> </w:t>
      </w:r>
      <w:r>
        <w:rPr>
          <w:rFonts w:ascii="VIC Light"/>
          <w:sz w:val="16"/>
        </w:rPr>
        <w:t>art</w:t>
      </w:r>
      <w:r>
        <w:rPr>
          <w:rFonts w:ascii="VIC Light"/>
          <w:spacing w:val="-6"/>
          <w:sz w:val="16"/>
        </w:rPr>
        <w:t xml:space="preserve"> </w:t>
      </w:r>
      <w:r>
        <w:rPr>
          <w:rFonts w:ascii="VIC Light"/>
          <w:sz w:val="16"/>
        </w:rPr>
        <w:t>programs</w:t>
      </w:r>
      <w:r>
        <w:rPr>
          <w:rFonts w:ascii="VIC Light"/>
          <w:spacing w:val="-6"/>
          <w:sz w:val="16"/>
        </w:rPr>
        <w:t xml:space="preserve"> </w:t>
      </w:r>
      <w:r>
        <w:rPr>
          <w:rFonts w:ascii="VIC Light"/>
          <w:sz w:val="16"/>
        </w:rPr>
        <w:t>to</w:t>
      </w:r>
      <w:r>
        <w:rPr>
          <w:rFonts w:ascii="VIC Light"/>
          <w:spacing w:val="-6"/>
          <w:sz w:val="16"/>
        </w:rPr>
        <w:t xml:space="preserve"> </w:t>
      </w:r>
      <w:r>
        <w:rPr>
          <w:rFonts w:ascii="VIC Light"/>
          <w:sz w:val="16"/>
        </w:rPr>
        <w:t>define</w:t>
      </w:r>
      <w:r>
        <w:rPr>
          <w:rFonts w:ascii="VIC Light"/>
          <w:spacing w:val="-6"/>
          <w:sz w:val="16"/>
        </w:rPr>
        <w:t xml:space="preserve"> </w:t>
      </w:r>
      <w:r>
        <w:rPr>
          <w:rFonts w:ascii="VIC Light"/>
          <w:sz w:val="16"/>
        </w:rPr>
        <w:t>new pathways upon release</w:t>
      </w:r>
      <w:r w:rsidR="00E42F83">
        <w:rPr>
          <w:rFonts w:ascii="VIC Light"/>
          <w:sz w:val="16"/>
        </w:rPr>
        <w:t>.</w:t>
      </w:r>
    </w:p>
    <w:p w14:paraId="4DD29700" w14:textId="77777777" w:rsidR="00265C38" w:rsidRDefault="00265C38"/>
    <w:p w14:paraId="7CC04CA9" w14:textId="77777777" w:rsidR="00265C38" w:rsidRDefault="00265C38"/>
    <w:p w14:paraId="29805B5D" w14:textId="77777777" w:rsidR="00265C38" w:rsidRDefault="00265C38"/>
    <w:p w14:paraId="0A88C0B0" w14:textId="77777777" w:rsidR="00265C38" w:rsidRDefault="00265C38"/>
    <w:p w14:paraId="32CD7766" w14:textId="6E392CD5" w:rsidR="00E36085" w:rsidRDefault="00E36085">
      <w:r>
        <w:br w:type="page"/>
      </w:r>
    </w:p>
    <w:p w14:paraId="2279E170" w14:textId="77777777" w:rsidR="00265C38" w:rsidRDefault="00265C38"/>
    <w:p w14:paraId="5C2AB8D4" w14:textId="33F6B989" w:rsidR="003F23DF" w:rsidRDefault="003F23DF">
      <w:pPr>
        <w:sectPr w:rsidR="003F23DF" w:rsidSect="00E42F83">
          <w:type w:val="continuous"/>
          <w:pgSz w:w="11906" w:h="16838"/>
          <w:pgMar w:top="1758" w:right="567" w:bottom="1531" w:left="567" w:header="850" w:footer="510" w:gutter="0"/>
          <w:cols w:num="2" w:space="708"/>
          <w:titlePg/>
          <w:docGrid w:linePitch="360"/>
        </w:sectPr>
      </w:pPr>
    </w:p>
    <w:p w14:paraId="3D663619" w14:textId="2C4C63D3" w:rsidR="00E823B8" w:rsidRDefault="00D64F82" w:rsidP="00541E56">
      <w:pPr>
        <w:pStyle w:val="Heading1-Numbered"/>
      </w:pPr>
      <w:bookmarkStart w:id="1" w:name="_Toc215483326"/>
      <w:r w:rsidRPr="00D64F82">
        <w:t>Cadastral Surveys Practice Directives</w:t>
      </w:r>
      <w:bookmarkEnd w:id="1"/>
    </w:p>
    <w:p w14:paraId="4EC23FA7" w14:textId="77777777" w:rsidR="00C30A1B" w:rsidRDefault="00C30A1B" w:rsidP="00C30A1B">
      <w:pPr>
        <w:pStyle w:val="GreyText"/>
      </w:pPr>
      <w:r>
        <w:t>These practice directives concern the connection of cadastral surveys to the national coordinate and height datum and Survey Control Network (SCN), the preparation of survey documents by a licensed surveyor and other matters relating to cadastral surveying. The following sections detail the requirements of surveyors in fulfilling legislative obligations.</w:t>
      </w:r>
    </w:p>
    <w:p w14:paraId="60CEE9D6" w14:textId="67813084" w:rsidR="00C30A1B" w:rsidRDefault="00C30A1B" w:rsidP="00C30A1B">
      <w:pPr>
        <w:pStyle w:val="GreyText"/>
      </w:pPr>
      <w:r>
        <w:t xml:space="preserve">Current regulations are available for download from the Government’s </w:t>
      </w:r>
      <w:r w:rsidRPr="002F1B1A">
        <w:t>Victorian Law Today</w:t>
      </w:r>
      <w:r>
        <w:t xml:space="preserve"> website at </w:t>
      </w:r>
      <w:hyperlink r:id="rId27" w:history="1">
        <w:r w:rsidRPr="002F1B1A">
          <w:rPr>
            <w:rStyle w:val="Hyperlink"/>
            <w:b/>
          </w:rPr>
          <w:t>www.legislation.vic.gov.au</w:t>
        </w:r>
      </w:hyperlink>
      <w:r>
        <w:t xml:space="preserve">. </w:t>
      </w:r>
    </w:p>
    <w:p w14:paraId="153635E0" w14:textId="38CD5A38" w:rsidR="00E823B8" w:rsidRPr="001D7902" w:rsidRDefault="008E574B" w:rsidP="00541E56">
      <w:pPr>
        <w:pStyle w:val="Heading2-Numbered"/>
      </w:pPr>
      <w:bookmarkStart w:id="2" w:name="_Toc215483327"/>
      <w:r w:rsidRPr="008E574B">
        <w:t>Purpose of Cadastral Surveys Practice Directives</w:t>
      </w:r>
      <w:bookmarkEnd w:id="2"/>
    </w:p>
    <w:p w14:paraId="2BB58E66" w14:textId="397171D2" w:rsidR="00C30A1B" w:rsidRDefault="00C30A1B" w:rsidP="00C30A1B">
      <w:pPr>
        <w:rPr>
          <w:lang w:eastAsia="en-AU"/>
        </w:rPr>
      </w:pPr>
      <w:r w:rsidRPr="00C30A1B">
        <w:rPr>
          <w:lang w:eastAsia="en-AU"/>
        </w:rPr>
        <w:t xml:space="preserve">Under the provisions of the </w:t>
      </w:r>
      <w:r w:rsidRPr="00C30A1B">
        <w:rPr>
          <w:i/>
          <w:lang w:eastAsia="en-AU"/>
        </w:rPr>
        <w:t>Surveying Act 2004</w:t>
      </w:r>
      <w:r w:rsidRPr="00C30A1B">
        <w:rPr>
          <w:lang w:eastAsia="en-AU"/>
        </w:rPr>
        <w:t xml:space="preserve">, </w:t>
      </w:r>
      <w:r w:rsidRPr="00C30A1B" w:rsidDel="0094303E">
        <w:rPr>
          <w:lang w:eastAsia="en-AU"/>
        </w:rPr>
        <w:t>two</w:t>
      </w:r>
      <w:r w:rsidRPr="00C30A1B">
        <w:rPr>
          <w:lang w:eastAsia="en-AU"/>
        </w:rPr>
        <w:t xml:space="preserve"> functions of the Surveyor-General are to ‘set and monitor standards for surveying and survey information’ and ‘monitor surveying matters affecting the Victorian cadastral system’. In accordance with these functions, Surveyor-General Victoria (SGV) issues practice directives to support licensed surveyors in interpreting relevant aspects of the Acts and regulations relating to surveying.</w:t>
      </w:r>
    </w:p>
    <w:p w14:paraId="6CCAF22F" w14:textId="71C8D342" w:rsidR="00B21F7B" w:rsidRPr="00C30A1B" w:rsidRDefault="00B21F7B" w:rsidP="00C30A1B">
      <w:pPr>
        <w:rPr>
          <w:lang w:eastAsia="en-AU"/>
        </w:rPr>
      </w:pPr>
      <w:r w:rsidRPr="00B21F7B">
        <w:rPr>
          <w:lang w:eastAsia="en-AU"/>
        </w:rPr>
        <w:t>These directives support Victoria's transition to a fully digital, spatially accurate cadastral system that enables better planning outcomes, faster property transactions, improved infrastructure delivery, and enhanced emergency response capabilities. Accurate cadastral information is fundamental to the Department of Transport and Planning's objectives of creating liveable, connected communities and supporting sustainable development across Victoria.</w:t>
      </w:r>
    </w:p>
    <w:p w14:paraId="6F24B91E" w14:textId="6456550F" w:rsidR="00C30A1B" w:rsidRPr="00C30A1B" w:rsidRDefault="00C30A1B" w:rsidP="00C30A1B">
      <w:pPr>
        <w:rPr>
          <w:lang w:eastAsia="en-AU"/>
        </w:rPr>
      </w:pPr>
      <w:r w:rsidRPr="00F01A85">
        <w:rPr>
          <w:lang w:eastAsia="en-AU"/>
        </w:rPr>
        <w:t xml:space="preserve">These Victorian Cadastral Surveys Practice Directives, </w:t>
      </w:r>
      <w:r w:rsidR="00C935E1" w:rsidRPr="00F01A85">
        <w:rPr>
          <w:lang w:eastAsia="en-AU"/>
        </w:rPr>
        <w:t>December</w:t>
      </w:r>
      <w:r w:rsidRPr="00F01A85">
        <w:rPr>
          <w:lang w:eastAsia="en-AU"/>
        </w:rPr>
        <w:t xml:space="preserve"> 2025 are effective from </w:t>
      </w:r>
      <w:r w:rsidR="007A2DF0" w:rsidRPr="00F01A85">
        <w:rPr>
          <w:lang w:eastAsia="en-AU"/>
        </w:rPr>
        <w:t>1</w:t>
      </w:r>
      <w:r w:rsidRPr="00F01A85">
        <w:rPr>
          <w:lang w:eastAsia="en-AU"/>
        </w:rPr>
        <w:t xml:space="preserve"> </w:t>
      </w:r>
      <w:r w:rsidR="007A2DF0" w:rsidRPr="00F01A85">
        <w:rPr>
          <w:lang w:eastAsia="en-AU"/>
        </w:rPr>
        <w:t>December</w:t>
      </w:r>
      <w:r w:rsidRPr="00F01A85">
        <w:rPr>
          <w:lang w:eastAsia="en-AU"/>
        </w:rPr>
        <w:t xml:space="preserve"> 2025 and</w:t>
      </w:r>
      <w:r w:rsidRPr="00C30A1B">
        <w:rPr>
          <w:lang w:eastAsia="en-AU"/>
        </w:rPr>
        <w:t xml:space="preserve"> replace the Victorian Cadastral Surveys Practice Directives, July 2021 – Edition 2.</w:t>
      </w:r>
    </w:p>
    <w:p w14:paraId="6EDE9A79" w14:textId="77777777" w:rsidR="00C30A1B" w:rsidRPr="00C30A1B" w:rsidRDefault="00C30A1B" w:rsidP="00C30A1B">
      <w:pPr>
        <w:rPr>
          <w:lang w:eastAsia="en-AU"/>
        </w:rPr>
      </w:pPr>
      <w:r w:rsidRPr="00C30A1B">
        <w:rPr>
          <w:lang w:eastAsia="en-AU"/>
        </w:rPr>
        <w:t>Comments on these practice directives, and other matters relating to cadastral surveying, are welcome from surveyors. All enquiries can be directed to:</w:t>
      </w:r>
    </w:p>
    <w:p w14:paraId="6CD9076B" w14:textId="30EF8C15" w:rsidR="00C30A1B" w:rsidRPr="00C30A1B" w:rsidRDefault="00C30A1B" w:rsidP="00C30A1B">
      <w:pPr>
        <w:rPr>
          <w:lang w:eastAsia="en-AU"/>
        </w:rPr>
      </w:pPr>
      <w:r w:rsidRPr="00C30A1B">
        <w:rPr>
          <w:lang w:eastAsia="en-AU"/>
        </w:rPr>
        <w:t xml:space="preserve">Mr Eddie Cichocki </w:t>
      </w:r>
      <w:r w:rsidRPr="00C30A1B">
        <w:rPr>
          <w:lang w:eastAsia="en-AU"/>
        </w:rPr>
        <w:br/>
        <w:t xml:space="preserve">Deputy Surveyor-General </w:t>
      </w:r>
      <w:r w:rsidRPr="00C30A1B">
        <w:rPr>
          <w:lang w:eastAsia="en-AU"/>
        </w:rPr>
        <w:br/>
        <w:t xml:space="preserve">Level 11, 2 Lonsdale Street Melbourne, VIC 3000 </w:t>
      </w:r>
      <w:r w:rsidRPr="00C30A1B">
        <w:rPr>
          <w:lang w:eastAsia="en-AU"/>
        </w:rPr>
        <w:br/>
        <w:t xml:space="preserve">Email: </w:t>
      </w:r>
      <w:r w:rsidRPr="00C30A1B">
        <w:t>surveyor.general@transport.vic.gov.au</w:t>
      </w:r>
    </w:p>
    <w:p w14:paraId="1C3DA9DA" w14:textId="12636F73" w:rsidR="008E574B" w:rsidRPr="001D7902" w:rsidRDefault="008E574B" w:rsidP="00541E56">
      <w:pPr>
        <w:pStyle w:val="Heading2-Numbered"/>
      </w:pPr>
      <w:bookmarkStart w:id="3" w:name="_Toc215483328"/>
      <w:r w:rsidRPr="008E574B">
        <w:t>Disclaimer</w:t>
      </w:r>
      <w:bookmarkEnd w:id="3"/>
    </w:p>
    <w:p w14:paraId="2C7BB0C5" w14:textId="4B244AD9" w:rsidR="00C30A1B" w:rsidRPr="00C30A1B" w:rsidRDefault="00C30A1B" w:rsidP="00C30A1B">
      <w:pPr>
        <w:pStyle w:val="GreyText"/>
      </w:pPr>
      <w:r w:rsidRPr="00C30A1B">
        <w:rPr>
          <w:lang w:eastAsia="en-AU"/>
        </w:rPr>
        <w:t>These practice directives offer guidance to licensed surveyors on the interpretation of the relative legislative requirements and processes they may apply in carrying out their professional roles. They do not override a surveyor’s responsibility to exercise professional judgement. These practice directives are to be viewed and adopted in conjunction with the relevant legislation, best practice guidelines (as available) and general good practice principles and procedures.</w:t>
      </w:r>
    </w:p>
    <w:p w14:paraId="390A380D" w14:textId="6AB02F9E" w:rsidR="008E574B" w:rsidRPr="001D7902" w:rsidRDefault="008E574B" w:rsidP="00541E56">
      <w:pPr>
        <w:pStyle w:val="Heading2-Numbered"/>
      </w:pPr>
      <w:bookmarkStart w:id="4" w:name="_Toc215483329"/>
      <w:r w:rsidRPr="008E574B">
        <w:t>Role of the Surveyor-General of Victoria</w:t>
      </w:r>
      <w:bookmarkEnd w:id="4"/>
    </w:p>
    <w:p w14:paraId="47202C5C" w14:textId="38529320" w:rsidR="00C30A1B" w:rsidRPr="00C30A1B" w:rsidRDefault="00C30A1B" w:rsidP="00C30A1B">
      <w:pPr>
        <w:pStyle w:val="GreyText"/>
      </w:pPr>
      <w:r w:rsidRPr="00C30A1B">
        <w:rPr>
          <w:lang w:eastAsia="en-AU"/>
        </w:rPr>
        <w:t>The Surveyor-General of Victoria is the primary government authority on cadastral surveying and maintenance of the integrity of the cadastre. The roles and responsibilities of the Surveyor-General are prescribed under a diverse range of Acts and regulations.</w:t>
      </w:r>
    </w:p>
    <w:p w14:paraId="2C37F67E" w14:textId="27E200C2" w:rsidR="008E574B" w:rsidRPr="001D7902" w:rsidRDefault="008E574B" w:rsidP="00541E56">
      <w:pPr>
        <w:pStyle w:val="Heading2-Numbered"/>
      </w:pPr>
      <w:bookmarkStart w:id="5" w:name="_Toc215483330"/>
      <w:r w:rsidRPr="008E574B">
        <w:t>Compliance and Survey Audit Program</w:t>
      </w:r>
      <w:bookmarkEnd w:id="5"/>
    </w:p>
    <w:p w14:paraId="46C1751E" w14:textId="313522C4" w:rsidR="00BB0622" w:rsidRPr="00C30A1B" w:rsidRDefault="00C30A1B" w:rsidP="00C30A1B">
      <w:pPr>
        <w:rPr>
          <w:lang w:eastAsia="en-AU"/>
        </w:rPr>
      </w:pPr>
      <w:r w:rsidRPr="00C30A1B">
        <w:rPr>
          <w:lang w:eastAsia="en-AU"/>
        </w:rPr>
        <w:t xml:space="preserve">The Surveyor-General is responsible for setting and monitoring the standard of surveying in Victoria. The most visible component of this is the Survey Audit Program, undertaken by SGV on surveys lodged at Land </w:t>
      </w:r>
      <w:r w:rsidRPr="00C30A1B">
        <w:rPr>
          <w:lang w:eastAsia="en-AU"/>
        </w:rPr>
        <w:lastRenderedPageBreak/>
        <w:t xml:space="preserve">Use Victoria (LUV). Through this program, the Surveyor-General </w:t>
      </w:r>
      <w:r w:rsidR="00BB0622" w:rsidRPr="00BB0622">
        <w:rPr>
          <w:lang w:eastAsia="en-AU"/>
        </w:rPr>
        <w:t>works in partnership with practitioners to maintain high standards and support continuous improvement in survey quality. The program evaluates compliance with regulations, practice directives, and best-practice guidelines, and identifies opportunities for professional development and process improvement.</w:t>
      </w:r>
    </w:p>
    <w:p w14:paraId="5954B4FA" w14:textId="4B13A718" w:rsidR="00C30A1B" w:rsidRPr="00C30A1B" w:rsidRDefault="00C30A1B" w:rsidP="00C30A1B">
      <w:pPr>
        <w:rPr>
          <w:lang w:eastAsia="en-AU"/>
        </w:rPr>
      </w:pPr>
      <w:r w:rsidRPr="00C30A1B">
        <w:rPr>
          <w:lang w:eastAsia="en-AU"/>
        </w:rPr>
        <w:t xml:space="preserve">SGV aims to audit every practising licensed surveyor at least once every </w:t>
      </w:r>
      <w:r w:rsidRPr="00C30A1B" w:rsidDel="0094303E">
        <w:rPr>
          <w:lang w:eastAsia="en-AU"/>
        </w:rPr>
        <w:t>three</w:t>
      </w:r>
      <w:r w:rsidRPr="00C30A1B">
        <w:rPr>
          <w:lang w:eastAsia="en-AU"/>
        </w:rPr>
        <w:t xml:space="preserve"> years. The audit process involves a field and survey document check by SGV </w:t>
      </w:r>
      <w:r w:rsidR="00D177FA">
        <w:rPr>
          <w:lang w:eastAsia="en-AU"/>
        </w:rPr>
        <w:t>licensed surveyors</w:t>
      </w:r>
      <w:r w:rsidRPr="00C30A1B">
        <w:rPr>
          <w:lang w:eastAsia="en-AU"/>
        </w:rPr>
        <w:t xml:space="preserve"> and a plan examination by Land Registry Services (LRS) plan registration officers. SGV survey</w:t>
      </w:r>
      <w:r w:rsidR="00D177FA">
        <w:rPr>
          <w:lang w:eastAsia="en-AU"/>
        </w:rPr>
        <w:t>ors</w:t>
      </w:r>
      <w:r w:rsidRPr="00C30A1B">
        <w:rPr>
          <w:lang w:eastAsia="en-AU"/>
        </w:rPr>
        <w:t xml:space="preserve"> use a ‘Survey Audit Checklist’ covering the abstract of field records, re-establishment, Map Grid of Australia 2020 (MGA2020) connection, any Australian Height Datum</w:t>
      </w:r>
      <w:r w:rsidR="00836D2B">
        <w:rPr>
          <w:lang w:eastAsia="en-AU"/>
        </w:rPr>
        <w:t xml:space="preserve"> 1971</w:t>
      </w:r>
      <w:r w:rsidRPr="00C30A1B">
        <w:rPr>
          <w:lang w:eastAsia="en-AU"/>
        </w:rPr>
        <w:t xml:space="preserve"> (AHD) connection, licensed surveyor’s report and elements of the field survey. LRS plan registration officers at LUV use an ‘Audit Plan Exam Checklist’ covering drafting standards, plan notations, easements and building boundaries.</w:t>
      </w:r>
    </w:p>
    <w:p w14:paraId="0B20E34D" w14:textId="6B7C7214" w:rsidR="00577D85" w:rsidRPr="002F1B1A" w:rsidRDefault="00C30A1B" w:rsidP="00C30A1B">
      <w:pPr>
        <w:rPr>
          <w:b/>
          <w:lang w:eastAsia="en-AU"/>
        </w:rPr>
      </w:pPr>
      <w:r w:rsidRPr="00C30A1B">
        <w:rPr>
          <w:lang w:eastAsia="en-AU"/>
        </w:rPr>
        <w:t xml:space="preserve">The </w:t>
      </w:r>
      <w:hyperlink r:id="rId28" w:history="1">
        <w:r w:rsidRPr="002F1B1A">
          <w:rPr>
            <w:rStyle w:val="Hyperlink"/>
            <w:b/>
          </w:rPr>
          <w:t>survey audit and plan exam checklists</w:t>
        </w:r>
      </w:hyperlink>
      <w:r w:rsidRPr="00C30A1B">
        <w:rPr>
          <w:lang w:eastAsia="en-AU"/>
        </w:rPr>
        <w:t xml:space="preserve"> are available at:</w:t>
      </w:r>
      <w:r w:rsidR="002F7206">
        <w:rPr>
          <w:lang w:eastAsia="en-AU"/>
        </w:rPr>
        <w:t xml:space="preserve"> </w:t>
      </w:r>
      <w:hyperlink r:id="rId29" w:history="1">
        <w:r w:rsidR="00577D85" w:rsidRPr="002F1B1A">
          <w:rPr>
            <w:rStyle w:val="Hyperlink"/>
            <w:b/>
            <w:lang w:eastAsia="en-AU"/>
          </w:rPr>
          <w:t>www.land.vic.gov.au/surveying/cadastral-survey/survey-audit-program</w:t>
        </w:r>
      </w:hyperlink>
    </w:p>
    <w:p w14:paraId="2B844D6B" w14:textId="77777777" w:rsidR="00C30A1B" w:rsidRPr="00C30A1B" w:rsidRDefault="00C30A1B" w:rsidP="00C30A1B">
      <w:pPr>
        <w:rPr>
          <w:lang w:eastAsia="en-AU"/>
        </w:rPr>
      </w:pPr>
      <w:r w:rsidRPr="00C30A1B">
        <w:rPr>
          <w:lang w:eastAsia="en-AU"/>
        </w:rPr>
        <w:t>The checklists are provided as an optional resource for licensed surveyors to help maintain the quality of surveys lodged at LUV.</w:t>
      </w:r>
    </w:p>
    <w:p w14:paraId="0D9AD99E" w14:textId="77777777" w:rsidR="00C30A1B" w:rsidRPr="00C30A1B" w:rsidRDefault="00C30A1B" w:rsidP="00C30A1B">
      <w:pPr>
        <w:rPr>
          <w:lang w:eastAsia="en-AU"/>
        </w:rPr>
      </w:pPr>
      <w:r w:rsidRPr="00C30A1B">
        <w:rPr>
          <w:lang w:eastAsia="en-AU"/>
        </w:rPr>
        <w:t>Non-conformance with aspects of the survey and/or documentation as indicated by items on the survey audit and plan exam checklists will result in the registration of the associated dealing being delayed until the issues identified are rectified to the satisfaction of SGV and LRS.</w:t>
      </w:r>
    </w:p>
    <w:p w14:paraId="089B2A6A" w14:textId="77777777" w:rsidR="00C30A1B" w:rsidRPr="00C30A1B" w:rsidRDefault="00C30A1B" w:rsidP="00C30A1B">
      <w:pPr>
        <w:rPr>
          <w:lang w:eastAsia="en-AU"/>
        </w:rPr>
      </w:pPr>
      <w:r w:rsidRPr="00C30A1B">
        <w:rPr>
          <w:lang w:eastAsia="en-AU"/>
        </w:rPr>
        <w:t>In addition, checklist items are categorised into serious and non-serious non-conformances, as classified in the Categories of Audit Non-Conformances document available from the web link above. An ‘unsatisfactory’ survey audit result will occur when one or more serious non-conformances and/or 10 or more non-serious non-conformances are identified.</w:t>
      </w:r>
    </w:p>
    <w:p w14:paraId="43B6D7D5" w14:textId="5D563104" w:rsidR="00C30A1B" w:rsidRPr="00AC1D84" w:rsidRDefault="00C30A1B" w:rsidP="00C30A1B">
      <w:pPr>
        <w:rPr>
          <w:lang w:eastAsia="en-AU"/>
        </w:rPr>
      </w:pPr>
      <w:r w:rsidRPr="00C30A1B">
        <w:rPr>
          <w:lang w:eastAsia="en-AU"/>
        </w:rPr>
        <w:t xml:space="preserve">Surveyors who receive </w:t>
      </w:r>
      <w:r w:rsidRPr="00C30A1B" w:rsidDel="0094303E">
        <w:rPr>
          <w:lang w:eastAsia="en-AU"/>
        </w:rPr>
        <w:t>two</w:t>
      </w:r>
      <w:r w:rsidRPr="00C30A1B">
        <w:rPr>
          <w:lang w:eastAsia="en-AU"/>
        </w:rPr>
        <w:t xml:space="preserve"> consecutive unsatisfactory survey audit </w:t>
      </w:r>
      <w:r w:rsidRPr="00AC1D84">
        <w:rPr>
          <w:lang w:eastAsia="en-AU"/>
        </w:rPr>
        <w:t xml:space="preserve">results within a </w:t>
      </w:r>
      <w:r w:rsidRPr="00AC1D84" w:rsidDel="0094303E">
        <w:rPr>
          <w:lang w:eastAsia="en-AU"/>
        </w:rPr>
        <w:t>three</w:t>
      </w:r>
      <w:r w:rsidRPr="00AC1D84">
        <w:rPr>
          <w:lang w:eastAsia="en-AU"/>
        </w:rPr>
        <w:t xml:space="preserve">-year period are required to discuss their surveys with the </w:t>
      </w:r>
      <w:r w:rsidR="00014D6F" w:rsidRPr="00014D6F">
        <w:rPr>
          <w:lang w:eastAsia="en-AU"/>
        </w:rPr>
        <w:t>Manager, Cadastral Infrastructure and Standards</w:t>
      </w:r>
      <w:r w:rsidR="00055285" w:rsidRPr="00AC1D84">
        <w:rPr>
          <w:lang w:eastAsia="en-AU"/>
        </w:rPr>
        <w:t>,</w:t>
      </w:r>
      <w:r w:rsidRPr="00AC1D84">
        <w:rPr>
          <w:lang w:eastAsia="en-AU"/>
        </w:rPr>
        <w:t xml:space="preserve"> to review the audit findings and identify opportunities and processes for improved performance.</w:t>
      </w:r>
    </w:p>
    <w:p w14:paraId="5882F07A" w14:textId="18B3C02E" w:rsidR="00C30A1B" w:rsidRPr="00AC1D84" w:rsidRDefault="00C30A1B" w:rsidP="00C30A1B">
      <w:pPr>
        <w:rPr>
          <w:lang w:eastAsia="en-AU"/>
        </w:rPr>
      </w:pPr>
      <w:r w:rsidRPr="00AC1D84">
        <w:rPr>
          <w:lang w:eastAsia="en-AU"/>
        </w:rPr>
        <w:t xml:space="preserve">If a surveyor receives </w:t>
      </w:r>
      <w:r w:rsidRPr="00AC1D84" w:rsidDel="0094303E">
        <w:rPr>
          <w:lang w:eastAsia="en-AU"/>
        </w:rPr>
        <w:t>three</w:t>
      </w:r>
      <w:r w:rsidRPr="00AC1D84">
        <w:rPr>
          <w:lang w:eastAsia="en-AU"/>
        </w:rPr>
        <w:t xml:space="preserve"> consecutive unsatisfactory audit results, the findings of the audits will normally be forwarded to the Surveyors Registration Board of Victoria (SRBV) for investigation.</w:t>
      </w:r>
    </w:p>
    <w:p w14:paraId="7A589C52" w14:textId="4B45EF15" w:rsidR="00C30A1B" w:rsidRPr="00C30A1B" w:rsidRDefault="00C30A1B" w:rsidP="00C30A1B">
      <w:pPr>
        <w:pStyle w:val="GreyText"/>
      </w:pPr>
      <w:r w:rsidRPr="00AC1D84">
        <w:rPr>
          <w:lang w:eastAsia="en-AU"/>
        </w:rPr>
        <w:t xml:space="preserve">A provision also exists under Section 18 of the </w:t>
      </w:r>
      <w:r w:rsidRPr="00AC1D84">
        <w:rPr>
          <w:i/>
          <w:lang w:eastAsia="en-AU"/>
        </w:rPr>
        <w:t>Surveying Act 2004</w:t>
      </w:r>
      <w:r w:rsidRPr="00AC1D84">
        <w:rPr>
          <w:lang w:eastAsia="en-AU"/>
        </w:rPr>
        <w:t xml:space="preserve"> for the </w:t>
      </w:r>
      <w:r w:rsidR="00014D6F" w:rsidRPr="00014D6F">
        <w:rPr>
          <w:lang w:eastAsia="en-AU"/>
        </w:rPr>
        <w:t>Manager, Cadastral Infrastructure and Standards</w:t>
      </w:r>
      <w:r w:rsidRPr="00AC1D84">
        <w:rPr>
          <w:lang w:eastAsia="en-AU"/>
        </w:rPr>
        <w:t xml:space="preserve"> to lodge a complaint with the SRBV in relation to any survey that returns an unsatisfactory audit result.</w:t>
      </w:r>
    </w:p>
    <w:p w14:paraId="2918868C" w14:textId="360471FE" w:rsidR="0053476C" w:rsidRDefault="0053476C" w:rsidP="00541E56">
      <w:pPr>
        <w:pStyle w:val="Heading1-Numbered"/>
      </w:pPr>
      <w:bookmarkStart w:id="6" w:name="_Toc215483331"/>
      <w:r w:rsidRPr="0053476C">
        <w:t>Connection of cadastral surveys to datum and the Survey Control Network</w:t>
      </w:r>
      <w:bookmarkEnd w:id="6"/>
    </w:p>
    <w:p w14:paraId="52A07B26" w14:textId="25BCE6D0" w:rsidR="0053476C" w:rsidRPr="001D7902" w:rsidRDefault="0053476C" w:rsidP="00541E56">
      <w:pPr>
        <w:pStyle w:val="Heading2-Numbered"/>
      </w:pPr>
      <w:bookmarkStart w:id="7" w:name="_Toc215483332"/>
      <w:r w:rsidRPr="0053476C">
        <w:t>General comments</w:t>
      </w:r>
      <w:bookmarkEnd w:id="7"/>
    </w:p>
    <w:p w14:paraId="1451C703" w14:textId="77777777" w:rsidR="00AB713E" w:rsidRDefault="00E014B0" w:rsidP="00E014B0">
      <w:pPr>
        <w:pStyle w:val="BodyText"/>
      </w:pPr>
      <w:r>
        <w:t>The primary function of</w:t>
      </w:r>
      <w:r w:rsidR="00004BA5" w:rsidRPr="00004BA5">
        <w:rPr>
          <w:rFonts w:ascii="Segoe UI" w:hAnsi="Segoe UI" w:cs="Segoe UI"/>
          <w:color w:val="363534"/>
          <w:sz w:val="18"/>
          <w:szCs w:val="18"/>
        </w:rPr>
        <w:t xml:space="preserve"> </w:t>
      </w:r>
      <w:r w:rsidR="00004BA5" w:rsidRPr="00004BA5">
        <w:t>connecting cadastral surveys to the national coordinate datum, the Map Grid of Australia 2020 (MGA2020) and the national height datum, Australian Height Datum</w:t>
      </w:r>
      <w:r w:rsidR="00004BA5">
        <w:t xml:space="preserve"> 1971</w:t>
      </w:r>
      <w:r w:rsidR="00004BA5" w:rsidRPr="00004BA5">
        <w:t xml:space="preserve"> (AHD)</w:t>
      </w:r>
      <w:r w:rsidR="00004BA5">
        <w:t xml:space="preserve"> </w:t>
      </w:r>
      <w:r>
        <w:t>is to ensure consistent and standardised coordinate, height and bearing information</w:t>
      </w:r>
      <w:r w:rsidR="00E15B0A">
        <w:t>.</w:t>
      </w:r>
    </w:p>
    <w:p w14:paraId="2968511F" w14:textId="04E46199" w:rsidR="00AB713E" w:rsidRDefault="00E15B0A" w:rsidP="00E014B0">
      <w:pPr>
        <w:pStyle w:val="BodyText"/>
      </w:pPr>
      <w:r>
        <w:t>This supports effective survey coordination</w:t>
      </w:r>
      <w:r w:rsidR="00E014B0">
        <w:t>,</w:t>
      </w:r>
      <w:r>
        <w:t xml:space="preserve"> accurate and reliable surveys, </w:t>
      </w:r>
      <w:r w:rsidR="00E014B0">
        <w:t>efficient integration and alignment with spatial information. For cadastral surveys this supports updating of the state’s digital cadastre, where improved spatial accuracy will allow industry and the community to take full advantage of improved integration of multiple datasets, augmentation with emerging technologies and better decision making and interoperability within and between organisations.</w:t>
      </w:r>
    </w:p>
    <w:p w14:paraId="3DB51CC3" w14:textId="39557890" w:rsidR="00082793" w:rsidRPr="001A6659" w:rsidRDefault="00E014B0" w:rsidP="1D7D28D8">
      <w:pPr>
        <w:pStyle w:val="BodyText"/>
      </w:pPr>
      <w:r w:rsidDel="00AB713E">
        <w:lastRenderedPageBreak/>
        <w:t xml:space="preserve"> </w:t>
      </w:r>
      <w:r>
        <w:t>Improving spatial accuracy also facilitates the uptake of more advanced</w:t>
      </w:r>
      <w:r w:rsidR="00E15B0A">
        <w:t xml:space="preserve"> Geographic Information Systems</w:t>
      </w:r>
      <w:r>
        <w:t xml:space="preserve"> </w:t>
      </w:r>
      <w:r w:rsidR="00E15B0A">
        <w:t>(</w:t>
      </w:r>
      <w:r>
        <w:t>GIS</w:t>
      </w:r>
      <w:r w:rsidR="00E15B0A">
        <w:t>) and Global Navigation Satellite System (GNSS) positioning</w:t>
      </w:r>
      <w:r>
        <w:t xml:space="preserve"> capability and applications across the community.</w:t>
      </w:r>
    </w:p>
    <w:p w14:paraId="010FF725" w14:textId="08A742E9" w:rsidR="00E014B0" w:rsidRDefault="00E014B0" w:rsidP="00E014B0">
      <w:pPr>
        <w:pStyle w:val="GreyText"/>
        <w:rPr>
          <w:color w:val="auto"/>
        </w:rPr>
      </w:pPr>
      <w:r w:rsidRPr="008C1B3D">
        <w:rPr>
          <w:color w:val="auto"/>
        </w:rPr>
        <w:t>Victoria’s cadastral system is undergoing a significant digital transformation aiming to support a fully digital automated, spatially accurate 3D cadastral system. With the increasing complexity of land ownership – particularly in vertical developments such as mixed-use building</w:t>
      </w:r>
      <w:r w:rsidR="00FA798C">
        <w:rPr>
          <w:color w:val="auto"/>
        </w:rPr>
        <w:t>s</w:t>
      </w:r>
      <w:r w:rsidRPr="008C1B3D">
        <w:rPr>
          <w:color w:val="auto"/>
        </w:rPr>
        <w:t>, tunnels and overpasses</w:t>
      </w:r>
      <w:r w:rsidRPr="008C1B3D" w:rsidDel="00523CA4">
        <w:rPr>
          <w:color w:val="auto"/>
        </w:rPr>
        <w:t xml:space="preserve"> the progression</w:t>
      </w:r>
      <w:r w:rsidRPr="008C1B3D">
        <w:rPr>
          <w:color w:val="auto"/>
        </w:rPr>
        <w:t xml:space="preserve"> towards digital lodgement will enhance spatial clarity and support interoperability across organisations and geospatial systems.</w:t>
      </w:r>
    </w:p>
    <w:p w14:paraId="54E5B47D" w14:textId="10EA6443" w:rsidR="0053476C" w:rsidRPr="001D7902" w:rsidRDefault="0053476C" w:rsidP="00541E56">
      <w:pPr>
        <w:pStyle w:val="Heading2-Numbered"/>
      </w:pPr>
      <w:bookmarkStart w:id="8" w:name="_Toc215483333"/>
      <w:r w:rsidRPr="0053476C">
        <w:t>Specific requirements for connection to MGA2020 and the Survey Control Network</w:t>
      </w:r>
      <w:bookmarkEnd w:id="8"/>
    </w:p>
    <w:p w14:paraId="23ACF0F8" w14:textId="3D0326AC" w:rsidR="00E014B0" w:rsidRPr="002E426D" w:rsidRDefault="00E014B0" w:rsidP="00E014B0">
      <w:pPr>
        <w:pStyle w:val="BodyText"/>
      </w:pPr>
      <w:r w:rsidRPr="004676DB">
        <w:t xml:space="preserve">The Geocentric Datum of Australia 2020 (GDA2020) and Map Grid of Australia 2020 (MGA2020) are the official </w:t>
      </w:r>
      <w:r w:rsidR="00D177FA">
        <w:t xml:space="preserve">geodetic </w:t>
      </w:r>
      <w:r w:rsidRPr="004676DB">
        <w:t>datum and associated Universal Transverse Mercator (UTM) projection for Australia. These</w:t>
      </w:r>
      <w:r>
        <w:t xml:space="preserve"> </w:t>
      </w:r>
      <w:r w:rsidRPr="002E426D">
        <w:t>replac</w:t>
      </w:r>
      <w:r>
        <w:t>ed</w:t>
      </w:r>
      <w:r w:rsidRPr="002E426D">
        <w:t xml:space="preserve"> the </w:t>
      </w:r>
      <w:r>
        <w:t>Geocentric Datum of Australia 1994 (GDA94) and associated Map Grid of Australia 1994 (MGA94)</w:t>
      </w:r>
      <w:r w:rsidRPr="002E426D">
        <w:t xml:space="preserve"> as the national datum.</w:t>
      </w:r>
    </w:p>
    <w:p w14:paraId="28C53DBA" w14:textId="05FC4990" w:rsidR="00E15B0A" w:rsidRPr="002E426D" w:rsidRDefault="00E15B0A" w:rsidP="00E15B0A">
      <w:pPr>
        <w:pStyle w:val="BodyText"/>
      </w:pPr>
      <w:r>
        <w:t>MGA2020</w:t>
      </w:r>
      <w:r w:rsidRPr="00E52209">
        <w:t xml:space="preserve"> </w:t>
      </w:r>
      <w:r>
        <w:t>is</w:t>
      </w:r>
      <w:r w:rsidRPr="00E52209">
        <w:t xml:space="preserve"> the official </w:t>
      </w:r>
      <w:r>
        <w:t xml:space="preserve">horizontal </w:t>
      </w:r>
      <w:r w:rsidRPr="00E52209">
        <w:t xml:space="preserve">datum </w:t>
      </w:r>
      <w:r>
        <w:t>for cadastral surveys in</w:t>
      </w:r>
      <w:r w:rsidRPr="00E52209">
        <w:t xml:space="preserve"> Victoria</w:t>
      </w:r>
      <w:r>
        <w:t xml:space="preserve"> as specified through the Survey Co-ordination Regulations 2024</w:t>
      </w:r>
      <w:r w:rsidRPr="00E52209">
        <w:t xml:space="preserve">. </w:t>
      </w:r>
      <w:r>
        <w:t>GNSS precise positioning services and Survey Marks Enquiry Service (SMES) provide MGA2020 coordinate information to support surveying in Victoria.</w:t>
      </w:r>
      <w:r w:rsidRPr="00E52209">
        <w:t xml:space="preserve"> </w:t>
      </w:r>
      <w:r>
        <w:t xml:space="preserve">Survey marks that feature in the Victorian survey control network (SCN) have published MGA2020 coordinates </w:t>
      </w:r>
      <w:r w:rsidRPr="00E52209">
        <w:t xml:space="preserve">derived </w:t>
      </w:r>
      <w:r>
        <w:t xml:space="preserve">by LUV Geodesy through </w:t>
      </w:r>
      <w:r w:rsidRPr="00E52209">
        <w:t>a rigorous</w:t>
      </w:r>
      <w:r>
        <w:t xml:space="preserve"> </w:t>
      </w:r>
      <w:r w:rsidRPr="00E52209">
        <w:t xml:space="preserve">national </w:t>
      </w:r>
      <w:r>
        <w:t xml:space="preserve">least-squares </w:t>
      </w:r>
      <w:r w:rsidRPr="00E52209">
        <w:t>adjustment</w:t>
      </w:r>
      <w:r>
        <w:t>.</w:t>
      </w:r>
    </w:p>
    <w:p w14:paraId="50AC9C16" w14:textId="268562BA" w:rsidR="00171572" w:rsidRPr="00171572" w:rsidRDefault="00171572" w:rsidP="00171572">
      <w:pPr>
        <w:pStyle w:val="BodyText"/>
      </w:pPr>
      <w:r w:rsidRPr="00171572" w:rsidDel="00DB17B6">
        <w:t>An</w:t>
      </w:r>
      <w:r w:rsidR="00DB17B6" w:rsidRPr="00171572">
        <w:t xml:space="preserve"> </w:t>
      </w:r>
      <w:r w:rsidRPr="00171572">
        <w:t>SCN mark can be a permanent mark (PM) or primary cadastral mark (PCM) that has adjusted horizontal MGA2020 coordinates. Only SCN marks with adjusted MGA2020 coordinates are to be used when there is a requirement for a cadastral survey to be brought onto MGA2020 bearing datum.</w:t>
      </w:r>
    </w:p>
    <w:p w14:paraId="7E98D926" w14:textId="77C05B4C" w:rsidR="00E014B0" w:rsidRPr="00EE13D4" w:rsidRDefault="00E014B0" w:rsidP="00E014B0">
      <w:pPr>
        <w:pStyle w:val="BodyText"/>
        <w:rPr>
          <w:color w:val="0070C0"/>
        </w:rPr>
      </w:pPr>
      <w:r w:rsidRPr="008C1B3D">
        <w:rPr>
          <w:color w:val="auto"/>
        </w:rPr>
        <w:t xml:space="preserve">Regulation 11(1)(a) of the </w:t>
      </w:r>
      <w:r w:rsidRPr="6DB13955">
        <w:rPr>
          <w:color w:val="auto"/>
        </w:rPr>
        <w:t>Surveying (Cadastral Surveys) Regulations 2025</w:t>
      </w:r>
      <w:r w:rsidRPr="008C1B3D">
        <w:rPr>
          <w:color w:val="auto"/>
        </w:rPr>
        <w:t xml:space="preserve"> requires </w:t>
      </w:r>
      <w:r>
        <w:t xml:space="preserve">a licensed surveyor making a cadastral survey to adopt and verify a datum in accordance with a previous cadastral survey or plan. </w:t>
      </w:r>
      <w:r w:rsidR="00D177FA" w:rsidRPr="008C1B3D">
        <w:rPr>
          <w:color w:val="auto"/>
        </w:rPr>
        <w:t>Regulation 11(1)(b) of the Surveying (Cadastral Surveys) Regulations 2025</w:t>
      </w:r>
      <w:r w:rsidR="00D177FA">
        <w:t xml:space="preserve"> stipulates</w:t>
      </w:r>
      <w:r>
        <w:t xml:space="preserve"> that if an abstract of field records is to be lodged with the Surveyor-General or the Registrar of Titles, the licensed surveyor must </w:t>
      </w:r>
      <w:r w:rsidR="00BB0622" w:rsidRPr="528BD902">
        <w:rPr>
          <w:color w:val="auto"/>
        </w:rPr>
        <w:t>‘</w:t>
      </w:r>
      <w:r w:rsidRPr="008C1B3D">
        <w:rPr>
          <w:color w:val="auto"/>
        </w:rPr>
        <w:t>bring the bearing datum of the survey on to MGA2020</w:t>
      </w:r>
      <w:r w:rsidR="00BB0622">
        <w:rPr>
          <w:color w:val="auto"/>
        </w:rPr>
        <w:t>’</w:t>
      </w:r>
      <w:r w:rsidR="00D177FA" w:rsidRPr="4BF2DCE0">
        <w:rPr>
          <w:color w:val="auto"/>
        </w:rPr>
        <w:t>.</w:t>
      </w:r>
    </w:p>
    <w:p w14:paraId="48CF7267" w14:textId="77777777" w:rsidR="00E014B0" w:rsidRPr="002E426D" w:rsidRDefault="00E014B0" w:rsidP="00E014B0">
      <w:pPr>
        <w:pStyle w:val="BodyText"/>
      </w:pPr>
      <w:r>
        <w:t>Bringing the bearing datum of a survey onto MGA2020 means rotating the survey onto the datum and showing the bearings on the plan and abstract of field records relative to MGA2020 Zone 54 or 55.</w:t>
      </w:r>
    </w:p>
    <w:p w14:paraId="5964ACF6" w14:textId="50AB8E25" w:rsidR="00E014B0" w:rsidRPr="008C1B3D" w:rsidRDefault="00E014B0" w:rsidP="00E014B0">
      <w:pPr>
        <w:pStyle w:val="BodyText"/>
        <w:rPr>
          <w:color w:val="auto"/>
        </w:rPr>
      </w:pPr>
      <w:r w:rsidRPr="008C1B3D">
        <w:rPr>
          <w:color w:val="auto"/>
        </w:rPr>
        <w:t xml:space="preserve">Regulation 13 of the </w:t>
      </w:r>
      <w:r w:rsidRPr="26F58E6C">
        <w:rPr>
          <w:color w:val="auto"/>
        </w:rPr>
        <w:t>Survey Co-ordination Regulations 2024</w:t>
      </w:r>
      <w:r w:rsidRPr="008C1B3D">
        <w:rPr>
          <w:color w:val="auto"/>
        </w:rPr>
        <w:t xml:space="preserve"> specifies the appropriate MGA2020 zone to be used for cadastral surveys. The zone boundary has been established such that Parishes lie wholly within either zone 54 or 55. The Parish Zone Boundary can be viewed in LASSI and SMES as a Survey Information layer within the Build Map function. Alternatively, Figure 7.3, Part 2</w:t>
      </w:r>
      <w:r w:rsidRPr="00800FEB">
        <w:rPr>
          <w:i/>
          <w:color w:val="auto"/>
        </w:rPr>
        <w:t xml:space="preserve">, </w:t>
      </w:r>
      <w:hyperlink r:id="rId30" w:history="1">
        <w:r w:rsidRPr="4BF2DCE0">
          <w:rPr>
            <w:rStyle w:val="Hyperlink"/>
            <w:i/>
          </w:rPr>
          <w:t>Survey Practice Handbook – Victoria</w:t>
        </w:r>
      </w:hyperlink>
      <w:r w:rsidRPr="00A157F3">
        <w:rPr>
          <w:color w:val="auto"/>
        </w:rPr>
        <w:t>,</w:t>
      </w:r>
      <w:r w:rsidRPr="07A92976">
        <w:rPr>
          <w:color w:val="auto"/>
        </w:rPr>
        <w:t xml:space="preserve"> </w:t>
      </w:r>
      <w:r w:rsidRPr="008C1B3D">
        <w:rPr>
          <w:color w:val="auto"/>
        </w:rPr>
        <w:t xml:space="preserve">which is available at </w:t>
      </w:r>
      <w:hyperlink r:id="rId31" w:history="1">
        <w:r w:rsidRPr="4BF2DCE0">
          <w:rPr>
            <w:rStyle w:val="Hyperlink"/>
          </w:rPr>
          <w:t>www.surveyorsboard.vic.gov.au</w:t>
        </w:r>
      </w:hyperlink>
      <w:r w:rsidRPr="008C1B3D">
        <w:rPr>
          <w:color w:val="auto"/>
        </w:rPr>
        <w:t>, shows the location of the zone boundary and the Parishes in its vicinity.</w:t>
      </w:r>
    </w:p>
    <w:p w14:paraId="064C4784" w14:textId="64A5D4CB" w:rsidR="00E014B0" w:rsidRDefault="00E014B0" w:rsidP="00E014B0">
      <w:pPr>
        <w:pStyle w:val="BodyText"/>
        <w:rPr>
          <w:color w:val="auto"/>
        </w:rPr>
      </w:pPr>
      <w:r w:rsidRPr="52C0088C">
        <w:rPr>
          <w:color w:val="auto"/>
        </w:rPr>
        <w:t xml:space="preserve">With the exception of Records of Having Re-established a Cadastral Boundary (RE Plans), all cadastral surveys </w:t>
      </w:r>
      <w:r w:rsidRPr="00800FEB">
        <w:rPr>
          <w:b/>
          <w:color w:val="auto"/>
        </w:rPr>
        <w:t>must</w:t>
      </w:r>
      <w:r w:rsidR="00CA4D01" w:rsidRPr="52C0088C">
        <w:rPr>
          <w:b/>
          <w:color w:val="auto"/>
        </w:rPr>
        <w:t xml:space="preserve"> </w:t>
      </w:r>
      <w:r w:rsidRPr="52C0088C">
        <w:rPr>
          <w:color w:val="auto"/>
        </w:rPr>
        <w:t>connect to MGA2020. Refer also to appendix A and B.</w:t>
      </w:r>
    </w:p>
    <w:p w14:paraId="6A151694" w14:textId="71512C73" w:rsidR="00014D6F" w:rsidRDefault="00014D6F" w:rsidP="00E014B0">
      <w:pPr>
        <w:pStyle w:val="BodyText"/>
        <w:rPr>
          <w:rFonts w:cstheme="minorHAnsi"/>
          <w:color w:val="auto"/>
        </w:rPr>
      </w:pPr>
      <w:r w:rsidRPr="00A3639F">
        <w:rPr>
          <w:rFonts w:cstheme="minorHAnsi"/>
          <w:color w:val="auto"/>
        </w:rPr>
        <w:t>It is acceptable for a Staged Plan of Subdivision on a datum other than MGA2020, to remain on the original datum.</w:t>
      </w:r>
    </w:p>
    <w:p w14:paraId="376046E1" w14:textId="712901F7" w:rsidR="00E014B0" w:rsidRPr="00A3639F" w:rsidRDefault="00E014B0" w:rsidP="00E014B0">
      <w:pPr>
        <w:pStyle w:val="BodyText"/>
        <w:rPr>
          <w:rFonts w:cstheme="minorHAnsi"/>
          <w:color w:val="auto"/>
        </w:rPr>
      </w:pPr>
      <w:r w:rsidRPr="00A3639F">
        <w:rPr>
          <w:rFonts w:cstheme="minorHAnsi"/>
          <w:color w:val="auto"/>
        </w:rPr>
        <w:t xml:space="preserve">Having cadastral surveys connected to MGA2020 is essential for the maintenance and accuracy of the digital cadastre and the lodgement of digital survey files in Single CAD Formal File (SCFF), ePlan or other approved formats. </w:t>
      </w:r>
    </w:p>
    <w:p w14:paraId="038BFADC" w14:textId="6A9A90B7" w:rsidR="00E014B0" w:rsidRPr="00A3639F" w:rsidRDefault="00E014B0" w:rsidP="00E014B0">
      <w:pPr>
        <w:pStyle w:val="BodyText"/>
        <w:rPr>
          <w:color w:val="auto"/>
        </w:rPr>
      </w:pPr>
      <w:r w:rsidRPr="00A3639F">
        <w:rPr>
          <w:color w:val="auto"/>
        </w:rPr>
        <w:t>Connection of cadastral surveys to MGA2020 and AHD can be achieved</w:t>
      </w:r>
      <w:r w:rsidR="00171572">
        <w:rPr>
          <w:color w:val="auto"/>
        </w:rPr>
        <w:t xml:space="preserve"> through</w:t>
      </w:r>
      <w:r w:rsidRPr="00A3639F">
        <w:rPr>
          <w:color w:val="auto"/>
        </w:rPr>
        <w:t>:</w:t>
      </w:r>
    </w:p>
    <w:p w14:paraId="2C238A96" w14:textId="74A4A66E" w:rsidR="00E014B0" w:rsidRDefault="00E014B0">
      <w:pPr>
        <w:pStyle w:val="ListBullet"/>
      </w:pPr>
      <w:r w:rsidRPr="00A3639F">
        <w:lastRenderedPageBreak/>
        <w:t>conventional traversing and levelling connection to SCN and levelled AHD marks, available through the Survey Marks Enquiry Service (</w:t>
      </w:r>
      <w:hyperlink r:id="rId32" w:history="1">
        <w:r w:rsidRPr="00A3639F">
          <w:rPr>
            <w:rStyle w:val="Hyperlink"/>
          </w:rPr>
          <w:t>SMES</w:t>
        </w:r>
      </w:hyperlink>
      <w:r w:rsidRPr="00A3639F">
        <w:t xml:space="preserve">) at </w:t>
      </w:r>
      <w:hyperlink r:id="rId33" w:history="1">
        <w:r w:rsidR="004F0A73" w:rsidRPr="00800FEB">
          <w:rPr>
            <w:rStyle w:val="Hyperlink"/>
            <w:b/>
          </w:rPr>
          <w:t>www.land.vic.gov.au/surveying/services/survey-marks-enquiry-service</w:t>
        </w:r>
      </w:hyperlink>
      <w:r w:rsidRPr="00A3639F">
        <w:t>, or</w:t>
      </w:r>
    </w:p>
    <w:p w14:paraId="5733B35B" w14:textId="08BB8F7D" w:rsidR="00E014B0" w:rsidRPr="00A3639F" w:rsidRDefault="00E014B0" w:rsidP="008917B8">
      <w:pPr>
        <w:pStyle w:val="ListBullet"/>
      </w:pPr>
      <w:r w:rsidRPr="00A3639F">
        <w:t xml:space="preserve">Global Navigation Satellite System (GNSS) positioning services, such as </w:t>
      </w:r>
      <w:hyperlink r:id="rId34" w:history="1">
        <w:r w:rsidRPr="00800FEB">
          <w:rPr>
            <w:rStyle w:val="Hyperlink"/>
            <w:b/>
          </w:rPr>
          <w:t>GPSnet</w:t>
        </w:r>
      </w:hyperlink>
      <w:r w:rsidRPr="00A3639F">
        <w:t xml:space="preserve"> to correct GNSS observations in real time or by post processing, and application of AUSGeoid2020 model. GPSnet is available at </w:t>
      </w:r>
      <w:hyperlink r:id="rId35" w:history="1">
        <w:r w:rsidRPr="6F9DFE08">
          <w:rPr>
            <w:rStyle w:val="Hyperlink"/>
            <w:b/>
          </w:rPr>
          <w:t>www.land.vic.gov.au</w:t>
        </w:r>
        <w:r w:rsidR="00DB07B8" w:rsidRPr="6F9DFE08">
          <w:rPr>
            <w:rStyle w:val="Hyperlink"/>
            <w:b/>
          </w:rPr>
          <w:t>/</w:t>
        </w:r>
        <w:r w:rsidR="00DB07B8" w:rsidRPr="6F9DFE08">
          <w:rPr>
            <w:rStyle w:val="Hyperlink"/>
            <w:b/>
            <w:bCs/>
          </w:rPr>
          <w:t>s</w:t>
        </w:r>
        <w:r w:rsidRPr="6F9DFE08">
          <w:rPr>
            <w:rStyle w:val="Hyperlink"/>
            <w:b/>
            <w:bCs/>
          </w:rPr>
          <w:t>urveying</w:t>
        </w:r>
        <w:r w:rsidR="00DB07B8" w:rsidRPr="6F9DFE08">
          <w:rPr>
            <w:rStyle w:val="Hyperlink"/>
            <w:b/>
          </w:rPr>
          <w:t>/s</w:t>
        </w:r>
        <w:r w:rsidRPr="6F9DFE08">
          <w:rPr>
            <w:rStyle w:val="Hyperlink"/>
            <w:b/>
          </w:rPr>
          <w:t>ervices</w:t>
        </w:r>
        <w:r w:rsidR="00DB07B8" w:rsidRPr="6F9DFE08">
          <w:rPr>
            <w:rStyle w:val="Hyperlink"/>
            <w:b/>
          </w:rPr>
          <w:t>/</w:t>
        </w:r>
        <w:r w:rsidR="00DB07B8" w:rsidRPr="6F9DFE08">
          <w:rPr>
            <w:rStyle w:val="Hyperlink"/>
            <w:b/>
            <w:bCs/>
          </w:rPr>
          <w:t>p</w:t>
        </w:r>
        <w:r w:rsidRPr="6F9DFE08">
          <w:rPr>
            <w:rStyle w:val="Hyperlink"/>
            <w:b/>
            <w:bCs/>
          </w:rPr>
          <w:t>ositioning</w:t>
        </w:r>
      </w:hyperlink>
      <w:r w:rsidRPr="00A3639F">
        <w:t>.</w:t>
      </w:r>
    </w:p>
    <w:p w14:paraId="2EEEE94E" w14:textId="4A709B57" w:rsidR="0053476C" w:rsidRPr="001D7902" w:rsidRDefault="0053476C" w:rsidP="00541E56">
      <w:pPr>
        <w:pStyle w:val="Heading2-Numbered"/>
      </w:pPr>
      <w:bookmarkStart w:id="9" w:name="_Toc215483334"/>
      <w:r w:rsidRPr="0053476C">
        <w:t>MGA2020 bearing connection derived by conventional traversing techniques</w:t>
      </w:r>
      <w:bookmarkEnd w:id="9"/>
    </w:p>
    <w:p w14:paraId="49380B77" w14:textId="2787BD60" w:rsidR="00C63F26" w:rsidRPr="00425E5D" w:rsidRDefault="00E014B0" w:rsidP="00E014B0">
      <w:pPr>
        <w:pStyle w:val="BodyText"/>
      </w:pPr>
      <w:r w:rsidRPr="156952A7">
        <w:rPr>
          <w:color w:val="auto"/>
        </w:rPr>
        <w:t xml:space="preserve">If only conventional traversing techniques are available to surveyors, then the statement </w:t>
      </w:r>
      <w:r w:rsidR="00BB0622" w:rsidRPr="156952A7">
        <w:rPr>
          <w:color w:val="auto"/>
        </w:rPr>
        <w:t>‘</w:t>
      </w:r>
      <w:r w:rsidRPr="156952A7">
        <w:rPr>
          <w:color w:val="auto"/>
        </w:rPr>
        <w:t xml:space="preserve">…as is reasonable in the </w:t>
      </w:r>
      <w:r w:rsidRPr="0F89E536">
        <w:rPr>
          <w:color w:val="auto"/>
        </w:rPr>
        <w:t>circumstances</w:t>
      </w:r>
      <w:r w:rsidR="00BB0622" w:rsidRPr="0F89E536">
        <w:rPr>
          <w:color w:val="auto"/>
        </w:rPr>
        <w:t>’</w:t>
      </w:r>
      <w:r w:rsidRPr="156952A7">
        <w:rPr>
          <w:color w:val="auto"/>
        </w:rPr>
        <w:t xml:space="preserve"> in Regulation 11(1)(b) of the Surveying (Cadastral Surveys) Regulations 2025 is generally governed by the parameters of Regulation 16 of the Survey Co-ordination Regulations 2024. Regulation 16 requires connection to at least </w:t>
      </w:r>
      <w:r w:rsidRPr="156952A7" w:rsidDel="0094303E">
        <w:rPr>
          <w:color w:val="auto"/>
        </w:rPr>
        <w:t>two</w:t>
      </w:r>
      <w:r w:rsidR="00014D6F" w:rsidRPr="156952A7">
        <w:rPr>
          <w:color w:val="auto"/>
        </w:rPr>
        <w:t xml:space="preserve"> </w:t>
      </w:r>
      <w:r w:rsidRPr="156952A7">
        <w:rPr>
          <w:color w:val="auto"/>
        </w:rPr>
        <w:t>SCN marks</w:t>
      </w:r>
      <w:r w:rsidR="00014D6F" w:rsidRPr="156952A7">
        <w:rPr>
          <w:color w:val="auto"/>
        </w:rPr>
        <w:t xml:space="preserve"> </w:t>
      </w:r>
      <w:r w:rsidRPr="156952A7">
        <w:t>that fulfil all the following requirements:</w:t>
      </w:r>
    </w:p>
    <w:p w14:paraId="1E0F39FA" w14:textId="2F56A94B" w:rsidR="00C63F26" w:rsidRDefault="00C63F26" w:rsidP="00C63F26">
      <w:pPr>
        <w:pStyle w:val="ListAlpha"/>
        <w:numPr>
          <w:ilvl w:val="0"/>
          <w:numId w:val="13"/>
        </w:numPr>
        <w:rPr>
          <w:rFonts w:cstheme="minorBidi"/>
        </w:rPr>
      </w:pPr>
      <w:r w:rsidRPr="7ED8C8F7">
        <w:rPr>
          <w:rFonts w:cstheme="minorBidi"/>
        </w:rPr>
        <w:t>They must be properly verified as to position at the time of survey.</w:t>
      </w:r>
    </w:p>
    <w:p w14:paraId="33703B59" w14:textId="09BFF303" w:rsidR="00C63F26" w:rsidRDefault="00C63F26" w:rsidP="00C63F26">
      <w:pPr>
        <w:pStyle w:val="ListAlpha"/>
        <w:numPr>
          <w:ilvl w:val="0"/>
          <w:numId w:val="13"/>
        </w:numPr>
        <w:rPr>
          <w:rFonts w:cstheme="minorBidi"/>
        </w:rPr>
      </w:pPr>
      <w:r w:rsidRPr="7ED8C8F7">
        <w:rPr>
          <w:rFonts w:cstheme="minorBidi"/>
        </w:rPr>
        <w:t>They must be at least 200 metres apart.</w:t>
      </w:r>
    </w:p>
    <w:p w14:paraId="0C10EB9C" w14:textId="68DB7757" w:rsidR="00C63F26" w:rsidRPr="00425E5D" w:rsidRDefault="00C63F26" w:rsidP="65508342">
      <w:pPr>
        <w:pStyle w:val="ListAlpha"/>
        <w:numPr>
          <w:ilvl w:val="0"/>
          <w:numId w:val="13"/>
        </w:numPr>
        <w:rPr>
          <w:rFonts w:cstheme="minorBidi"/>
        </w:rPr>
      </w:pPr>
      <w:r w:rsidRPr="65508342">
        <w:rPr>
          <w:rFonts w:cstheme="minorBidi"/>
        </w:rPr>
        <w:t xml:space="preserve">They must be within 500 metres of the limits of the cadastral survey, or a greater distance if the connection can be made by establishing no more than </w:t>
      </w:r>
      <w:r w:rsidR="7EF62CF8" w:rsidRPr="299A8D13">
        <w:rPr>
          <w:rFonts w:cstheme="minorBidi"/>
        </w:rPr>
        <w:t>three</w:t>
      </w:r>
      <w:r w:rsidRPr="65508342">
        <w:rPr>
          <w:rFonts w:cstheme="minorBidi"/>
        </w:rPr>
        <w:t xml:space="preserve"> instrument points from each SCN mark.</w:t>
      </w:r>
    </w:p>
    <w:p w14:paraId="79B67141" w14:textId="48609B41" w:rsidR="00E014B0" w:rsidRPr="002E426D" w:rsidRDefault="00E014B0" w:rsidP="53323D16">
      <w:pPr>
        <w:pStyle w:val="ListAlpha"/>
        <w:ind w:left="0" w:firstLine="0"/>
      </w:pPr>
      <w:r w:rsidRPr="53323D16">
        <w:rPr>
          <w:color w:val="auto"/>
        </w:rPr>
        <w:t>Regulation</w:t>
      </w:r>
      <w:r w:rsidRPr="00A3639F">
        <w:rPr>
          <w:color w:val="auto"/>
        </w:rPr>
        <w:t xml:space="preserve"> 7(1)(c) of the </w:t>
      </w:r>
      <w:r w:rsidRPr="35966CAC">
        <w:rPr>
          <w:color w:val="auto"/>
        </w:rPr>
        <w:t>Surveying (Cadastral Surveys) Regulations 2025</w:t>
      </w:r>
      <w:r w:rsidRPr="00A3639F">
        <w:rPr>
          <w:color w:val="auto"/>
        </w:rPr>
        <w:t xml:space="preserve"> </w:t>
      </w:r>
      <w:r w:rsidRPr="002E426D">
        <w:t>states that licensed surveyors must ensure all lengths are measured or determined to an accuracy of 10 millimetres</w:t>
      </w:r>
      <w:r w:rsidR="009C7D25">
        <w:t xml:space="preserve"> (mm)</w:t>
      </w:r>
      <w:r w:rsidRPr="002E426D">
        <w:t xml:space="preserve"> + 60 parts per million (PPM). Furthermore, the Surveyor-General’s requirement for the accuracy of an </w:t>
      </w:r>
      <w:r>
        <w:t>MGA2020</w:t>
      </w:r>
      <w:r w:rsidRPr="002E426D">
        <w:t xml:space="preserve"> bearing datum determ</w:t>
      </w:r>
      <w:r>
        <w:t xml:space="preserve">ination is </w:t>
      </w:r>
      <w:r w:rsidRPr="00B760A4">
        <w:rPr>
          <w:b/>
          <w:bCs/>
        </w:rPr>
        <w:t>at least 20” of arc</w:t>
      </w:r>
      <w:r>
        <w:t>.</w:t>
      </w:r>
    </w:p>
    <w:p w14:paraId="6723B516" w14:textId="77777777" w:rsidR="00E014B0" w:rsidRDefault="00E014B0" w:rsidP="00E014B0">
      <w:pPr>
        <w:pStyle w:val="BodyText"/>
      </w:pPr>
      <w:r w:rsidRPr="00F83707" w:rsidDel="00B34DE7">
        <w:t xml:space="preserve">The following discussion elaborates on how surveyors can meet the above requirements </w:t>
      </w:r>
      <w:r>
        <w:t xml:space="preserve">when only conventional traversing techniques are </w:t>
      </w:r>
      <w:r w:rsidRPr="00523764">
        <w:t>available.</w:t>
      </w:r>
      <w:r w:rsidRPr="00523764" w:rsidDel="00B34DE7">
        <w:t xml:space="preserve"> </w:t>
      </w:r>
      <w:r w:rsidRPr="00523764" w:rsidDel="00B34DE7">
        <w:rPr>
          <w:color w:val="auto"/>
        </w:rPr>
        <w:t>Section 2.</w:t>
      </w:r>
      <w:r w:rsidRPr="00523764">
        <w:rPr>
          <w:color w:val="auto"/>
        </w:rPr>
        <w:t xml:space="preserve">4 </w:t>
      </w:r>
      <w:r w:rsidRPr="00523764" w:rsidDel="00B34DE7">
        <w:t xml:space="preserve">provides information regarding the conditions for connection to </w:t>
      </w:r>
      <w:r w:rsidRPr="00523764">
        <w:t>MGA2020</w:t>
      </w:r>
      <w:r w:rsidRPr="00523764" w:rsidDel="00B34DE7">
        <w:t xml:space="preserve"> when GNSS observations are used.</w:t>
      </w:r>
    </w:p>
    <w:p w14:paraId="63466579" w14:textId="5FE6EB2D" w:rsidR="00E014B0" w:rsidRDefault="00E014B0" w:rsidP="00E014B0">
      <w:pPr>
        <w:pStyle w:val="GreyText"/>
      </w:pPr>
      <w:r w:rsidRPr="00414112">
        <w:rPr>
          <w:color w:val="auto"/>
          <w:lang w:eastAsia="en-AU"/>
        </w:rPr>
        <w:t xml:space="preserve">Regardless of whether a survey is exempt from connection to MGA2020, all surveys </w:t>
      </w:r>
      <w:r w:rsidRPr="00800FEB">
        <w:rPr>
          <w:b/>
          <w:color w:val="auto"/>
          <w:lang w:eastAsia="en-AU"/>
        </w:rPr>
        <w:t>must</w:t>
      </w:r>
      <w:r w:rsidRPr="00414112">
        <w:rPr>
          <w:color w:val="auto"/>
          <w:lang w:eastAsia="en-AU"/>
        </w:rPr>
        <w:t xml:space="preserve"> connect to at least 3 Permanent Marks (PMs) or Primary Cadastral Marks (PCMs), pursuant to Regulation 11(3)(a), Surveying (Cadastral Surveys) Regulations 2025.</w:t>
      </w:r>
    </w:p>
    <w:p w14:paraId="36879739" w14:textId="05DECF73" w:rsidR="0053476C" w:rsidRPr="001D7902" w:rsidRDefault="0053476C" w:rsidP="00541E56">
      <w:pPr>
        <w:pStyle w:val="Heading3-Numbered"/>
      </w:pPr>
      <w:bookmarkStart w:id="10" w:name="_Toc215483335"/>
      <w:r w:rsidRPr="0053476C">
        <w:t>Land subdivisions (large and small), building subdivisions, application surveys under the Transfer of Land Act 1958, boundary plan surveys and Crown surveys</w:t>
      </w:r>
      <w:bookmarkEnd w:id="10"/>
    </w:p>
    <w:p w14:paraId="4439B39A" w14:textId="34282CAB" w:rsidR="00E014B0" w:rsidRPr="00414112" w:rsidRDefault="00E014B0" w:rsidP="00CB55B7">
      <w:pPr>
        <w:pStyle w:val="ListAlpha"/>
        <w:numPr>
          <w:ilvl w:val="0"/>
          <w:numId w:val="12"/>
        </w:numPr>
        <w:rPr>
          <w:color w:val="auto"/>
        </w:rPr>
      </w:pPr>
      <w:r w:rsidRPr="002E426D">
        <w:t xml:space="preserve">When there </w:t>
      </w:r>
      <w:r w:rsidRPr="00414112">
        <w:rPr>
          <w:color w:val="auto"/>
        </w:rPr>
        <w:t xml:space="preserve">are </w:t>
      </w:r>
      <w:r w:rsidRPr="00414112" w:rsidDel="0094303E">
        <w:rPr>
          <w:color w:val="auto"/>
        </w:rPr>
        <w:t>two</w:t>
      </w:r>
      <w:r w:rsidRPr="00414112">
        <w:rPr>
          <w:color w:val="auto"/>
        </w:rPr>
        <w:t xml:space="preserve"> or more SCN marks within the parameters of Regulation 16</w:t>
      </w:r>
      <w:r w:rsidR="00014D6F">
        <w:rPr>
          <w:color w:val="auto"/>
        </w:rPr>
        <w:t>(1)(a)(iii)</w:t>
      </w:r>
      <w:r w:rsidRPr="00414112">
        <w:rPr>
          <w:color w:val="auto"/>
        </w:rPr>
        <w:t xml:space="preserve">, Survey Co-ordination Regulations 2024, surveyors </w:t>
      </w:r>
      <w:r w:rsidRPr="00800FEB">
        <w:rPr>
          <w:b/>
          <w:color w:val="auto"/>
        </w:rPr>
        <w:t>must</w:t>
      </w:r>
      <w:r w:rsidRPr="00414112">
        <w:rPr>
          <w:color w:val="auto"/>
        </w:rPr>
        <w:t xml:space="preserve"> do all the following:</w:t>
      </w:r>
    </w:p>
    <w:p w14:paraId="74ABE858" w14:textId="2F93033F" w:rsidR="00E014B0" w:rsidRPr="00414112" w:rsidRDefault="00E014B0" w:rsidP="00CB55B7">
      <w:pPr>
        <w:pStyle w:val="ListAlpha2"/>
        <w:numPr>
          <w:ilvl w:val="1"/>
          <w:numId w:val="12"/>
        </w:numPr>
        <w:rPr>
          <w:color w:val="auto"/>
        </w:rPr>
      </w:pPr>
      <w:r w:rsidRPr="00414112">
        <w:rPr>
          <w:color w:val="auto"/>
        </w:rPr>
        <w:t xml:space="preserve">connect to at least </w:t>
      </w:r>
      <w:r w:rsidRPr="00414112" w:rsidDel="0094303E">
        <w:rPr>
          <w:color w:val="auto"/>
        </w:rPr>
        <w:t>two</w:t>
      </w:r>
      <w:r w:rsidRPr="00414112">
        <w:rPr>
          <w:color w:val="auto"/>
        </w:rPr>
        <w:t xml:space="preserve"> of those SCN marks that are at least 200m apart </w:t>
      </w:r>
    </w:p>
    <w:p w14:paraId="01FD6A2A" w14:textId="77777777" w:rsidR="00E014B0" w:rsidRPr="00414112" w:rsidRDefault="00E014B0" w:rsidP="00CB55B7">
      <w:pPr>
        <w:pStyle w:val="ListAlpha2"/>
        <w:numPr>
          <w:ilvl w:val="1"/>
          <w:numId w:val="12"/>
        </w:numPr>
        <w:rPr>
          <w:color w:val="auto"/>
        </w:rPr>
      </w:pPr>
      <w:r w:rsidRPr="00414112">
        <w:rPr>
          <w:color w:val="auto"/>
        </w:rPr>
        <w:t>connect to at least one other PM or PCM to satisfy Regulation 11(3)(a), Surveying (Cadastral Surveys) Regulations 2025</w:t>
      </w:r>
    </w:p>
    <w:p w14:paraId="6EFBF01B" w14:textId="195B49F8" w:rsidR="007060BD" w:rsidRDefault="00E014B0" w:rsidP="007060BD">
      <w:pPr>
        <w:pStyle w:val="ListAlpha2"/>
        <w:numPr>
          <w:ilvl w:val="1"/>
          <w:numId w:val="12"/>
        </w:numPr>
      </w:pPr>
      <w:r w:rsidRPr="00EE13D4">
        <w:t>rotate the</w:t>
      </w:r>
      <w:r w:rsidRPr="002E426D">
        <w:t xml:space="preserve"> survey onto </w:t>
      </w:r>
      <w:r>
        <w:t>MGA2020</w:t>
      </w:r>
      <w:r w:rsidRPr="002E426D">
        <w:t xml:space="preserve"> bearing datum.</w:t>
      </w:r>
    </w:p>
    <w:p w14:paraId="7EF509DE" w14:textId="11CC9095" w:rsidR="00E014B0" w:rsidRPr="00EE13D4" w:rsidRDefault="00E014B0" w:rsidP="007060BD">
      <w:pPr>
        <w:pStyle w:val="ListAlpha"/>
        <w:numPr>
          <w:ilvl w:val="0"/>
          <w:numId w:val="12"/>
        </w:numPr>
      </w:pPr>
      <w:r>
        <w:t xml:space="preserve">When </w:t>
      </w:r>
      <w:r w:rsidRPr="002E426D">
        <w:t xml:space="preserve">only one SCN mark </w:t>
      </w:r>
      <w:r>
        <w:t xml:space="preserve">or no SCN marks </w:t>
      </w:r>
      <w:r w:rsidRPr="002E426D">
        <w:t xml:space="preserve">exist within the parameters </w:t>
      </w:r>
      <w:r w:rsidRPr="00414112">
        <w:t>of Regulation 16</w:t>
      </w:r>
      <w:r w:rsidR="00ED0629">
        <w:t>(1)(a)(iii)</w:t>
      </w:r>
      <w:r w:rsidRPr="00414112">
        <w:t>, Survey Co-</w:t>
      </w:r>
      <w:r w:rsidRPr="00523764">
        <w:t xml:space="preserve">ordination Regulations 2024, surveyors should use GNSS observation techniques to establish MGA2020 connection (see section 2.3). If GNSS observation techniques are not available, surveyors can contact SGV Geodesy via email to </w:t>
      </w:r>
      <w:hyperlink r:id="rId36" w:history="1">
        <w:r w:rsidRPr="5EBDEFCC">
          <w:rPr>
            <w:rStyle w:val="Hyperlink"/>
          </w:rPr>
          <w:t>smes.support@transport.vic.gov.au</w:t>
        </w:r>
      </w:hyperlink>
      <w:r w:rsidRPr="00414112">
        <w:t xml:space="preserve"> to discuss the options for the establishment of SCN marks in the vicinity of the surve</w:t>
      </w:r>
      <w:r>
        <w:t xml:space="preserve">y. Following the establishment of suitable SCN marks, </w:t>
      </w:r>
      <w:r w:rsidRPr="00EE13D4">
        <w:t xml:space="preserve">surveyors </w:t>
      </w:r>
      <w:r w:rsidRPr="00800FEB">
        <w:rPr>
          <w:b/>
        </w:rPr>
        <w:t>must</w:t>
      </w:r>
      <w:r w:rsidRPr="00EE13D4">
        <w:t xml:space="preserve"> do all the following:</w:t>
      </w:r>
    </w:p>
    <w:p w14:paraId="1988759F" w14:textId="7ECCEEBF" w:rsidR="00E014B0" w:rsidRPr="00D40157" w:rsidRDefault="00E014B0" w:rsidP="00CB55B7">
      <w:pPr>
        <w:pStyle w:val="ListAlpha2"/>
        <w:numPr>
          <w:ilvl w:val="1"/>
          <w:numId w:val="12"/>
        </w:numPr>
        <w:rPr>
          <w:color w:val="auto"/>
        </w:rPr>
      </w:pPr>
      <w:r w:rsidRPr="00EE13D4">
        <w:t xml:space="preserve">connect to at least </w:t>
      </w:r>
      <w:r w:rsidRPr="00EE13D4" w:rsidDel="0094303E">
        <w:t>two</w:t>
      </w:r>
      <w:r w:rsidRPr="00EE13D4">
        <w:t xml:space="preserve"> of those SCN marks </w:t>
      </w:r>
      <w:r w:rsidRPr="00D40157">
        <w:rPr>
          <w:color w:val="auto"/>
        </w:rPr>
        <w:t>that are at least 200m apart</w:t>
      </w:r>
    </w:p>
    <w:p w14:paraId="231524DD" w14:textId="77777777" w:rsidR="00E014B0" w:rsidRPr="00D40157" w:rsidRDefault="00E014B0" w:rsidP="00CB55B7">
      <w:pPr>
        <w:pStyle w:val="ListAlpha2"/>
        <w:numPr>
          <w:ilvl w:val="1"/>
          <w:numId w:val="12"/>
        </w:numPr>
        <w:rPr>
          <w:color w:val="auto"/>
        </w:rPr>
      </w:pPr>
      <w:r w:rsidRPr="00D40157">
        <w:rPr>
          <w:color w:val="auto"/>
        </w:rPr>
        <w:lastRenderedPageBreak/>
        <w:t>connect to other PMs or PCMs to satisfy Regulation 11(3)(a), Surveying (Cadastral Surveys) Regulations 2025</w:t>
      </w:r>
    </w:p>
    <w:p w14:paraId="7D33EC6D" w14:textId="77777777" w:rsidR="00E014B0" w:rsidRPr="00D40157" w:rsidRDefault="00E014B0" w:rsidP="00CB55B7">
      <w:pPr>
        <w:pStyle w:val="ListAlpha2"/>
        <w:numPr>
          <w:ilvl w:val="1"/>
          <w:numId w:val="12"/>
        </w:numPr>
        <w:rPr>
          <w:color w:val="auto"/>
        </w:rPr>
      </w:pPr>
      <w:r w:rsidRPr="00D40157">
        <w:rPr>
          <w:color w:val="auto"/>
        </w:rPr>
        <w:t>rotate the survey onto MGA2020 bearing datum.</w:t>
      </w:r>
    </w:p>
    <w:p w14:paraId="4C021000" w14:textId="61111C03" w:rsidR="00E014B0" w:rsidRPr="002E426D" w:rsidRDefault="00E014B0" w:rsidP="00CB55B7">
      <w:pPr>
        <w:pStyle w:val="ListAlpha"/>
        <w:numPr>
          <w:ilvl w:val="0"/>
          <w:numId w:val="13"/>
        </w:numPr>
      </w:pPr>
      <w:r w:rsidRPr="002E426D">
        <w:t>When the same surveyor or survey firm has completed a nearby survey</w:t>
      </w:r>
      <w:r w:rsidRPr="00CB5BEE">
        <w:t xml:space="preserve"> </w:t>
      </w:r>
      <w:r w:rsidRPr="002E426D">
        <w:t xml:space="preserve">within the last </w:t>
      </w:r>
      <w:r w:rsidRPr="002E426D" w:rsidDel="0094303E">
        <w:t>five</w:t>
      </w:r>
      <w:r w:rsidRPr="002E426D">
        <w:t xml:space="preserve"> years that is already connected to </w:t>
      </w:r>
      <w:r w:rsidRPr="002E426D" w:rsidDel="0094303E">
        <w:t>two</w:t>
      </w:r>
      <w:r w:rsidRPr="002E426D">
        <w:t xml:space="preserve"> SCN marks, the earlier survey can be used for </w:t>
      </w:r>
      <w:r>
        <w:t>MGA2020</w:t>
      </w:r>
      <w:r w:rsidRPr="002E426D">
        <w:t xml:space="preserve"> bearing datum without the need to re-connect to those </w:t>
      </w:r>
      <w:r>
        <w:t xml:space="preserve">SCN </w:t>
      </w:r>
      <w:r w:rsidRPr="002E426D">
        <w:t xml:space="preserve">marks. In this case surveyors </w:t>
      </w:r>
      <w:r w:rsidRPr="00800FEB">
        <w:rPr>
          <w:b/>
        </w:rPr>
        <w:t>must</w:t>
      </w:r>
      <w:r>
        <w:t xml:space="preserve"> do all the following</w:t>
      </w:r>
      <w:r w:rsidRPr="002E426D">
        <w:t>:</w:t>
      </w:r>
    </w:p>
    <w:p w14:paraId="062CBA54" w14:textId="060AB08D" w:rsidR="00E014B0" w:rsidRPr="00D40157" w:rsidRDefault="00E014B0" w:rsidP="00CB55B7">
      <w:pPr>
        <w:pStyle w:val="ListAlpha2"/>
        <w:numPr>
          <w:ilvl w:val="1"/>
          <w:numId w:val="12"/>
        </w:numPr>
        <w:rPr>
          <w:color w:val="auto"/>
        </w:rPr>
      </w:pPr>
      <w:r w:rsidRPr="00D40157">
        <w:rPr>
          <w:color w:val="auto"/>
        </w:rPr>
        <w:t xml:space="preserve">connect to at least </w:t>
      </w:r>
      <w:r w:rsidRPr="00D40157" w:rsidDel="0094303E">
        <w:rPr>
          <w:color w:val="auto"/>
        </w:rPr>
        <w:t>two</w:t>
      </w:r>
      <w:r w:rsidRPr="00D40157">
        <w:rPr>
          <w:color w:val="auto"/>
        </w:rPr>
        <w:t xml:space="preserve"> PMs or PCMs from the earlier survey that are at least 200 metres apart</w:t>
      </w:r>
    </w:p>
    <w:p w14:paraId="7CF4D252" w14:textId="77777777" w:rsidR="00E014B0" w:rsidRPr="00D40157" w:rsidRDefault="00E014B0" w:rsidP="00CB55B7">
      <w:pPr>
        <w:pStyle w:val="ListAlpha2"/>
        <w:numPr>
          <w:ilvl w:val="1"/>
          <w:numId w:val="12"/>
        </w:numPr>
        <w:rPr>
          <w:color w:val="auto"/>
        </w:rPr>
      </w:pPr>
      <w:r w:rsidRPr="00D40157">
        <w:rPr>
          <w:color w:val="auto"/>
        </w:rPr>
        <w:t>connect to at least one other PM or PCM to satisfy Regulation 11(3)(a), Surveying (Cadastral Surveys) Regulations 2025</w:t>
      </w:r>
    </w:p>
    <w:p w14:paraId="5735A1A1" w14:textId="77777777" w:rsidR="00E014B0" w:rsidRPr="002E426D" w:rsidRDefault="00E014B0" w:rsidP="00CB55B7">
      <w:pPr>
        <w:pStyle w:val="ListAlpha2"/>
        <w:numPr>
          <w:ilvl w:val="1"/>
          <w:numId w:val="12"/>
        </w:numPr>
      </w:pPr>
      <w:r w:rsidRPr="002E426D">
        <w:t xml:space="preserve">rotate the survey onto </w:t>
      </w:r>
      <w:r>
        <w:t>MGA2020</w:t>
      </w:r>
      <w:r w:rsidRPr="002E426D">
        <w:t xml:space="preserve"> bearing datum.</w:t>
      </w:r>
    </w:p>
    <w:p w14:paraId="3F86717C" w14:textId="0D2629CB" w:rsidR="00E014B0" w:rsidRPr="002E426D" w:rsidRDefault="00E014B0" w:rsidP="00E014B0">
      <w:pPr>
        <w:pStyle w:val="BodyText"/>
      </w:pPr>
      <w:r w:rsidRPr="002E426D">
        <w:t>For scenarios a</w:t>
      </w:r>
      <w:r>
        <w:t>.</w:t>
      </w:r>
      <w:r w:rsidRPr="002E426D">
        <w:t>, b</w:t>
      </w:r>
      <w:r>
        <w:t>. and</w:t>
      </w:r>
      <w:r w:rsidRPr="002E426D">
        <w:t xml:space="preserve"> c</w:t>
      </w:r>
      <w:r>
        <w:t>.</w:t>
      </w:r>
      <w:r w:rsidRPr="002E426D">
        <w:t xml:space="preserve"> above, surveyors are encouraged </w:t>
      </w:r>
      <w:r w:rsidRPr="00523764">
        <w:t>to connect to non-SCN marks and unregistered PMs, where they exist within the immediate vicinity of the survey. Refer to section 2.7.1 regarding unregistered PMs.</w:t>
      </w:r>
    </w:p>
    <w:p w14:paraId="26DD8802" w14:textId="127C8E8C" w:rsidR="0053476C" w:rsidRPr="00E014B0" w:rsidRDefault="0053476C" w:rsidP="00541E56">
      <w:pPr>
        <w:pStyle w:val="Heading2-Numbered"/>
      </w:pPr>
      <w:bookmarkStart w:id="11" w:name="MGA2020bearingconnection"/>
      <w:bookmarkStart w:id="12" w:name="_Toc215483336"/>
      <w:bookmarkEnd w:id="11"/>
      <w:r w:rsidRPr="00E014B0">
        <w:t>MGA2020 bearing connection derived by GNSS equipment</w:t>
      </w:r>
      <w:bookmarkEnd w:id="12"/>
    </w:p>
    <w:p w14:paraId="519DFC91" w14:textId="2453198D" w:rsidR="00F655D1" w:rsidRPr="001D7902" w:rsidRDefault="00F655D1" w:rsidP="00541E56">
      <w:pPr>
        <w:pStyle w:val="Heading3-Numbered"/>
      </w:pPr>
      <w:bookmarkStart w:id="13" w:name="_Toc215483337"/>
      <w:r>
        <w:t>General</w:t>
      </w:r>
      <w:bookmarkEnd w:id="13"/>
    </w:p>
    <w:p w14:paraId="3FC67967" w14:textId="77777777" w:rsidR="00E014B0" w:rsidRPr="002E426D" w:rsidRDefault="00E014B0" w:rsidP="00E014B0">
      <w:pPr>
        <w:pStyle w:val="BodyText"/>
      </w:pPr>
      <w:r w:rsidRPr="002E426D">
        <w:t xml:space="preserve">GNSS may be used to derive </w:t>
      </w:r>
      <w:r>
        <w:t>MGA2020</w:t>
      </w:r>
      <w:r w:rsidRPr="002E426D">
        <w:t xml:space="preserve"> datum and connect a cadastral survey to </w:t>
      </w:r>
      <w:r>
        <w:t>the Victorian SCN</w:t>
      </w:r>
      <w:r w:rsidRPr="002E426D">
        <w:t xml:space="preserve">. GNSS can achieve centimetre-level measurement quality and is therefore well suited to deriving an </w:t>
      </w:r>
      <w:r>
        <w:t>MGA2020</w:t>
      </w:r>
      <w:r w:rsidRPr="002E426D">
        <w:t xml:space="preserve"> bearing datum, provided appropriate standards and guidelines are adopted.</w:t>
      </w:r>
    </w:p>
    <w:p w14:paraId="3C2C43F4" w14:textId="17DB8087" w:rsidR="00E014B0" w:rsidRPr="002E426D" w:rsidRDefault="00E014B0" w:rsidP="00E014B0">
      <w:pPr>
        <w:pStyle w:val="BodyText"/>
      </w:pPr>
      <w:r w:rsidRPr="002E426D">
        <w:t xml:space="preserve">Surveyors are advised to familiarise themselves with the </w:t>
      </w:r>
      <w:hyperlink r:id="rId37" w:history="1">
        <w:r w:rsidRPr="298BF352">
          <w:rPr>
            <w:rStyle w:val="Hyperlink"/>
            <w:b/>
          </w:rPr>
          <w:t>Standard for Australian Survey Control Network</w:t>
        </w:r>
      </w:hyperlink>
      <w:r w:rsidRPr="00800FEB">
        <w:t>, Special Publication 1 (SP1) version 2.2</w:t>
      </w:r>
      <w:r w:rsidRPr="00AA6AAE">
        <w:t xml:space="preserve"> and</w:t>
      </w:r>
      <w:r w:rsidRPr="00800FEB">
        <w:t xml:space="preserve"> </w:t>
      </w:r>
      <w:hyperlink r:id="rId38" w:history="1">
        <w:r w:rsidRPr="298BF352">
          <w:rPr>
            <w:rStyle w:val="Hyperlink"/>
            <w:b/>
          </w:rPr>
          <w:t>Guideline for Control Surveys by GNSS</w:t>
        </w:r>
      </w:hyperlink>
      <w:r w:rsidRPr="00800FEB">
        <w:t xml:space="preserve"> version 2.2</w:t>
      </w:r>
      <w:r w:rsidRPr="002E426D">
        <w:t xml:space="preserve"> published by the Intergovernmental Committee on Surveying and Mapping (ICSM). </w:t>
      </w:r>
      <w:r>
        <w:t>These are</w:t>
      </w:r>
      <w:r w:rsidRPr="002E426D">
        <w:t xml:space="preserve"> available at </w:t>
      </w:r>
      <w:hyperlink r:id="rId39" w:history="1">
        <w:r w:rsidRPr="00800FEB">
          <w:rPr>
            <w:rStyle w:val="Hyperlink"/>
            <w:b/>
          </w:rPr>
          <w:t>www.icsm.gov.au/publications</w:t>
        </w:r>
      </w:hyperlink>
      <w:r w:rsidRPr="002E426D">
        <w:t xml:space="preserve">. Furthermore, surveyors are to be familiar with </w:t>
      </w:r>
      <w:r w:rsidRPr="00161046">
        <w:t xml:space="preserve">Section 12, Part 2 – Survey Procedures, </w:t>
      </w:r>
      <w:hyperlink r:id="rId40" w:history="1">
        <w:r w:rsidRPr="298BF352">
          <w:rPr>
            <w:rStyle w:val="Hyperlink"/>
            <w:i/>
          </w:rPr>
          <w:t>Survey Practice Handbook – Victoria</w:t>
        </w:r>
      </w:hyperlink>
      <w:r w:rsidRPr="002E426D">
        <w:t xml:space="preserve">, which is available </w:t>
      </w:r>
      <w:r>
        <w:t xml:space="preserve">at </w:t>
      </w:r>
      <w:hyperlink r:id="rId41" w:history="1">
        <w:r w:rsidRPr="6049FF3F">
          <w:rPr>
            <w:rStyle w:val="Hyperlink"/>
            <w:b/>
          </w:rPr>
          <w:t>www.surveyorsboard.vic.gov.au</w:t>
        </w:r>
      </w:hyperlink>
      <w:r>
        <w:t>.</w:t>
      </w:r>
    </w:p>
    <w:p w14:paraId="0937B1D3" w14:textId="41DC37C0" w:rsidR="00E014B0" w:rsidRPr="002E426D" w:rsidRDefault="00E014B0" w:rsidP="00E014B0">
      <w:pPr>
        <w:pStyle w:val="BodyText"/>
      </w:pPr>
      <w:r>
        <w:t xml:space="preserve">Network </w:t>
      </w:r>
      <w:r w:rsidR="00171572">
        <w:t>r</w:t>
      </w:r>
      <w:r>
        <w:t>eal</w:t>
      </w:r>
      <w:r w:rsidR="00171572">
        <w:t>-</w:t>
      </w:r>
      <w:r>
        <w:t>time kinematic</w:t>
      </w:r>
      <w:r w:rsidRPr="002E426D">
        <w:t xml:space="preserve"> </w:t>
      </w:r>
      <w:r>
        <w:t>(NRTK) GNSS</w:t>
      </w:r>
      <w:r w:rsidRPr="002E426D">
        <w:t xml:space="preserve"> survey</w:t>
      </w:r>
      <w:r>
        <w:t xml:space="preserve"> methods are the most commonly used by surveyors to obtain MGA2020 coordinates and</w:t>
      </w:r>
      <w:r w:rsidRPr="002E426D" w:rsidDel="00F67227">
        <w:t xml:space="preserve"> </w:t>
      </w:r>
      <w:r w:rsidRPr="002E426D">
        <w:t>bearings for a cadastral survey in Victoria.</w:t>
      </w:r>
    </w:p>
    <w:p w14:paraId="38AD9863" w14:textId="77777777" w:rsidR="00E014B0" w:rsidRPr="002E426D" w:rsidRDefault="00E014B0" w:rsidP="00E014B0">
      <w:pPr>
        <w:pStyle w:val="BodyText"/>
      </w:pPr>
      <w:r>
        <w:t xml:space="preserve">Static GNSS survey techniques, in which data is logged and post processed, </w:t>
      </w:r>
      <w:r w:rsidRPr="002E426D">
        <w:t>can</w:t>
      </w:r>
      <w:r>
        <w:t xml:space="preserve"> also</w:t>
      </w:r>
      <w:r w:rsidRPr="002E426D">
        <w:t xml:space="preserve"> be used to establish </w:t>
      </w:r>
      <w:r>
        <w:t>MGA2020</w:t>
      </w:r>
      <w:r w:rsidRPr="002E426D">
        <w:t xml:space="preserve"> </w:t>
      </w:r>
      <w:r>
        <w:t xml:space="preserve">coordinates and </w:t>
      </w:r>
      <w:r w:rsidRPr="002E426D">
        <w:t xml:space="preserve">bearing datum. This is particularly useful where existing SCN marks are limited, far apart, difficult to traverse between or </w:t>
      </w:r>
      <w:r>
        <w:t>poor communication reception prohibits NRTK GNSS survey techniques</w:t>
      </w:r>
      <w:r w:rsidRPr="002E426D">
        <w:t>.</w:t>
      </w:r>
    </w:p>
    <w:p w14:paraId="76BBD24C" w14:textId="1C1EFB16" w:rsidR="00E014B0" w:rsidRDefault="00171572" w:rsidP="00E014B0">
      <w:pPr>
        <w:pStyle w:val="BodyText"/>
        <w:spacing w:before="0" w:after="0"/>
      </w:pPr>
      <w:r>
        <w:t>LUV</w:t>
      </w:r>
      <w:r w:rsidR="00E014B0">
        <w:t xml:space="preserve"> Geodesy encourages surveyors to submit logged, static GNSS data on PMs for processing and inclusion in the Victorian SCN adjustment. A</w:t>
      </w:r>
      <w:r w:rsidR="00E014B0" w:rsidRPr="002E426D">
        <w:t xml:space="preserve">n informative </w:t>
      </w:r>
      <w:r w:rsidR="00E014B0">
        <w:t>f</w:t>
      </w:r>
      <w:r w:rsidR="00E014B0" w:rsidRPr="002E426D">
        <w:t xml:space="preserve">act </w:t>
      </w:r>
      <w:r w:rsidR="00E014B0">
        <w:t>s</w:t>
      </w:r>
      <w:r w:rsidR="00E014B0" w:rsidRPr="002E426D">
        <w:t xml:space="preserve">heet entitled </w:t>
      </w:r>
      <w:hyperlink r:id="rId42" w:history="1">
        <w:r w:rsidR="00E014B0" w:rsidRPr="00800FEB">
          <w:rPr>
            <w:rStyle w:val="Hyperlink"/>
            <w:b/>
          </w:rPr>
          <w:t>Submission of GNSS data</w:t>
        </w:r>
      </w:hyperlink>
      <w:r w:rsidR="00E014B0">
        <w:t xml:space="preserve"> </w:t>
      </w:r>
      <w:r w:rsidR="00E014B0" w:rsidRPr="002E426D">
        <w:t xml:space="preserve">at </w:t>
      </w:r>
      <w:hyperlink r:id="rId43" w:history="1">
        <w:r w:rsidR="00545352" w:rsidRPr="00800FEB">
          <w:rPr>
            <w:rStyle w:val="Hyperlink"/>
            <w:b/>
          </w:rPr>
          <w:t>www.land.vic.gov.au/surveying/services/survey-marks-enquiry-service</w:t>
        </w:r>
      </w:hyperlink>
      <w:r w:rsidR="00E014B0">
        <w:t xml:space="preserve">, </w:t>
      </w:r>
      <w:r w:rsidR="00E014B0" w:rsidRPr="002E426D">
        <w:t>provides</w:t>
      </w:r>
      <w:r w:rsidR="00E014B0" w:rsidRPr="002E426D" w:rsidDel="00085B40">
        <w:t xml:space="preserve"> </w:t>
      </w:r>
      <w:r w:rsidR="00E014B0">
        <w:t>guidance</w:t>
      </w:r>
      <w:r w:rsidR="00E014B0" w:rsidRPr="002E426D">
        <w:t xml:space="preserve"> to surveyors </w:t>
      </w:r>
      <w:r w:rsidR="00E014B0">
        <w:t>contributing to this free service to enhance the Victorian SCN</w:t>
      </w:r>
      <w:r w:rsidR="00E014B0" w:rsidRPr="002E426D">
        <w:t xml:space="preserve">. Additionally, </w:t>
      </w:r>
      <w:r w:rsidR="00E014B0">
        <w:t xml:space="preserve">static GNSS </w:t>
      </w:r>
      <w:r w:rsidR="00E014B0" w:rsidRPr="002E426D">
        <w:t xml:space="preserve">data can be </w:t>
      </w:r>
      <w:r w:rsidR="00E014B0">
        <w:t>submitted to the AUSPOS free, online GPS processing service for the determination of MGA2020 coordinates. AUSPOS is managed by</w:t>
      </w:r>
      <w:r w:rsidR="00E014B0" w:rsidRPr="002E426D">
        <w:t xml:space="preserve"> Geoscience Australia </w:t>
      </w:r>
      <w:r w:rsidR="00E014B0" w:rsidRPr="00545A7E">
        <w:t>at</w:t>
      </w:r>
      <w:r w:rsidR="00E014B0" w:rsidRPr="00800FEB">
        <w:rPr>
          <w:b/>
        </w:rPr>
        <w:t xml:space="preserve"> </w:t>
      </w:r>
      <w:hyperlink r:id="rId44" w:history="1">
        <w:r w:rsidR="00E014B0" w:rsidRPr="487ECCE2">
          <w:rPr>
            <w:rStyle w:val="Hyperlink"/>
            <w:rFonts w:cs="Helv"/>
            <w:b/>
          </w:rPr>
          <w:t>www.ga.gov.au/scientific-topics/positioning-navigation/geodesy/auspos</w:t>
        </w:r>
      </w:hyperlink>
      <w:r w:rsidR="00E014B0" w:rsidRPr="002E426D">
        <w:t>.</w:t>
      </w:r>
    </w:p>
    <w:p w14:paraId="77E7876B" w14:textId="1E7FA0A0" w:rsidR="00E014B0" w:rsidRDefault="00E014B0" w:rsidP="00E014B0">
      <w:r>
        <w:t>Surveyors must ensure MGA2020 bearings determined by GNSS techniques meet the 20” of arc accuracy requirement discussed previously.</w:t>
      </w:r>
    </w:p>
    <w:p w14:paraId="5DAEF534" w14:textId="2EDEF194" w:rsidR="00F655D1" w:rsidRPr="001D7902" w:rsidRDefault="00F655D1" w:rsidP="00541E56">
      <w:pPr>
        <w:pStyle w:val="Heading3-Numbered"/>
      </w:pPr>
      <w:bookmarkStart w:id="14" w:name="_Toc215483338"/>
      <w:r w:rsidRPr="00F655D1">
        <w:t>GNSS measurement quality and site-specific error sources</w:t>
      </w:r>
      <w:bookmarkEnd w:id="14"/>
    </w:p>
    <w:p w14:paraId="3D4814D3" w14:textId="77777777" w:rsidR="00E014B0" w:rsidRPr="002E426D" w:rsidRDefault="00E014B0" w:rsidP="00E014B0">
      <w:pPr>
        <w:pStyle w:val="BodyText"/>
      </w:pPr>
      <w:r w:rsidRPr="002E426D">
        <w:t>Surveyors are responsible for assessing the suitability of GNSS for use in a cadastral survey. In each case, surveyors must decide what is the appropriate GNSS equipment and measurement technique</w:t>
      </w:r>
      <w:r>
        <w:t xml:space="preserve"> for the survey </w:t>
      </w:r>
      <w:r w:rsidRPr="002E426D">
        <w:t xml:space="preserve">and adopt proper verification procedures to ensure the </w:t>
      </w:r>
      <w:r>
        <w:t xml:space="preserve">required </w:t>
      </w:r>
      <w:r w:rsidRPr="002E426D">
        <w:t>level of quality has been achieved.</w:t>
      </w:r>
    </w:p>
    <w:p w14:paraId="3242872A" w14:textId="1153AFD5" w:rsidR="00E014B0" w:rsidRDefault="00E014B0" w:rsidP="00E014B0">
      <w:r w:rsidRPr="002E426D">
        <w:lastRenderedPageBreak/>
        <w:t>Under good conditions</w:t>
      </w:r>
      <w:r>
        <w:t>,</w:t>
      </w:r>
      <w:r w:rsidRPr="002E426D">
        <w:t xml:space="preserve"> </w:t>
      </w:r>
      <w:r>
        <w:t>GNSS</w:t>
      </w:r>
      <w:r w:rsidRPr="002E426D">
        <w:t xml:space="preserve"> positioning techniques with modern GNSS equipment can achieve positioning uncertainties of less than a few centimetres. It is recognised that site specific GNSS error sources that limit GNSS measurement from achieving normal or expected positioning quality can often be present in cadastral survey environments. Surveyors must endeavour to minimise the influence of site specific error</w:t>
      </w:r>
      <w:r>
        <w:t>s</w:t>
      </w:r>
      <w:r w:rsidRPr="002E426D">
        <w:t xml:space="preserve"> at all times when using GNSS</w:t>
      </w:r>
      <w:r>
        <w:t xml:space="preserve"> surveying techniques</w:t>
      </w:r>
      <w:r w:rsidRPr="002E426D">
        <w:t>.</w:t>
      </w:r>
    </w:p>
    <w:p w14:paraId="05C14E4D" w14:textId="60170346" w:rsidR="00F655D1" w:rsidRPr="001D7902" w:rsidRDefault="00F655D1" w:rsidP="00541E56">
      <w:pPr>
        <w:pStyle w:val="Heading3-Numbered"/>
      </w:pPr>
      <w:bookmarkStart w:id="15" w:name="_Toc215483339"/>
      <w:r w:rsidRPr="00F655D1">
        <w:t>Maximising NRTK positioning quality</w:t>
      </w:r>
      <w:bookmarkEnd w:id="15"/>
    </w:p>
    <w:p w14:paraId="28BB9A6E" w14:textId="77777777" w:rsidR="0091438B" w:rsidRPr="002E426D" w:rsidRDefault="0091438B" w:rsidP="0091438B">
      <w:pPr>
        <w:pStyle w:val="BodyText"/>
      </w:pPr>
      <w:r w:rsidRPr="002E426D">
        <w:t xml:space="preserve">While every effort may be given to minimising site specific GNSS error sources, it is not always possible to remove all sources of error when using </w:t>
      </w:r>
      <w:r>
        <w:t>N</w:t>
      </w:r>
      <w:r w:rsidRPr="002E426D">
        <w:t>RTK positioning techniques.</w:t>
      </w:r>
    </w:p>
    <w:p w14:paraId="40202987" w14:textId="77777777" w:rsidR="0091438B" w:rsidRPr="0091438B" w:rsidRDefault="0091438B" w:rsidP="0091438B">
      <w:pPr>
        <w:pStyle w:val="BodyText"/>
        <w:rPr>
          <w:b/>
          <w:i/>
        </w:rPr>
      </w:pPr>
      <w:r w:rsidRPr="0091438B">
        <w:rPr>
          <w:b/>
          <w:i/>
        </w:rPr>
        <w:t xml:space="preserve">Survey control for </w:t>
      </w:r>
      <w:r w:rsidRPr="00800FEB">
        <w:rPr>
          <w:b/>
        </w:rPr>
        <w:t>MGA2020</w:t>
      </w:r>
      <w:r w:rsidRPr="0091438B">
        <w:rPr>
          <w:b/>
          <w:i/>
        </w:rPr>
        <w:t xml:space="preserve"> bearing in a cadastral survey</w:t>
      </w:r>
    </w:p>
    <w:p w14:paraId="2CE60965" w14:textId="77777777" w:rsidR="0091438B" w:rsidRDefault="0091438B" w:rsidP="0091438B">
      <w:pPr>
        <w:pStyle w:val="BodyText"/>
      </w:pPr>
      <w:r w:rsidRPr="002E426D">
        <w:t xml:space="preserve">When establishing survey control to enable an </w:t>
      </w:r>
      <w:r>
        <w:t>MGA2020</w:t>
      </w:r>
      <w:r w:rsidRPr="002E426D">
        <w:t xml:space="preserve"> bearing datum to be determined, the follo</w:t>
      </w:r>
      <w:r>
        <w:t>wing techniques are to be used:</w:t>
      </w:r>
    </w:p>
    <w:p w14:paraId="10032A02" w14:textId="7AF5B7E3" w:rsidR="0091438B" w:rsidRDefault="0091438B" w:rsidP="00CB55B7">
      <w:pPr>
        <w:pStyle w:val="ListAlpha"/>
        <w:numPr>
          <w:ilvl w:val="0"/>
          <w:numId w:val="15"/>
        </w:numPr>
      </w:pPr>
      <w:r w:rsidRPr="002E426D">
        <w:t xml:space="preserve">To assist with identifying erroneous position determinations, the use of </w:t>
      </w:r>
      <w:r>
        <w:t>N</w:t>
      </w:r>
      <w:r w:rsidRPr="002E426D">
        <w:t xml:space="preserve">RTK positioning techniques on a survey control mark (PM or PCM) must consist of at least </w:t>
      </w:r>
      <w:r w:rsidRPr="002E426D" w:rsidDel="0094303E">
        <w:t>two</w:t>
      </w:r>
      <w:r w:rsidRPr="002E426D">
        <w:t xml:space="preserve"> independent occupations.</w:t>
      </w:r>
    </w:p>
    <w:p w14:paraId="1AD70874" w14:textId="58321241" w:rsidR="00952A3B" w:rsidRPr="00952A3B" w:rsidRDefault="00952A3B" w:rsidP="00CB55B7">
      <w:pPr>
        <w:pStyle w:val="ListAlpha"/>
        <w:numPr>
          <w:ilvl w:val="0"/>
          <w:numId w:val="15"/>
        </w:numPr>
      </w:pPr>
      <w:r w:rsidRPr="002E426D">
        <w:t>Each occupation must be</w:t>
      </w:r>
      <w:r>
        <w:t xml:space="preserve"> of</w:t>
      </w:r>
      <w:r w:rsidRPr="002E426D">
        <w:t xml:space="preserve"> at least one-minute duration. The second initialisation and occupation is to be separated by at least 20 minutes, and </w:t>
      </w:r>
      <w:r w:rsidRPr="00FA57FF">
        <w:rPr>
          <w:color w:val="auto"/>
        </w:rPr>
        <w:t>preferably more than 60 minutes, from the first occupation. It also must be of at least one-minute duration.</w:t>
      </w:r>
    </w:p>
    <w:p w14:paraId="72C44063" w14:textId="4799CAFB" w:rsidR="00952A3B" w:rsidRDefault="00952A3B" w:rsidP="00CB55B7">
      <w:pPr>
        <w:pStyle w:val="ListAlpha"/>
        <w:numPr>
          <w:ilvl w:val="0"/>
          <w:numId w:val="15"/>
        </w:numPr>
      </w:pPr>
      <w:r w:rsidRPr="00FA57FF">
        <w:t xml:space="preserve">The horizontal component of the differences between the </w:t>
      </w:r>
      <w:r w:rsidRPr="00FA57FF" w:rsidDel="0094303E">
        <w:t>two</w:t>
      </w:r>
      <w:r w:rsidRPr="00FA57FF">
        <w:t xml:space="preserve"> NRTK determinations should be comparable to the expected level of agreement that would normally</w:t>
      </w:r>
      <w:r w:rsidRPr="002E426D">
        <w:t xml:space="preserve"> be obtained from the GNSS equipment and RTK positioning technique. </w:t>
      </w:r>
      <w:r>
        <w:t>The difference</w:t>
      </w:r>
      <w:r w:rsidRPr="002E426D">
        <w:t xml:space="preserve"> between </w:t>
      </w:r>
      <w:r w:rsidRPr="002E426D" w:rsidDel="0094303E">
        <w:t>two</w:t>
      </w:r>
      <w:r w:rsidRPr="002E426D">
        <w:t xml:space="preserve"> </w:t>
      </w:r>
      <w:r>
        <w:t>N</w:t>
      </w:r>
      <w:r w:rsidRPr="002E426D">
        <w:t>RTK determinations should not exceed 0.05 metres.</w:t>
      </w:r>
    </w:p>
    <w:p w14:paraId="30291BE7" w14:textId="2C83B52A" w:rsidR="005451FE" w:rsidRPr="00952A3B" w:rsidRDefault="00952A3B" w:rsidP="00CB55B7">
      <w:pPr>
        <w:pStyle w:val="ListAlpha"/>
        <w:numPr>
          <w:ilvl w:val="0"/>
          <w:numId w:val="15"/>
        </w:numPr>
      </w:pPr>
      <w:r>
        <w:t xml:space="preserve">Baseline sufficient in length to achieve the </w:t>
      </w:r>
      <w:r w:rsidRPr="002E426D">
        <w:t>Surveyor-General’s requirement for the accuracy of an</w:t>
      </w:r>
      <w:r w:rsidR="00ED0629">
        <w:t xml:space="preserve"> </w:t>
      </w:r>
      <w:r>
        <w:t>MGA2020</w:t>
      </w:r>
      <w:r w:rsidRPr="002E426D">
        <w:t xml:space="preserve"> bearing datum determ</w:t>
      </w:r>
      <w:r>
        <w:t xml:space="preserve">ination of </w:t>
      </w:r>
      <w:r w:rsidRPr="00B760A4">
        <w:rPr>
          <w:b/>
          <w:bCs/>
        </w:rPr>
        <w:t>at least 20” of arc</w:t>
      </w:r>
      <w:r>
        <w:t>.</w:t>
      </w:r>
    </w:p>
    <w:p w14:paraId="7353DCD5" w14:textId="581DF7D0" w:rsidR="00F655D1" w:rsidRPr="005451FE" w:rsidRDefault="00F655D1" w:rsidP="005451FE">
      <w:pPr>
        <w:pStyle w:val="BodyText"/>
        <w:rPr>
          <w:b/>
          <w:i/>
        </w:rPr>
      </w:pPr>
      <w:r w:rsidRPr="005451FE">
        <w:rPr>
          <w:b/>
          <w:i/>
        </w:rPr>
        <w:t>General survey marks in a cadastral survey</w:t>
      </w:r>
    </w:p>
    <w:p w14:paraId="4173B387" w14:textId="3D89109D" w:rsidR="00F655D1" w:rsidRDefault="005451FE" w:rsidP="00F655D1">
      <w:r w:rsidRPr="005451FE">
        <w:t>For other general survey marks located within the cadastral survey, the observation times may be reduced, but suitable checking techniques are to be employed. A second initialisation and occupation of every mark is required.</w:t>
      </w:r>
    </w:p>
    <w:p w14:paraId="738E7FBB" w14:textId="69D3DBD2" w:rsidR="00F655D1" w:rsidRPr="001D7902" w:rsidRDefault="00F655D1" w:rsidP="00541E56">
      <w:pPr>
        <w:pStyle w:val="Heading3-Numbered"/>
      </w:pPr>
      <w:bookmarkStart w:id="16" w:name="_Toc215483340"/>
      <w:r w:rsidRPr="00F655D1">
        <w:t>Verifying GNSS measurements</w:t>
      </w:r>
      <w:bookmarkEnd w:id="16"/>
    </w:p>
    <w:p w14:paraId="0ADD024E" w14:textId="6D5E6DE7" w:rsidR="005451FE" w:rsidRPr="002E426D" w:rsidRDefault="005451FE" w:rsidP="005451FE">
      <w:pPr>
        <w:pStyle w:val="BodyText"/>
      </w:pPr>
      <w:r w:rsidRPr="002E426D">
        <w:t xml:space="preserve">All </w:t>
      </w:r>
      <w:r>
        <w:t>MGA2020</w:t>
      </w:r>
      <w:r w:rsidRPr="002E426D">
        <w:t xml:space="preserve"> coordinate values derived from GNSS measurement</w:t>
      </w:r>
      <w:r>
        <w:t xml:space="preserve"> to determine MGA2020 bearing datum</w:t>
      </w:r>
      <w:r w:rsidRPr="002E426D">
        <w:t xml:space="preserve"> must be verified by connecting to at least one existing SCN mark</w:t>
      </w:r>
      <w:r>
        <w:t xml:space="preserve"> which is </w:t>
      </w:r>
      <w:r w:rsidR="00ED0629">
        <w:t>closest</w:t>
      </w:r>
      <w:r>
        <w:t xml:space="preserve"> to the site of the cadastral survey</w:t>
      </w:r>
      <w:r w:rsidR="00CD59EC">
        <w:t xml:space="preserve"> that is suitable for GNSS observations</w:t>
      </w:r>
      <w:r w:rsidRPr="002E426D" w:rsidDel="00F36001">
        <w:t>.</w:t>
      </w:r>
      <w:r>
        <w:t xml:space="preserve"> Connection to SCN marks remote from the cadastral survey and beyond that of nearer practicable marks is not permitted. </w:t>
      </w:r>
      <w:r w:rsidRPr="002E426D">
        <w:t xml:space="preserve">When connecting to SCN marks, the </w:t>
      </w:r>
      <w:r>
        <w:t>MGA2020</w:t>
      </w:r>
      <w:r w:rsidRPr="002E426D">
        <w:t xml:space="preserve"> coordinates must be compared with the values published in SMES. A variation in the horizontal component of the coordinate difference of up to 0.10 metres is acceptable. This difference takes into consideration the likely uncertainty in GNSS measurement and uncertainty in the published coordinates.</w:t>
      </w:r>
    </w:p>
    <w:p w14:paraId="5BAE0EAD" w14:textId="77777777" w:rsidR="005451FE" w:rsidRPr="002E426D" w:rsidRDefault="005451FE" w:rsidP="005451FE">
      <w:pPr>
        <w:pStyle w:val="BodyText"/>
      </w:pPr>
      <w:r w:rsidRPr="002E426D">
        <w:t xml:space="preserve">Where this variation exceeds 0.10 metres, the surveyor </w:t>
      </w:r>
      <w:r w:rsidRPr="55C63B2B">
        <w:rPr>
          <w:b/>
        </w:rPr>
        <w:t>must</w:t>
      </w:r>
      <w:r>
        <w:t xml:space="preserve"> do both of the following</w:t>
      </w:r>
      <w:r w:rsidRPr="002E426D">
        <w:t>:</w:t>
      </w:r>
    </w:p>
    <w:p w14:paraId="3F75E05C" w14:textId="77777777" w:rsidR="005451FE" w:rsidRDefault="005451FE" w:rsidP="00CB55B7">
      <w:pPr>
        <w:pStyle w:val="ListAlpha"/>
        <w:numPr>
          <w:ilvl w:val="0"/>
          <w:numId w:val="16"/>
        </w:numPr>
      </w:pPr>
      <w:r w:rsidRPr="002E426D">
        <w:t>connect to at least one other SCN mark to</w:t>
      </w:r>
      <w:r>
        <w:t xml:space="preserve"> ideally identify the cause of the difference</w:t>
      </w:r>
      <w:r w:rsidRPr="002E426D">
        <w:t xml:space="preserve"> </w:t>
      </w:r>
    </w:p>
    <w:p w14:paraId="282CF746" w14:textId="713F7803" w:rsidR="005451FE" w:rsidRPr="00800FEB" w:rsidRDefault="005451FE" w:rsidP="00CB55B7">
      <w:pPr>
        <w:pStyle w:val="ListAlpha"/>
        <w:numPr>
          <w:ilvl w:val="0"/>
          <w:numId w:val="16"/>
        </w:numPr>
        <w:rPr>
          <w:b/>
        </w:rPr>
      </w:pPr>
      <w:r w:rsidRPr="00E608B2">
        <w:t>a</w:t>
      </w:r>
      <w:r>
        <w:t xml:space="preserve">dvise </w:t>
      </w:r>
      <w:r w:rsidR="00171572">
        <w:t>LUV</w:t>
      </w:r>
      <w:r>
        <w:t xml:space="preserve"> Geodesy</w:t>
      </w:r>
      <w:r w:rsidDel="004951D9">
        <w:t xml:space="preserve"> </w:t>
      </w:r>
      <w:r w:rsidRPr="002E426D">
        <w:t xml:space="preserve">of the discrepancy by email to </w:t>
      </w:r>
      <w:hyperlink r:id="rId45" w:history="1">
        <w:r w:rsidRPr="7C1041DB">
          <w:rPr>
            <w:rStyle w:val="Hyperlink"/>
            <w:b/>
          </w:rPr>
          <w:t>smes.support@transport.vic.gov.au</w:t>
        </w:r>
      </w:hyperlink>
      <w:r w:rsidR="0056622F">
        <w:t>.</w:t>
      </w:r>
    </w:p>
    <w:p w14:paraId="601707B4" w14:textId="2FCCEE88" w:rsidR="005451FE" w:rsidRPr="002E426D" w:rsidRDefault="00171572" w:rsidP="005451FE">
      <w:pPr>
        <w:pStyle w:val="BodyText"/>
      </w:pPr>
      <w:r>
        <w:t xml:space="preserve">LUV </w:t>
      </w:r>
      <w:r w:rsidR="005451FE">
        <w:t xml:space="preserve">Geodesy </w:t>
      </w:r>
      <w:r w:rsidR="005451FE" w:rsidRPr="002E426D">
        <w:t>will assess and endeavour to rec</w:t>
      </w:r>
      <w:r w:rsidR="005451FE">
        <w:t>tify the reported anomaly</w:t>
      </w:r>
      <w:r w:rsidR="005451FE" w:rsidRPr="002E426D">
        <w:t xml:space="preserve"> and improve the published coordinate and uncertainty values.</w:t>
      </w:r>
    </w:p>
    <w:p w14:paraId="409E101D" w14:textId="3AE98D59" w:rsidR="005451FE" w:rsidRDefault="005451FE" w:rsidP="005451FE">
      <w:r w:rsidRPr="002E426D">
        <w:t>Verification comparisons are to be reported upon in the licensed surveyor’s report</w:t>
      </w:r>
      <w:r>
        <w:t xml:space="preserve"> of the cadastral survey</w:t>
      </w:r>
      <w:r w:rsidRPr="002E426D">
        <w:t>.</w:t>
      </w:r>
      <w:r>
        <w:t xml:space="preserve"> </w:t>
      </w:r>
      <w:r w:rsidRPr="00523764">
        <w:t xml:space="preserve">See section 5 </w:t>
      </w:r>
      <w:r w:rsidR="0056622F">
        <w:t>of this document (</w:t>
      </w:r>
      <w:r w:rsidRPr="00523764">
        <w:t>Licensed Surveyor’s Report</w:t>
      </w:r>
      <w:r w:rsidR="0056622F">
        <w:t>)</w:t>
      </w:r>
      <w:r w:rsidRPr="00523764">
        <w:t>.</w:t>
      </w:r>
    </w:p>
    <w:p w14:paraId="5F574884" w14:textId="1A5015F5" w:rsidR="00464360" w:rsidRPr="001D7902" w:rsidRDefault="00464360" w:rsidP="00541E56">
      <w:pPr>
        <w:pStyle w:val="Heading3-Numbered"/>
      </w:pPr>
      <w:bookmarkStart w:id="17" w:name="_Toc215483341"/>
      <w:r w:rsidRPr="00464360">
        <w:lastRenderedPageBreak/>
        <w:t>Deriving bearing and ground distance from GNSS positioning</w:t>
      </w:r>
      <w:bookmarkEnd w:id="17"/>
    </w:p>
    <w:p w14:paraId="1FE3B8B1" w14:textId="77777777" w:rsidR="00B326AF" w:rsidRPr="002E426D" w:rsidRDefault="00B326AF" w:rsidP="00B326AF">
      <w:pPr>
        <w:pStyle w:val="BodyText"/>
      </w:pPr>
      <w:r w:rsidRPr="002E426D">
        <w:t xml:space="preserve">Unlike bearing and distance measurements obtained using a theodolite/EDM or total station, bearings and distances derived from </w:t>
      </w:r>
      <w:r>
        <w:t xml:space="preserve">GNSS </w:t>
      </w:r>
      <w:r w:rsidRPr="002E426D">
        <w:t>positioning techniques are based upon relative differences of absolute positions. Since the respective positions each have an associated uncertainty, it is essential to keep in mind the way in which uncertainty propagates into GNSS-derived bearings and distances.</w:t>
      </w:r>
    </w:p>
    <w:p w14:paraId="4DB47B1C" w14:textId="4E8DC880" w:rsidR="00B326AF" w:rsidRDefault="00B326AF" w:rsidP="00B326AF">
      <w:r w:rsidRPr="002E426D">
        <w:t xml:space="preserve">A surveyor must show on the abstract of field records the derived connection from the SCN mark (used for verification purposes) to </w:t>
      </w:r>
      <w:r>
        <w:t xml:space="preserve">at least </w:t>
      </w:r>
      <w:r w:rsidRPr="002E426D">
        <w:t xml:space="preserve">one of the survey control marks (PM or PCM) in the survey. The connection shown must consist of the </w:t>
      </w:r>
      <w:r>
        <w:t>MGA2020</w:t>
      </w:r>
      <w:r w:rsidRPr="002E426D">
        <w:t xml:space="preserve"> </w:t>
      </w:r>
      <w:r w:rsidRPr="00523764">
        <w:t xml:space="preserve">bearing and </w:t>
      </w:r>
      <w:r w:rsidRPr="00523764">
        <w:rPr>
          <w:b/>
        </w:rPr>
        <w:t>ground</w:t>
      </w:r>
      <w:r w:rsidRPr="00523764">
        <w:t xml:space="preserve"> distance (grid distance </w:t>
      </w:r>
      <w:r w:rsidR="00D431CD">
        <w:t>divided</w:t>
      </w:r>
      <w:r w:rsidRPr="00523764">
        <w:t xml:space="preserve"> by</w:t>
      </w:r>
      <w:r w:rsidR="00CD59EC">
        <w:t xml:space="preserve"> the</w:t>
      </w:r>
      <w:r w:rsidRPr="00523764">
        <w:t xml:space="preserve"> mean combined scale factor and what would be measured in the field) and the distance must be accompanied by the description ‘Ground’ on the abstract. See section 6.3 – Format of the</w:t>
      </w:r>
      <w:r>
        <w:t xml:space="preserve"> abstract of field records.</w:t>
      </w:r>
    </w:p>
    <w:p w14:paraId="16F7A733" w14:textId="29413D02" w:rsidR="00464360" w:rsidRPr="000663A0" w:rsidRDefault="00464360" w:rsidP="00541E56">
      <w:pPr>
        <w:pStyle w:val="Heading2-Numbered"/>
      </w:pPr>
      <w:bookmarkStart w:id="18" w:name="_Toc215483342"/>
      <w:r w:rsidRPr="000663A0">
        <w:t>Requirements when connecting cadastral surveys to AHD</w:t>
      </w:r>
      <w:bookmarkEnd w:id="18"/>
    </w:p>
    <w:p w14:paraId="71BEE6AF" w14:textId="70B8C2E9" w:rsidR="00464360" w:rsidRPr="001D7902" w:rsidRDefault="00464360" w:rsidP="00541E56">
      <w:pPr>
        <w:pStyle w:val="Heading3-Numbered"/>
      </w:pPr>
      <w:bookmarkStart w:id="19" w:name="_Toc215483343"/>
      <w:r w:rsidRPr="0053476C">
        <w:t>General</w:t>
      </w:r>
      <w:bookmarkEnd w:id="19"/>
    </w:p>
    <w:p w14:paraId="3E7C31C8" w14:textId="168F4983" w:rsidR="008E38DD" w:rsidRDefault="008E38DD" w:rsidP="00464360">
      <w:pPr>
        <w:pStyle w:val="GreyText"/>
        <w:rPr>
          <w:color w:val="auto"/>
          <w:lang w:eastAsia="en-AU"/>
        </w:rPr>
      </w:pPr>
      <w:r w:rsidRPr="00B12186">
        <w:rPr>
          <w:color w:val="auto"/>
          <w:lang w:eastAsia="en-AU"/>
        </w:rPr>
        <w:t>The Australian Height Datum (AHD) is the national height datum and is primarily realised in Victoria by survey marks with published level-adjusted AHD heights. In Victoria, cadastral surveys with a height component are required to be aligned to AHD</w:t>
      </w:r>
      <w:r w:rsidR="00171572">
        <w:rPr>
          <w:color w:val="auto"/>
          <w:lang w:eastAsia="en-AU"/>
        </w:rPr>
        <w:t xml:space="preserve"> and properly verify the AHD height connection pursuant to </w:t>
      </w:r>
      <w:r w:rsidR="00171572" w:rsidRPr="00414112">
        <w:rPr>
          <w:color w:val="auto"/>
          <w:lang w:eastAsia="en-AU"/>
        </w:rPr>
        <w:t>Regulation 11(</w:t>
      </w:r>
      <w:r w:rsidR="00171572">
        <w:rPr>
          <w:color w:val="auto"/>
          <w:lang w:eastAsia="en-AU"/>
        </w:rPr>
        <w:t>1</w:t>
      </w:r>
      <w:r w:rsidR="00171572" w:rsidRPr="00414112">
        <w:rPr>
          <w:color w:val="auto"/>
          <w:lang w:eastAsia="en-AU"/>
        </w:rPr>
        <w:t>)(</w:t>
      </w:r>
      <w:r w:rsidR="00171572">
        <w:rPr>
          <w:color w:val="auto"/>
          <w:lang w:eastAsia="en-AU"/>
        </w:rPr>
        <w:t>c</w:t>
      </w:r>
      <w:r w:rsidR="00171572" w:rsidRPr="00414112">
        <w:rPr>
          <w:color w:val="auto"/>
          <w:lang w:eastAsia="en-AU"/>
        </w:rPr>
        <w:t xml:space="preserve">), </w:t>
      </w:r>
      <w:r w:rsidR="00171572" w:rsidRPr="075494C3">
        <w:rPr>
          <w:color w:val="auto"/>
          <w:lang w:eastAsia="en-AU"/>
        </w:rPr>
        <w:t>Surveying (Cadastral Surveys) Regulations 2025</w:t>
      </w:r>
      <w:r w:rsidR="00171572">
        <w:rPr>
          <w:color w:val="auto"/>
          <w:lang w:eastAsia="en-AU"/>
        </w:rPr>
        <w:t>.</w:t>
      </w:r>
    </w:p>
    <w:p w14:paraId="2088D1F6" w14:textId="2144D021" w:rsidR="00464360" w:rsidRPr="001D7902" w:rsidRDefault="00464360" w:rsidP="00541E56">
      <w:pPr>
        <w:pStyle w:val="Heading3-Numbered"/>
      </w:pPr>
      <w:bookmarkStart w:id="20" w:name="_Toc215483344"/>
      <w:r w:rsidRPr="00464360">
        <w:t>AHD connection to levelled AHD marks</w:t>
      </w:r>
      <w:bookmarkEnd w:id="20"/>
    </w:p>
    <w:p w14:paraId="2532FBCF" w14:textId="6C23AF28" w:rsidR="008E38DD" w:rsidRPr="00B12186" w:rsidRDefault="008E38DD" w:rsidP="008E38DD">
      <w:pPr>
        <w:pStyle w:val="BodyText"/>
        <w:rPr>
          <w:color w:val="auto"/>
          <w:lang w:eastAsia="en-AU"/>
        </w:rPr>
      </w:pPr>
      <w:r w:rsidRPr="00B12186">
        <w:rPr>
          <w:color w:val="auto"/>
          <w:lang w:eastAsia="en-AU"/>
        </w:rPr>
        <w:t>In cadastral surveys with a height component, a range of survey techniques can be applied to derive heights including conventional traversing, differential levelling or GNSS surveys. Regardless of the measurement technique, AHD heights must be verified and aligned to the local representation of AHD by connecting to levelled AHD marks which are as near as practicable to the site of the cadastral survey.</w:t>
      </w:r>
    </w:p>
    <w:p w14:paraId="2FF2E847" w14:textId="77777777" w:rsidR="008E38DD" w:rsidRPr="00B12186" w:rsidRDefault="008E38DD" w:rsidP="008E38DD">
      <w:pPr>
        <w:pStyle w:val="BodyText"/>
        <w:rPr>
          <w:color w:val="auto"/>
          <w:lang w:eastAsia="en-AU"/>
        </w:rPr>
      </w:pPr>
      <w:r w:rsidRPr="00B12186">
        <w:rPr>
          <w:color w:val="auto"/>
          <w:lang w:eastAsia="en-AU"/>
        </w:rPr>
        <w:t>Levelled AHD survey marks are available in SMES with either level-adjusted AHD heights (bold green circle icon) or levelled AHD heights (light green circle icon). When searching for nearby levelled AHD marks in SMES, priority must be given to marks with level-adjusted AHD heights, with second priority to marks with levelled AHD heights.</w:t>
      </w:r>
    </w:p>
    <w:p w14:paraId="14C5A87D" w14:textId="4F926E06" w:rsidR="008E38DD" w:rsidRPr="00B12186" w:rsidRDefault="008E38DD" w:rsidP="008E38DD">
      <w:pPr>
        <w:pStyle w:val="BodyText"/>
        <w:rPr>
          <w:color w:val="auto"/>
          <w:lang w:eastAsia="en-AU"/>
        </w:rPr>
      </w:pPr>
      <w:r w:rsidRPr="00B12186">
        <w:rPr>
          <w:color w:val="auto"/>
          <w:lang w:eastAsia="en-AU"/>
        </w:rPr>
        <w:t xml:space="preserve">When surveying </w:t>
      </w:r>
      <w:r w:rsidR="00CD59EC">
        <w:rPr>
          <w:color w:val="auto"/>
          <w:lang w:eastAsia="en-AU"/>
        </w:rPr>
        <w:t>using</w:t>
      </w:r>
      <w:r w:rsidRPr="00B12186">
        <w:rPr>
          <w:color w:val="auto"/>
          <w:lang w:eastAsia="en-AU"/>
        </w:rPr>
        <w:t xml:space="preserve"> conventional terrestrial techniques (e.g. levelling or traversing), connection to at least </w:t>
      </w:r>
      <w:r w:rsidRPr="00B12186" w:rsidDel="0094303E">
        <w:rPr>
          <w:color w:val="auto"/>
          <w:lang w:eastAsia="en-AU"/>
        </w:rPr>
        <w:t>two</w:t>
      </w:r>
      <w:r w:rsidRPr="00B12186">
        <w:rPr>
          <w:color w:val="auto"/>
          <w:lang w:eastAsia="en-AU"/>
        </w:rPr>
        <w:t xml:space="preserve"> levelled AHD marks is required to verify the published AHD heights on the local survey marks and avoid any potential disturbance to any one survey mark. Differences observed between published AHD heights on </w:t>
      </w:r>
      <w:r w:rsidRPr="00B12186" w:rsidDel="0094303E">
        <w:rPr>
          <w:color w:val="auto"/>
          <w:lang w:eastAsia="en-AU"/>
        </w:rPr>
        <w:t>two</w:t>
      </w:r>
      <w:r w:rsidRPr="00B12186">
        <w:rPr>
          <w:color w:val="auto"/>
          <w:lang w:eastAsia="en-AU"/>
        </w:rPr>
        <w:t xml:space="preserve"> survey marks should not exceed 0.05</w:t>
      </w:r>
      <w:r w:rsidR="00C775E2">
        <w:rPr>
          <w:color w:val="auto"/>
          <w:lang w:eastAsia="en-AU"/>
        </w:rPr>
        <w:t xml:space="preserve"> </w:t>
      </w:r>
      <w:r w:rsidR="00D6039E" w:rsidRPr="00B12186">
        <w:rPr>
          <w:color w:val="auto"/>
          <w:lang w:eastAsia="en-AU"/>
        </w:rPr>
        <w:t>m</w:t>
      </w:r>
      <w:r w:rsidR="00D6039E">
        <w:rPr>
          <w:color w:val="auto"/>
          <w:lang w:eastAsia="en-AU"/>
        </w:rPr>
        <w:t>etres</w:t>
      </w:r>
      <w:r w:rsidRPr="00B12186">
        <w:rPr>
          <w:color w:val="auto"/>
          <w:lang w:eastAsia="en-AU"/>
        </w:rPr>
        <w:t>.</w:t>
      </w:r>
    </w:p>
    <w:p w14:paraId="3C8A1D39" w14:textId="65F4B17D" w:rsidR="00171572" w:rsidRDefault="008E38DD" w:rsidP="00171572">
      <w:pPr>
        <w:pStyle w:val="BodyText"/>
        <w:rPr>
          <w:color w:val="auto"/>
          <w:lang w:eastAsia="en-AU"/>
        </w:rPr>
      </w:pPr>
      <w:r w:rsidRPr="00B12186">
        <w:rPr>
          <w:color w:val="auto"/>
          <w:lang w:eastAsia="en-AU"/>
        </w:rPr>
        <w:t xml:space="preserve">Where the variation between </w:t>
      </w:r>
      <w:r w:rsidRPr="00B12186" w:rsidDel="0094303E">
        <w:rPr>
          <w:color w:val="auto"/>
          <w:lang w:eastAsia="en-AU"/>
        </w:rPr>
        <w:t>two</w:t>
      </w:r>
      <w:r w:rsidRPr="00B12186">
        <w:rPr>
          <w:color w:val="auto"/>
          <w:lang w:eastAsia="en-AU"/>
        </w:rPr>
        <w:t xml:space="preserve"> levelled AHD marks exceeds 0.05 metres, the surveyor </w:t>
      </w:r>
      <w:r w:rsidRPr="08BF6C6C">
        <w:rPr>
          <w:b/>
          <w:color w:val="auto"/>
          <w:lang w:eastAsia="en-AU"/>
        </w:rPr>
        <w:t>must</w:t>
      </w:r>
      <w:r w:rsidRPr="00B12186">
        <w:rPr>
          <w:color w:val="auto"/>
          <w:lang w:eastAsia="en-AU"/>
        </w:rPr>
        <w:t xml:space="preserve"> do both of the following:</w:t>
      </w:r>
    </w:p>
    <w:p w14:paraId="34E46B9A" w14:textId="77E19D44" w:rsidR="008E38DD" w:rsidRDefault="008E38DD" w:rsidP="00CB55B7">
      <w:pPr>
        <w:pStyle w:val="BodyText"/>
        <w:numPr>
          <w:ilvl w:val="4"/>
          <w:numId w:val="12"/>
        </w:numPr>
        <w:ind w:left="709"/>
        <w:rPr>
          <w:color w:val="auto"/>
          <w:lang w:eastAsia="en-AU"/>
        </w:rPr>
      </w:pPr>
      <w:r w:rsidRPr="00B12186">
        <w:rPr>
          <w:color w:val="auto"/>
          <w:lang w:eastAsia="en-AU"/>
        </w:rPr>
        <w:t>connect to the next available levelled AHD mark to ideally identify the cause of the difference and verify the AHD connection</w:t>
      </w:r>
    </w:p>
    <w:p w14:paraId="3A00C8E4" w14:textId="409504E4" w:rsidR="008E38DD" w:rsidRPr="00171572" w:rsidRDefault="008E38DD" w:rsidP="00CB55B7">
      <w:pPr>
        <w:pStyle w:val="BodyText"/>
        <w:numPr>
          <w:ilvl w:val="4"/>
          <w:numId w:val="12"/>
        </w:numPr>
        <w:ind w:left="709"/>
        <w:rPr>
          <w:color w:val="auto"/>
          <w:lang w:eastAsia="en-AU"/>
        </w:rPr>
      </w:pPr>
      <w:r w:rsidRPr="00171572">
        <w:rPr>
          <w:color w:val="auto"/>
          <w:lang w:eastAsia="en-AU"/>
        </w:rPr>
        <w:t xml:space="preserve">advise </w:t>
      </w:r>
      <w:r w:rsidR="00171572">
        <w:rPr>
          <w:color w:val="auto"/>
          <w:lang w:eastAsia="en-AU"/>
        </w:rPr>
        <w:t>LUV</w:t>
      </w:r>
      <w:r w:rsidRPr="00171572">
        <w:rPr>
          <w:color w:val="auto"/>
          <w:lang w:eastAsia="en-AU"/>
        </w:rPr>
        <w:t xml:space="preserve"> Geodesy of the discrepancy by email to </w:t>
      </w:r>
      <w:hyperlink r:id="rId46" w:history="1">
        <w:r w:rsidRPr="40254136">
          <w:rPr>
            <w:rStyle w:val="Hyperlink"/>
            <w:b/>
            <w:lang w:eastAsia="en-AU"/>
          </w:rPr>
          <w:t>smes.support@transport.vic.gov.au</w:t>
        </w:r>
      </w:hyperlink>
      <w:r w:rsidR="0056622F">
        <w:t>.</w:t>
      </w:r>
    </w:p>
    <w:p w14:paraId="2312D99C" w14:textId="1B98EE04" w:rsidR="008E38DD" w:rsidRDefault="00904178" w:rsidP="008E38DD">
      <w:pPr>
        <w:pStyle w:val="GreyText"/>
        <w:rPr>
          <w:color w:val="auto"/>
          <w:lang w:eastAsia="en-AU"/>
        </w:rPr>
      </w:pPr>
      <w:r>
        <w:rPr>
          <w:color w:val="auto"/>
          <w:lang w:eastAsia="en-AU"/>
        </w:rPr>
        <w:t>LUV</w:t>
      </w:r>
      <w:r w:rsidR="008E38DD" w:rsidRPr="00B12186">
        <w:rPr>
          <w:color w:val="auto"/>
          <w:lang w:eastAsia="en-AU"/>
        </w:rPr>
        <w:t xml:space="preserve"> Geodesy will assess and endeavour to rectify the reported anomaly and improve the published AHD height and uncertainty values.</w:t>
      </w:r>
    </w:p>
    <w:p w14:paraId="00074A1F" w14:textId="48656508" w:rsidR="00904178" w:rsidRDefault="00904178" w:rsidP="008E38DD">
      <w:pPr>
        <w:pStyle w:val="GreyText"/>
      </w:pPr>
      <w:r>
        <w:rPr>
          <w:color w:val="auto"/>
          <w:lang w:eastAsia="en-AU"/>
        </w:rPr>
        <w:t xml:space="preserve">Conventional terrestrial levelling techniques are highly recommended when levelled AHD survey marks are within close proximity to the site of the cadastral survey (e.g. within 500m). This will support consistent determination of AHD for the cadastral survey with any other surveys performed at the same site or in the local area. </w:t>
      </w:r>
    </w:p>
    <w:p w14:paraId="43A1B063" w14:textId="0943217B" w:rsidR="00464360" w:rsidRPr="001D7902" w:rsidRDefault="00464360" w:rsidP="00541E56">
      <w:pPr>
        <w:pStyle w:val="Heading3-Numbered"/>
      </w:pPr>
      <w:bookmarkStart w:id="21" w:name="_Toc215483345"/>
      <w:r w:rsidRPr="00464360">
        <w:lastRenderedPageBreak/>
        <w:t>AHD connection derived by GNSS equipment</w:t>
      </w:r>
      <w:bookmarkEnd w:id="21"/>
    </w:p>
    <w:p w14:paraId="0EB1CD47" w14:textId="20202D1F" w:rsidR="008E38DD" w:rsidRPr="00523764" w:rsidRDefault="008E38DD" w:rsidP="008E38DD">
      <w:pPr>
        <w:pStyle w:val="BodyText"/>
        <w:rPr>
          <w:color w:val="auto"/>
          <w:lang w:eastAsia="en-AU"/>
        </w:rPr>
      </w:pPr>
      <w:r w:rsidRPr="00B12186">
        <w:rPr>
          <w:color w:val="auto"/>
          <w:lang w:eastAsia="en-AU"/>
        </w:rPr>
        <w:t xml:space="preserve">GNSS may be </w:t>
      </w:r>
      <w:r w:rsidRPr="00523764">
        <w:rPr>
          <w:color w:val="auto"/>
          <w:lang w:eastAsia="en-AU"/>
        </w:rPr>
        <w:t>used to derive AHD heights for cadastral surveys applying similar field survey practices to those described in section 2.</w:t>
      </w:r>
      <w:r w:rsidR="00CD59EC">
        <w:rPr>
          <w:color w:val="auto"/>
          <w:lang w:eastAsia="en-AU"/>
        </w:rPr>
        <w:t>4</w:t>
      </w:r>
      <w:r w:rsidRPr="00523764">
        <w:rPr>
          <w:color w:val="auto"/>
          <w:lang w:eastAsia="en-AU"/>
        </w:rPr>
        <w:t xml:space="preserve">. Due to satellite network geometry constraints, heights determined from GNSS are generally less accurate than GNSS derived horizontal coordinates by a factor of </w:t>
      </w:r>
      <w:r w:rsidRPr="00523764" w:rsidDel="0094303E">
        <w:rPr>
          <w:color w:val="auto"/>
          <w:lang w:eastAsia="en-AU"/>
        </w:rPr>
        <w:t>two</w:t>
      </w:r>
      <w:r w:rsidRPr="00523764">
        <w:rPr>
          <w:color w:val="auto"/>
          <w:lang w:eastAsia="en-AU"/>
        </w:rPr>
        <w:t>.</w:t>
      </w:r>
    </w:p>
    <w:p w14:paraId="561CD729" w14:textId="46DEA052" w:rsidR="008E38DD" w:rsidRPr="00523764" w:rsidRDefault="008E38DD" w:rsidP="008E38DD">
      <w:pPr>
        <w:pStyle w:val="BodyText"/>
        <w:rPr>
          <w:color w:val="auto"/>
          <w:lang w:eastAsia="en-AU"/>
        </w:rPr>
      </w:pPr>
      <w:r w:rsidRPr="00523764">
        <w:rPr>
          <w:color w:val="auto"/>
          <w:lang w:eastAsia="en-AU"/>
        </w:rPr>
        <w:t xml:space="preserve">Network </w:t>
      </w:r>
      <w:r w:rsidR="00904178">
        <w:rPr>
          <w:color w:val="auto"/>
          <w:lang w:eastAsia="en-AU"/>
        </w:rPr>
        <w:t>r</w:t>
      </w:r>
      <w:r w:rsidRPr="00523764">
        <w:rPr>
          <w:color w:val="auto"/>
          <w:lang w:eastAsia="en-AU"/>
        </w:rPr>
        <w:t>eal</w:t>
      </w:r>
      <w:r w:rsidR="00904178">
        <w:rPr>
          <w:color w:val="auto"/>
          <w:lang w:eastAsia="en-AU"/>
        </w:rPr>
        <w:t>-</w:t>
      </w:r>
      <w:r w:rsidRPr="00523764">
        <w:rPr>
          <w:color w:val="auto"/>
          <w:lang w:eastAsia="en-AU"/>
        </w:rPr>
        <w:t>time kinematic (NRTK) GNSS survey methods are most commonly used by surveyors to obtain AHD heights for a cadastral survey in Victoria. Static GNSS survey techniques, in which data is logged and post processed, can also be used to derive AHD heights relative to nearby marks with levelled AHD heights. This is particularly useful where existing levelled AHD marks are limited, far apart, difficult to traverse between or poor communication reception prohibits NTRK GNSS survey techniques.</w:t>
      </w:r>
    </w:p>
    <w:p w14:paraId="2B772CD8" w14:textId="3A9E1459" w:rsidR="008E38DD" w:rsidRPr="00523764" w:rsidRDefault="008E38DD" w:rsidP="008E38DD">
      <w:pPr>
        <w:pStyle w:val="BodyText"/>
        <w:rPr>
          <w:color w:val="auto"/>
          <w:lang w:eastAsia="en-AU"/>
        </w:rPr>
      </w:pPr>
      <w:r w:rsidRPr="00523764">
        <w:rPr>
          <w:color w:val="auto"/>
          <w:lang w:eastAsia="en-AU"/>
        </w:rPr>
        <w:t>When deriving AHD heights from GNSS</w:t>
      </w:r>
      <w:r w:rsidR="00CD59EC">
        <w:rPr>
          <w:color w:val="auto"/>
          <w:lang w:eastAsia="en-AU"/>
        </w:rPr>
        <w:t xml:space="preserve"> measurement,</w:t>
      </w:r>
      <w:r w:rsidRPr="00523764">
        <w:rPr>
          <w:color w:val="auto"/>
          <w:lang w:eastAsia="en-AU"/>
        </w:rPr>
        <w:t xml:space="preserve"> the AUSGeoid2020 model must be applied to the GDA2020 ellipsoidal heights.</w:t>
      </w:r>
    </w:p>
    <w:p w14:paraId="160011FE" w14:textId="2D55B96A" w:rsidR="008E38DD" w:rsidRPr="00B12186" w:rsidRDefault="008E38DD" w:rsidP="008E38DD">
      <w:pPr>
        <w:pStyle w:val="BodyText"/>
        <w:rPr>
          <w:color w:val="auto"/>
          <w:lang w:eastAsia="en-AU"/>
        </w:rPr>
      </w:pPr>
      <w:r w:rsidRPr="00523764">
        <w:rPr>
          <w:color w:val="auto"/>
          <w:lang w:eastAsia="en-AU"/>
        </w:rPr>
        <w:t xml:space="preserve">AHD heights derived from GNSS measurement must be verified and aligned to the local representation of AHD by connecting to at least one levelled AHD mark as near as practicable to the site of the cadastral survey. Connection to at least one levelled AHD mark is acceptable due to GNSS and the AUSGeoid2020 model providing an independent AHD height estimate which can be verified, similar to verifying GNSS measurements for an MGA2020 </w:t>
      </w:r>
      <w:r w:rsidRPr="003543AE">
        <w:rPr>
          <w:color w:val="auto"/>
          <w:lang w:eastAsia="en-AU"/>
        </w:rPr>
        <w:t>connection (see Section 2.</w:t>
      </w:r>
      <w:r w:rsidR="003543AE" w:rsidRPr="003543AE">
        <w:rPr>
          <w:color w:val="auto"/>
          <w:lang w:eastAsia="en-AU"/>
        </w:rPr>
        <w:t>4</w:t>
      </w:r>
      <w:r w:rsidRPr="003543AE">
        <w:rPr>
          <w:color w:val="auto"/>
          <w:lang w:eastAsia="en-AU"/>
        </w:rPr>
        <w:t>.4).</w:t>
      </w:r>
      <w:r w:rsidRPr="00B12186">
        <w:rPr>
          <w:color w:val="auto"/>
          <w:lang w:eastAsia="en-AU"/>
        </w:rPr>
        <w:t xml:space="preserve"> </w:t>
      </w:r>
    </w:p>
    <w:p w14:paraId="1BBF079B" w14:textId="5262EE95" w:rsidR="008E38DD" w:rsidRPr="00B12186" w:rsidRDefault="008E38DD" w:rsidP="008E38DD">
      <w:pPr>
        <w:pStyle w:val="BodyText"/>
        <w:rPr>
          <w:color w:val="auto"/>
          <w:lang w:eastAsia="en-AU"/>
        </w:rPr>
      </w:pPr>
      <w:r w:rsidRPr="00B12186">
        <w:rPr>
          <w:color w:val="auto"/>
          <w:lang w:eastAsia="en-AU"/>
        </w:rPr>
        <w:t xml:space="preserve">When comparing the AHD heights published in SMES and GNSS derived AHD heights, a variation of up to 0.10 metres is acceptable. This difference takes into consideration the likely uncertainty in GNSS measurement, AUSGeoid2020 model and uncertainty in the published AHD heights. </w:t>
      </w:r>
    </w:p>
    <w:p w14:paraId="0A937FFB" w14:textId="77777777" w:rsidR="008E38DD" w:rsidRPr="00B12186" w:rsidRDefault="008E38DD" w:rsidP="008E38DD">
      <w:pPr>
        <w:pStyle w:val="BodyText"/>
        <w:rPr>
          <w:color w:val="auto"/>
          <w:lang w:eastAsia="en-AU"/>
        </w:rPr>
      </w:pPr>
      <w:r w:rsidRPr="00B12186">
        <w:rPr>
          <w:color w:val="auto"/>
          <w:lang w:eastAsia="en-AU"/>
        </w:rPr>
        <w:t xml:space="preserve">Where this variation exceeds 0.10 metres, the surveyor </w:t>
      </w:r>
      <w:r w:rsidRPr="47823E37">
        <w:rPr>
          <w:b/>
          <w:color w:val="auto"/>
          <w:lang w:eastAsia="en-AU"/>
        </w:rPr>
        <w:t>must</w:t>
      </w:r>
      <w:r w:rsidRPr="00B12186">
        <w:rPr>
          <w:color w:val="auto"/>
          <w:lang w:eastAsia="en-AU"/>
        </w:rPr>
        <w:t xml:space="preserve"> do both of the following:</w:t>
      </w:r>
    </w:p>
    <w:p w14:paraId="57A17C46" w14:textId="77777777" w:rsidR="008E38DD" w:rsidRPr="00B12186" w:rsidRDefault="008E38DD" w:rsidP="00CB55B7">
      <w:pPr>
        <w:pStyle w:val="BodyText"/>
        <w:numPr>
          <w:ilvl w:val="0"/>
          <w:numId w:val="17"/>
        </w:numPr>
        <w:spacing w:before="60" w:line="240" w:lineRule="atLeast"/>
        <w:rPr>
          <w:color w:val="auto"/>
          <w:lang w:eastAsia="en-AU"/>
        </w:rPr>
      </w:pPr>
      <w:r w:rsidRPr="00B12186">
        <w:rPr>
          <w:color w:val="auto"/>
          <w:lang w:eastAsia="en-AU"/>
        </w:rPr>
        <w:t>connect to at least one other levelled AHD mark to ideally identify the cause of the difference</w:t>
      </w:r>
    </w:p>
    <w:p w14:paraId="69297D31" w14:textId="4C7879E4" w:rsidR="008E38DD" w:rsidRPr="00B12186" w:rsidRDefault="008E38DD" w:rsidP="00CB55B7">
      <w:pPr>
        <w:pStyle w:val="BodyText"/>
        <w:numPr>
          <w:ilvl w:val="0"/>
          <w:numId w:val="17"/>
        </w:numPr>
        <w:spacing w:before="60" w:line="240" w:lineRule="atLeast"/>
        <w:rPr>
          <w:color w:val="auto"/>
          <w:lang w:eastAsia="en-AU"/>
        </w:rPr>
      </w:pPr>
      <w:r w:rsidRPr="00B12186">
        <w:rPr>
          <w:color w:val="auto"/>
          <w:lang w:eastAsia="en-AU"/>
        </w:rPr>
        <w:t xml:space="preserve">advise </w:t>
      </w:r>
      <w:r w:rsidR="00904178">
        <w:rPr>
          <w:color w:val="auto"/>
          <w:lang w:eastAsia="en-AU"/>
        </w:rPr>
        <w:t xml:space="preserve">LUV </w:t>
      </w:r>
      <w:r w:rsidRPr="00B12186">
        <w:rPr>
          <w:color w:val="auto"/>
          <w:lang w:eastAsia="en-AU"/>
        </w:rPr>
        <w:t xml:space="preserve">Geodesy of the discrepancy by email to </w:t>
      </w:r>
      <w:hyperlink r:id="rId47" w:history="1">
        <w:r w:rsidRPr="6AB45160">
          <w:rPr>
            <w:rStyle w:val="Hyperlink"/>
            <w:b/>
            <w:lang w:eastAsia="en-AU"/>
          </w:rPr>
          <w:t>smes.support@transport.vic.gov.au</w:t>
        </w:r>
      </w:hyperlink>
      <w:r w:rsidR="0056622F" w:rsidRPr="00800FEB">
        <w:t>.</w:t>
      </w:r>
    </w:p>
    <w:p w14:paraId="77B4B2FD" w14:textId="2291A43D" w:rsidR="008E38DD" w:rsidRPr="00B12186" w:rsidRDefault="00904178" w:rsidP="008E38DD">
      <w:pPr>
        <w:pStyle w:val="BodyText"/>
        <w:rPr>
          <w:color w:val="auto"/>
          <w:lang w:eastAsia="en-AU"/>
        </w:rPr>
      </w:pPr>
      <w:r>
        <w:rPr>
          <w:color w:val="auto"/>
          <w:lang w:eastAsia="en-AU"/>
        </w:rPr>
        <w:t xml:space="preserve">LUV </w:t>
      </w:r>
      <w:r w:rsidR="008E38DD" w:rsidRPr="00B12186">
        <w:rPr>
          <w:color w:val="auto"/>
          <w:lang w:eastAsia="en-AU"/>
        </w:rPr>
        <w:t>Geodesy will assess and endeavour to rectify the reported anomaly and improve the published AHD height and uncertainty values.</w:t>
      </w:r>
    </w:p>
    <w:p w14:paraId="6A438D38" w14:textId="77777777" w:rsidR="008E38DD" w:rsidRPr="00B12186" w:rsidRDefault="008E38DD" w:rsidP="008E38DD">
      <w:pPr>
        <w:pStyle w:val="BodyText"/>
        <w:rPr>
          <w:color w:val="auto"/>
          <w:lang w:eastAsia="en-AU"/>
        </w:rPr>
      </w:pPr>
      <w:r w:rsidRPr="00B12186">
        <w:rPr>
          <w:color w:val="auto"/>
          <w:lang w:eastAsia="en-AU"/>
        </w:rPr>
        <w:t xml:space="preserve">In a NRTK survey, connections can be made to one or more levelled AHD marks. An average </w:t>
      </w:r>
      <w:r w:rsidRPr="00B12186">
        <w:rPr>
          <w:color w:val="auto"/>
        </w:rPr>
        <w:t>difference observed between the published levelled AHD heights and GNSS derived AHD heights can be applied to subsequent GNSS derived AHD heights in the form of a local site transformation.</w:t>
      </w:r>
    </w:p>
    <w:p w14:paraId="5D4CB6DF" w14:textId="24FFBBA6" w:rsidR="00F80380" w:rsidRDefault="008E38DD" w:rsidP="00464360">
      <w:pPr>
        <w:pStyle w:val="GreyText"/>
      </w:pPr>
      <w:r w:rsidRPr="00B12186">
        <w:rPr>
          <w:color w:val="auto"/>
          <w:lang w:eastAsia="en-AU"/>
        </w:rPr>
        <w:t>A surveyor must show on the abstract of field records the derived AHD height connection to the levelled AHD height marks (used for the verification) and any local site transformation/calibration applied.</w:t>
      </w:r>
    </w:p>
    <w:p w14:paraId="6E22870B" w14:textId="791970EE" w:rsidR="00F80380" w:rsidRDefault="00F80380" w:rsidP="00541E56">
      <w:pPr>
        <w:pStyle w:val="Heading2-Numbered"/>
      </w:pPr>
      <w:bookmarkStart w:id="22" w:name="_Toc215483346"/>
      <w:r w:rsidRPr="00F80380">
        <w:t>Cadastral surveys exempt from connection to MGA2020</w:t>
      </w:r>
      <w:bookmarkEnd w:id="22"/>
    </w:p>
    <w:p w14:paraId="20B6EFFD" w14:textId="127D303E" w:rsidR="008E38DD" w:rsidRDefault="008E38DD" w:rsidP="008E38DD">
      <w:pPr>
        <w:pStyle w:val="BodyText"/>
      </w:pPr>
      <w:r w:rsidRPr="002D79C2">
        <w:t>Connection to MGA2020 is not required for surveys</w:t>
      </w:r>
      <w:r>
        <w:t xml:space="preserve"> </w:t>
      </w:r>
      <w:r w:rsidRPr="002D79C2">
        <w:t xml:space="preserve">supporting </w:t>
      </w:r>
      <w:r w:rsidRPr="002D79C2">
        <w:rPr>
          <w:color w:val="auto"/>
        </w:rPr>
        <w:t xml:space="preserve">Records of having re-established a cadastral boundary pursuant to Regulation 16 of the </w:t>
      </w:r>
      <w:r w:rsidRPr="6AB45160">
        <w:rPr>
          <w:color w:val="auto"/>
        </w:rPr>
        <w:t>Surveying (Cadastral Surveys) Regulations 2025</w:t>
      </w:r>
      <w:r w:rsidRPr="002D79C2">
        <w:rPr>
          <w:color w:val="auto"/>
        </w:rPr>
        <w:t xml:space="preserve"> </w:t>
      </w:r>
      <w:r w:rsidRPr="002D79C2">
        <w:t xml:space="preserve">or as outlined in Appendices A and B. </w:t>
      </w:r>
    </w:p>
    <w:p w14:paraId="36DEFA9D" w14:textId="1C6A3353" w:rsidR="006459C1" w:rsidRDefault="006459C1" w:rsidP="008E38DD">
      <w:pPr>
        <w:pStyle w:val="BodyText"/>
      </w:pPr>
      <w:r w:rsidRPr="006459C1">
        <w:t>However, where SCN marks exist within the vicinity of a re-establishment survey or GNSS equipment is used in the survey, surveyors are encouraged to connect to those marks and bring the survey onto MGA2020 bearing datum</w:t>
      </w:r>
      <w:r w:rsidR="00BF67CB">
        <w:t>.</w:t>
      </w:r>
    </w:p>
    <w:p w14:paraId="30BB0B77" w14:textId="0F36AE58" w:rsidR="00F80380" w:rsidRDefault="00F80380" w:rsidP="00541E56">
      <w:pPr>
        <w:pStyle w:val="Heading2-Numbered"/>
      </w:pPr>
      <w:bookmarkStart w:id="23" w:name="_Toc215483347"/>
      <w:r w:rsidRPr="00F80380">
        <w:lastRenderedPageBreak/>
        <w:t>Permanent</w:t>
      </w:r>
      <w:r w:rsidR="008E38DD">
        <w:t xml:space="preserve"> </w:t>
      </w:r>
      <w:r w:rsidRPr="00F80380">
        <w:t>marks</w:t>
      </w:r>
      <w:bookmarkEnd w:id="23"/>
    </w:p>
    <w:p w14:paraId="1B1DFF13" w14:textId="3EDCC51E" w:rsidR="00904178" w:rsidRPr="001D7902" w:rsidRDefault="00904178" w:rsidP="00904178">
      <w:pPr>
        <w:pStyle w:val="Heading3-Numbered"/>
        <w:numPr>
          <w:ilvl w:val="0"/>
          <w:numId w:val="0"/>
        </w:numPr>
        <w:ind w:left="851" w:hanging="851"/>
      </w:pPr>
      <w:bookmarkStart w:id="24" w:name="_Toc215483348"/>
      <w:r>
        <w:t>2.7.1</w:t>
      </w:r>
      <w:r w:rsidR="00EC58C6">
        <w:tab/>
      </w:r>
      <w:r w:rsidR="00CA68FB">
        <w:t>What is a permanent mark?</w:t>
      </w:r>
      <w:bookmarkEnd w:id="24"/>
    </w:p>
    <w:p w14:paraId="4F2333C4" w14:textId="77777777" w:rsidR="00904178" w:rsidRDefault="00904178" w:rsidP="00904178">
      <w:pPr>
        <w:pStyle w:val="BodyText"/>
        <w:rPr>
          <w:color w:val="auto"/>
        </w:rPr>
      </w:pPr>
      <w:r>
        <w:t>A permanent mark (PM</w:t>
      </w:r>
      <w:r w:rsidRPr="00C30152">
        <w:rPr>
          <w:color w:val="auto"/>
        </w:rPr>
        <w:t xml:space="preserve">) is a survey mark of a permanent nature that can be connected to or </w:t>
      </w:r>
      <w:r w:rsidRPr="70F583CF">
        <w:rPr>
          <w:b/>
          <w:color w:val="auto"/>
        </w:rPr>
        <w:t>placed</w:t>
      </w:r>
      <w:r w:rsidRPr="00C30152">
        <w:rPr>
          <w:color w:val="auto"/>
        </w:rPr>
        <w:t xml:space="preserve"> as part of a cadastral survey to satisfy the monumentation requirements of Regulation 11(3) of the Surveying (Cadastral Surveys) Regulations 2025. </w:t>
      </w:r>
    </w:p>
    <w:p w14:paraId="1485B6FB" w14:textId="77777777" w:rsidR="00904178" w:rsidRDefault="00904178" w:rsidP="00904178">
      <w:pPr>
        <w:pStyle w:val="BodyText"/>
        <w:rPr>
          <w:color w:val="auto"/>
        </w:rPr>
      </w:pPr>
      <w:r>
        <w:t xml:space="preserve">PMs are required to be established in the form of survey monuments shown in Schedule 1, </w:t>
      </w:r>
      <w:r>
        <w:rPr>
          <w:color w:val="auto"/>
          <w:lang w:eastAsia="en-AU"/>
        </w:rPr>
        <w:t>Survey Co-ordination</w:t>
      </w:r>
      <w:r w:rsidRPr="00414112">
        <w:rPr>
          <w:color w:val="auto"/>
          <w:lang w:eastAsia="en-AU"/>
        </w:rPr>
        <w:t xml:space="preserve"> Regulations 202</w:t>
      </w:r>
      <w:r>
        <w:rPr>
          <w:color w:val="auto"/>
          <w:lang w:eastAsia="en-AU"/>
        </w:rPr>
        <w:t xml:space="preserve">4 or as authorised by the Surveyor-General. Common PM types include brass plaque set in concrete (in situ or pre-cast), small brass plaque attached to existing concrete structure or rods deep driven to refusal. </w:t>
      </w:r>
    </w:p>
    <w:p w14:paraId="68C96750" w14:textId="77777777" w:rsidR="00904178" w:rsidRPr="002E426D" w:rsidRDefault="00904178" w:rsidP="00904178">
      <w:pPr>
        <w:pStyle w:val="BodyText"/>
      </w:pPr>
      <w:r w:rsidRPr="00C30152">
        <w:rPr>
          <w:color w:val="auto"/>
        </w:rPr>
        <w:t>To qualify</w:t>
      </w:r>
      <w:r w:rsidRPr="00C30152">
        <w:t xml:space="preserve"> </w:t>
      </w:r>
      <w:r w:rsidRPr="002E426D">
        <w:t>as a PM, a survey mark must be</w:t>
      </w:r>
      <w:r>
        <w:t xml:space="preserve"> all of the following</w:t>
      </w:r>
      <w:r w:rsidRPr="002E426D">
        <w:t>:</w:t>
      </w:r>
    </w:p>
    <w:p w14:paraId="118D67BE" w14:textId="77777777" w:rsidR="00904178" w:rsidRPr="002E426D" w:rsidRDefault="00904178" w:rsidP="00CB55B7">
      <w:pPr>
        <w:pStyle w:val="ListAlpha"/>
        <w:numPr>
          <w:ilvl w:val="0"/>
          <w:numId w:val="21"/>
        </w:numPr>
      </w:pPr>
      <w:r w:rsidRPr="002E426D">
        <w:t>made of a durable material</w:t>
      </w:r>
    </w:p>
    <w:p w14:paraId="78D1AB47" w14:textId="77777777" w:rsidR="00904178" w:rsidRPr="002E426D" w:rsidRDefault="00904178" w:rsidP="00CB55B7">
      <w:pPr>
        <w:pStyle w:val="ListAlpha"/>
        <w:numPr>
          <w:ilvl w:val="0"/>
          <w:numId w:val="13"/>
        </w:numPr>
      </w:pPr>
      <w:r w:rsidRPr="002E426D">
        <w:t>permanent and stable in construction</w:t>
      </w:r>
    </w:p>
    <w:p w14:paraId="1EA4B908" w14:textId="77777777" w:rsidR="00904178" w:rsidRPr="002E426D" w:rsidRDefault="00904178" w:rsidP="00CB55B7">
      <w:pPr>
        <w:pStyle w:val="ListAlpha"/>
        <w:numPr>
          <w:ilvl w:val="0"/>
          <w:numId w:val="13"/>
        </w:numPr>
      </w:pPr>
      <w:r w:rsidRPr="002E426D">
        <w:t xml:space="preserve">placed so that it can be readily </w:t>
      </w:r>
      <w:r>
        <w:t xml:space="preserve">identifiable and </w:t>
      </w:r>
      <w:r w:rsidRPr="002E426D">
        <w:t>accessed</w:t>
      </w:r>
    </w:p>
    <w:p w14:paraId="305B33A9" w14:textId="77777777" w:rsidR="00904178" w:rsidRPr="002E426D" w:rsidRDefault="00904178" w:rsidP="00CB55B7">
      <w:pPr>
        <w:pStyle w:val="ListAlpha"/>
        <w:numPr>
          <w:ilvl w:val="0"/>
          <w:numId w:val="13"/>
        </w:numPr>
      </w:pPr>
      <w:r w:rsidRPr="002E426D">
        <w:t>placed such that it does not present a hazard to the public.</w:t>
      </w:r>
    </w:p>
    <w:p w14:paraId="0CFAED9B" w14:textId="02961638" w:rsidR="00904178" w:rsidRPr="00904178" w:rsidRDefault="00904178" w:rsidP="00904178">
      <w:pPr>
        <w:pStyle w:val="BodyText"/>
      </w:pPr>
      <w:r w:rsidRPr="002E426D">
        <w:t xml:space="preserve">When establishing PMs, surveyors should endeavour to place them in locations where they are not likely to be damaged or destroyed. Surveyors should also endeavour to establish PMs in </w:t>
      </w:r>
      <w:r>
        <w:t xml:space="preserve">locations suitable for </w:t>
      </w:r>
      <w:r w:rsidRPr="002E426D">
        <w:t>GNSS</w:t>
      </w:r>
      <w:r>
        <w:t xml:space="preserve"> observation</w:t>
      </w:r>
      <w:r w:rsidRPr="002E426D">
        <w:t>.</w:t>
      </w:r>
    </w:p>
    <w:p w14:paraId="0D7DF004" w14:textId="3467DA20" w:rsidR="00F80380" w:rsidRPr="001D7902" w:rsidRDefault="00F80380" w:rsidP="00CB55B7">
      <w:pPr>
        <w:pStyle w:val="Heading3-Numbered"/>
        <w:numPr>
          <w:ilvl w:val="2"/>
          <w:numId w:val="43"/>
        </w:numPr>
      </w:pPr>
      <w:bookmarkStart w:id="25" w:name="_Toc215483349"/>
      <w:r w:rsidRPr="00F80380">
        <w:t>Registration of new and/or unregistered permanent marks</w:t>
      </w:r>
      <w:bookmarkEnd w:id="25"/>
    </w:p>
    <w:p w14:paraId="560BB7BA" w14:textId="06C8D16E" w:rsidR="008E38DD" w:rsidRPr="005A29C7" w:rsidRDefault="008E38DD" w:rsidP="008E38DD">
      <w:pPr>
        <w:pStyle w:val="BodyText"/>
        <w:rPr>
          <w:color w:val="auto"/>
        </w:rPr>
      </w:pPr>
      <w:r w:rsidRPr="002E426D">
        <w:t>In acco</w:t>
      </w:r>
      <w:r>
        <w:t xml:space="preserve">rdance </w:t>
      </w:r>
      <w:r w:rsidRPr="005A29C7">
        <w:rPr>
          <w:color w:val="auto"/>
        </w:rPr>
        <w:t>with Regulations 6 and 7 of the Survey Co-ordination Regulations 202</w:t>
      </w:r>
      <w:r w:rsidR="00A2644C">
        <w:rPr>
          <w:color w:val="auto"/>
        </w:rPr>
        <w:t>4</w:t>
      </w:r>
      <w:r w:rsidRPr="005A29C7">
        <w:rPr>
          <w:color w:val="auto"/>
        </w:rPr>
        <w:t>, where new permanent marks</w:t>
      </w:r>
      <w:r w:rsidRPr="005A29C7" w:rsidDel="00B67C9B">
        <w:rPr>
          <w:color w:val="auto"/>
        </w:rPr>
        <w:t xml:space="preserve"> </w:t>
      </w:r>
      <w:r w:rsidRPr="005A29C7">
        <w:rPr>
          <w:color w:val="auto"/>
        </w:rPr>
        <w:t>are established in a cadastral survey, or unregistered PMs are found and connected to, surveyors must do all the following:</w:t>
      </w:r>
    </w:p>
    <w:p w14:paraId="1A944C3D" w14:textId="77777777" w:rsidR="008E38DD" w:rsidRDefault="008E38DD" w:rsidP="00CB55B7">
      <w:pPr>
        <w:pStyle w:val="ListAlpha"/>
        <w:numPr>
          <w:ilvl w:val="0"/>
          <w:numId w:val="18"/>
        </w:numPr>
      </w:pPr>
      <w:r w:rsidRPr="002E426D">
        <w:t>obtain an allocated number for the PM using SMES</w:t>
      </w:r>
    </w:p>
    <w:p w14:paraId="43EF425B" w14:textId="296B24A8" w:rsidR="008E38DD" w:rsidRDefault="008E38DD" w:rsidP="00CB55B7">
      <w:pPr>
        <w:pStyle w:val="ListAlpha"/>
        <w:numPr>
          <w:ilvl w:val="0"/>
          <w:numId w:val="18"/>
        </w:numPr>
      </w:pPr>
      <w:r>
        <w:t xml:space="preserve">prepare an Original Permanent Mark Sketch Plan and lodge it with Surveyor-General Victoria using SMES within </w:t>
      </w:r>
      <w:r w:rsidR="00D431CD">
        <w:t>60</w:t>
      </w:r>
      <w:r w:rsidR="00FA798C">
        <w:t xml:space="preserve"> </w:t>
      </w:r>
      <w:r w:rsidR="00D431CD">
        <w:t>days</w:t>
      </w:r>
      <w:r>
        <w:t xml:space="preserve"> of the establishment or location of the mark</w:t>
      </w:r>
    </w:p>
    <w:p w14:paraId="0CD6BDA9" w14:textId="151E7FD2" w:rsidR="008E38DD" w:rsidRPr="002E426D" w:rsidRDefault="008E38DD" w:rsidP="00CB55B7">
      <w:pPr>
        <w:pStyle w:val="ListAlpha"/>
        <w:numPr>
          <w:ilvl w:val="0"/>
          <w:numId w:val="18"/>
        </w:numPr>
      </w:pPr>
      <w:r>
        <w:t>i</w:t>
      </w:r>
      <w:r w:rsidRPr="002E426D">
        <w:t xml:space="preserve">nclude the registration number of the </w:t>
      </w:r>
      <w:r>
        <w:t xml:space="preserve">PM </w:t>
      </w:r>
      <w:r w:rsidRPr="002E426D">
        <w:t>on the sketch plan and the plan and survey documents associated with the survey.</w:t>
      </w:r>
    </w:p>
    <w:p w14:paraId="5B5AEA21" w14:textId="77777777" w:rsidR="008E38DD" w:rsidRDefault="008E38DD" w:rsidP="008E38DD">
      <w:pPr>
        <w:pStyle w:val="BodyText"/>
      </w:pPr>
      <w:r w:rsidRPr="002E426D">
        <w:t xml:space="preserve">SMES should be used to determine whether a </w:t>
      </w:r>
      <w:r>
        <w:t>PM</w:t>
      </w:r>
      <w:r w:rsidRPr="002E426D">
        <w:t xml:space="preserve"> is registered or not. If a </w:t>
      </w:r>
      <w:r>
        <w:t>PM</w:t>
      </w:r>
      <w:r w:rsidRPr="002E426D">
        <w:t xml:space="preserve"> is not recorded in SMES, it can be accepted as being unregistered and dealt with in accordance with this section.</w:t>
      </w:r>
    </w:p>
    <w:p w14:paraId="38411F0F" w14:textId="47DC9386" w:rsidR="008E38DD" w:rsidRDefault="008E38DD" w:rsidP="008E38DD">
      <w:pPr>
        <w:pStyle w:val="GreyText"/>
      </w:pPr>
      <w:r>
        <w:t>Surveyors are also encouraged to prepare supplementary sketch plans for PMs when the existing sketch is no longer consistent with the situation in the local area</w:t>
      </w:r>
      <w:r w:rsidR="00CD59EC">
        <w:t xml:space="preserve"> or it has been prepared from the identification of the PM through the Digital Cadastre Modernisation project</w:t>
      </w:r>
      <w:r>
        <w:t>. Supplementary PM sketch plans can be submitted to SMES as an update to an existing mark. Through SMES surveyors can update the status of PMs, provide additional details, and submit supplementary PM sketch plans, photos and GNSS data for processing and inclusion in the Victorian SCN.</w:t>
      </w:r>
    </w:p>
    <w:p w14:paraId="5C10C62B" w14:textId="6E3DC253" w:rsidR="00F80380" w:rsidRPr="001D7902" w:rsidRDefault="00F80380" w:rsidP="00CB55B7">
      <w:pPr>
        <w:pStyle w:val="Heading3-Numbered"/>
        <w:numPr>
          <w:ilvl w:val="2"/>
          <w:numId w:val="43"/>
        </w:numPr>
      </w:pPr>
      <w:bookmarkStart w:id="26" w:name="_Toc215483350"/>
      <w:r w:rsidRPr="00F80380">
        <w:t>Provision of Permanent Mark information on survey documents</w:t>
      </w:r>
      <w:bookmarkEnd w:id="26"/>
    </w:p>
    <w:p w14:paraId="016A4AC7" w14:textId="34470023" w:rsidR="00A43F1C" w:rsidRPr="002E426D" w:rsidRDefault="00A43F1C" w:rsidP="00A43F1C">
      <w:pPr>
        <w:pStyle w:val="BodyText"/>
      </w:pPr>
      <w:r w:rsidRPr="002E426D">
        <w:t xml:space="preserve">When a </w:t>
      </w:r>
      <w:r>
        <w:t>PM</w:t>
      </w:r>
      <w:r w:rsidRPr="002E426D">
        <w:t xml:space="preserve"> is connected to in a cadastral survey, surveyors </w:t>
      </w:r>
      <w:r>
        <w:t>must do all</w:t>
      </w:r>
      <w:r w:rsidR="00904178">
        <w:t xml:space="preserve"> of</w:t>
      </w:r>
      <w:r>
        <w:t xml:space="preserve"> the following</w:t>
      </w:r>
      <w:r w:rsidRPr="002E426D">
        <w:t>:</w:t>
      </w:r>
    </w:p>
    <w:p w14:paraId="65C37375" w14:textId="77777777" w:rsidR="00A43F1C" w:rsidRPr="00523764" w:rsidRDefault="00A43F1C" w:rsidP="00CB55B7">
      <w:pPr>
        <w:pStyle w:val="ListAlpha"/>
        <w:numPr>
          <w:ilvl w:val="0"/>
          <w:numId w:val="19"/>
        </w:numPr>
      </w:pPr>
      <w:r w:rsidRPr="002E426D">
        <w:t xml:space="preserve">check that the </w:t>
      </w:r>
      <w:r>
        <w:t>PM</w:t>
      </w:r>
      <w:r w:rsidRPr="002E426D">
        <w:t xml:space="preserve"> is </w:t>
      </w:r>
      <w:r w:rsidRPr="00523764">
        <w:t>registered. If the surveyor finds that the PM is not registered, the surveyor must register the PM in accordance with 2.7.1 above</w:t>
      </w:r>
    </w:p>
    <w:p w14:paraId="16312E11" w14:textId="2B58E796" w:rsidR="00A43F1C" w:rsidRDefault="00A43F1C" w:rsidP="00CB55B7">
      <w:pPr>
        <w:pStyle w:val="ListAlpha"/>
        <w:numPr>
          <w:ilvl w:val="0"/>
          <w:numId w:val="19"/>
        </w:numPr>
      </w:pPr>
      <w:r w:rsidRPr="00523764">
        <w:lastRenderedPageBreak/>
        <w:t>show the connection to the PM on the abstract of field</w:t>
      </w:r>
      <w:r>
        <w:t xml:space="preserve"> records or Record of having re-established a cadastral boundary (RE Plan)</w:t>
      </w:r>
    </w:p>
    <w:p w14:paraId="4764CF1C" w14:textId="6CED9655" w:rsidR="00A43F1C" w:rsidRDefault="00A43F1C" w:rsidP="00CB55B7">
      <w:pPr>
        <w:pStyle w:val="ListAlpha"/>
        <w:numPr>
          <w:ilvl w:val="0"/>
          <w:numId w:val="19"/>
        </w:numPr>
      </w:pPr>
      <w:r>
        <w:t>reference</w:t>
      </w:r>
      <w:r w:rsidRPr="002E426D">
        <w:t xml:space="preserve"> the </w:t>
      </w:r>
      <w:r>
        <w:t>PM</w:t>
      </w:r>
      <w:r w:rsidRPr="002E426D">
        <w:t xml:space="preserve"> </w:t>
      </w:r>
      <w:r>
        <w:t xml:space="preserve">number </w:t>
      </w:r>
      <w:r w:rsidRPr="002E426D">
        <w:t>on the survey documents (abstract of field records, RE Plan and licensed surveyor’s re</w:t>
      </w:r>
      <w:r>
        <w:t>port)</w:t>
      </w:r>
      <w:r w:rsidRPr="002E426D">
        <w:t>.</w:t>
      </w:r>
    </w:p>
    <w:p w14:paraId="2AAE0E18" w14:textId="18F4A918" w:rsidR="00F80380" w:rsidRDefault="00F80380" w:rsidP="00CB55B7">
      <w:pPr>
        <w:pStyle w:val="Heading2-Numbered"/>
        <w:numPr>
          <w:ilvl w:val="1"/>
          <w:numId w:val="43"/>
        </w:numPr>
      </w:pPr>
      <w:bookmarkStart w:id="27" w:name="_Toc215483351"/>
      <w:r w:rsidRPr="00F80380">
        <w:t>Primary cadastral marks</w:t>
      </w:r>
      <w:bookmarkEnd w:id="27"/>
    </w:p>
    <w:p w14:paraId="51DC379A" w14:textId="569B4152" w:rsidR="00F80380" w:rsidRPr="001D7902" w:rsidRDefault="00F80380" w:rsidP="00CB55B7">
      <w:pPr>
        <w:pStyle w:val="Heading3-Numbered"/>
        <w:numPr>
          <w:ilvl w:val="2"/>
          <w:numId w:val="46"/>
        </w:numPr>
      </w:pPr>
      <w:bookmarkStart w:id="28" w:name="_Toc215483352"/>
      <w:r w:rsidRPr="00F80380">
        <w:t>What is a primary cadastral mark?</w:t>
      </w:r>
      <w:bookmarkEnd w:id="28"/>
    </w:p>
    <w:p w14:paraId="27236AF5" w14:textId="084C5638" w:rsidR="00952A3B" w:rsidRPr="002E426D" w:rsidRDefault="00952A3B" w:rsidP="00952A3B">
      <w:pPr>
        <w:pStyle w:val="BodyText"/>
      </w:pPr>
      <w:r>
        <w:t>A primary cadastral mark (PCM</w:t>
      </w:r>
      <w:r w:rsidRPr="00C30152">
        <w:rPr>
          <w:color w:val="auto"/>
        </w:rPr>
        <w:t xml:space="preserve">) is a survey mark of a permanent nature that can be connected to or </w:t>
      </w:r>
      <w:r w:rsidRPr="24227B15">
        <w:rPr>
          <w:color w:val="auto"/>
        </w:rPr>
        <w:t>e</w:t>
      </w:r>
      <w:r w:rsidR="00CD59EC" w:rsidRPr="24227B15">
        <w:rPr>
          <w:color w:val="auto"/>
        </w:rPr>
        <w:t>stablished</w:t>
      </w:r>
      <w:r w:rsidRPr="00C30152">
        <w:rPr>
          <w:color w:val="auto"/>
        </w:rPr>
        <w:t xml:space="preserve"> as part of a cadastral survey to satisfy the monumentation requirements of </w:t>
      </w:r>
      <w:bookmarkStart w:id="29" w:name="_Hlk211927898"/>
      <w:r w:rsidRPr="00C30152">
        <w:rPr>
          <w:color w:val="auto"/>
        </w:rPr>
        <w:t>Regulation 11(3) of the Surveying (Cadastral Surveys) Regulations 2025</w:t>
      </w:r>
      <w:bookmarkEnd w:id="29"/>
      <w:r w:rsidRPr="00C30152">
        <w:rPr>
          <w:color w:val="auto"/>
        </w:rPr>
        <w:t>. To qualify</w:t>
      </w:r>
      <w:r w:rsidRPr="00C30152">
        <w:t xml:space="preserve"> </w:t>
      </w:r>
      <w:r w:rsidRPr="002E426D">
        <w:t>as a PCM, a survey mark must be</w:t>
      </w:r>
      <w:r>
        <w:t xml:space="preserve"> all of the following</w:t>
      </w:r>
      <w:r w:rsidRPr="002E426D">
        <w:t>:</w:t>
      </w:r>
    </w:p>
    <w:p w14:paraId="14CB0E20" w14:textId="77777777" w:rsidR="00952A3B" w:rsidRPr="002E426D" w:rsidRDefault="00952A3B" w:rsidP="00CB55B7">
      <w:pPr>
        <w:pStyle w:val="ListAlpha"/>
        <w:numPr>
          <w:ilvl w:val="0"/>
          <w:numId w:val="47"/>
        </w:numPr>
      </w:pPr>
      <w:r w:rsidRPr="002E426D">
        <w:t>made of a durable material</w:t>
      </w:r>
    </w:p>
    <w:p w14:paraId="4CE9A24A" w14:textId="77777777" w:rsidR="00952A3B" w:rsidRPr="002E426D" w:rsidRDefault="00952A3B" w:rsidP="00CB55B7">
      <w:pPr>
        <w:pStyle w:val="ListAlpha"/>
        <w:numPr>
          <w:ilvl w:val="0"/>
          <w:numId w:val="48"/>
        </w:numPr>
      </w:pPr>
      <w:r w:rsidRPr="002E426D">
        <w:t>permanent and stable in construction</w:t>
      </w:r>
    </w:p>
    <w:p w14:paraId="3A03C15B" w14:textId="77777777" w:rsidR="00952A3B" w:rsidRPr="002E426D" w:rsidRDefault="00952A3B" w:rsidP="00CB55B7">
      <w:pPr>
        <w:pStyle w:val="ListAlpha"/>
        <w:numPr>
          <w:ilvl w:val="0"/>
          <w:numId w:val="48"/>
        </w:numPr>
      </w:pPr>
      <w:r w:rsidRPr="002E426D">
        <w:t>placed so that it can be readily found and accessed</w:t>
      </w:r>
    </w:p>
    <w:p w14:paraId="3D1D9D0C" w14:textId="77777777" w:rsidR="00952A3B" w:rsidRPr="002E426D" w:rsidRDefault="00952A3B" w:rsidP="00CB55B7">
      <w:pPr>
        <w:pStyle w:val="ListAlpha"/>
        <w:numPr>
          <w:ilvl w:val="0"/>
          <w:numId w:val="48"/>
        </w:numPr>
      </w:pPr>
      <w:r w:rsidRPr="002E426D">
        <w:t>placed such that it does not present a hazard to the public.</w:t>
      </w:r>
    </w:p>
    <w:p w14:paraId="341E98CC" w14:textId="77777777" w:rsidR="00952A3B" w:rsidRDefault="00952A3B" w:rsidP="00952A3B">
      <w:pPr>
        <w:pStyle w:val="BodyText"/>
      </w:pPr>
      <w:r w:rsidRPr="002E426D">
        <w:t>When establishing PCMs, surveyors should endeavour to place them in locations where they are not likely to be damaged or destroyed</w:t>
      </w:r>
      <w:r>
        <w:t>,</w:t>
      </w:r>
      <w:r w:rsidRPr="002E426D">
        <w:t xml:space="preserve"> such as in concrete kerbs and other places away from pedestrian or vehicular traffic. Surveyors should also endeavour to establish PCMs in </w:t>
      </w:r>
      <w:r>
        <w:t xml:space="preserve">locations suitable for </w:t>
      </w:r>
      <w:r w:rsidRPr="002E426D">
        <w:t>GNSS</w:t>
      </w:r>
      <w:r>
        <w:t xml:space="preserve"> observation</w:t>
      </w:r>
      <w:r w:rsidRPr="002E426D">
        <w:t>.</w:t>
      </w:r>
    </w:p>
    <w:p w14:paraId="14D88FDF" w14:textId="77777777" w:rsidR="00952A3B" w:rsidRPr="002E426D" w:rsidRDefault="00952A3B" w:rsidP="00952A3B">
      <w:pPr>
        <w:pStyle w:val="BodyText"/>
      </w:pPr>
      <w:r w:rsidRPr="002E426D">
        <w:t>Marks suitable for nomination as PCMs include:</w:t>
      </w:r>
    </w:p>
    <w:p w14:paraId="5314159C" w14:textId="77777777" w:rsidR="00952A3B" w:rsidRPr="002E426D" w:rsidRDefault="00952A3B" w:rsidP="00CB55B7">
      <w:pPr>
        <w:pStyle w:val="ListAlpha"/>
        <w:numPr>
          <w:ilvl w:val="0"/>
          <w:numId w:val="20"/>
        </w:numPr>
      </w:pPr>
      <w:r w:rsidRPr="002E426D">
        <w:t>For hard artificial surfaces (e.g. concrete, brick and stone):</w:t>
      </w:r>
    </w:p>
    <w:p w14:paraId="448DD2F8" w14:textId="77777777" w:rsidR="00952A3B" w:rsidRPr="002E426D" w:rsidRDefault="00952A3B" w:rsidP="00CB55B7">
      <w:pPr>
        <w:pStyle w:val="ListAlpha2"/>
        <w:numPr>
          <w:ilvl w:val="1"/>
          <w:numId w:val="12"/>
        </w:numPr>
      </w:pPr>
      <w:r w:rsidRPr="002E426D">
        <w:t>aluminium rivets</w:t>
      </w:r>
    </w:p>
    <w:p w14:paraId="0FE35102" w14:textId="77777777" w:rsidR="00952A3B" w:rsidRPr="002E426D" w:rsidRDefault="00952A3B" w:rsidP="00CB55B7">
      <w:pPr>
        <w:pStyle w:val="ListAlpha2"/>
        <w:numPr>
          <w:ilvl w:val="1"/>
          <w:numId w:val="12"/>
        </w:numPr>
      </w:pPr>
      <w:r w:rsidRPr="002E426D">
        <w:t>hardened survey nails</w:t>
      </w:r>
    </w:p>
    <w:p w14:paraId="1EA77632" w14:textId="77777777" w:rsidR="00952A3B" w:rsidRPr="002E426D" w:rsidRDefault="00952A3B" w:rsidP="00CB55B7">
      <w:pPr>
        <w:pStyle w:val="ListAlpha2"/>
        <w:numPr>
          <w:ilvl w:val="1"/>
          <w:numId w:val="12"/>
        </w:numPr>
      </w:pPr>
      <w:r w:rsidRPr="002E426D">
        <w:t>expanding metal dowels with a collar</w:t>
      </w:r>
    </w:p>
    <w:p w14:paraId="196E260C" w14:textId="677D2D54" w:rsidR="00952A3B" w:rsidRPr="002E426D" w:rsidRDefault="00952A3B" w:rsidP="00CB55B7">
      <w:pPr>
        <w:pStyle w:val="ListAlpha2"/>
        <w:numPr>
          <w:ilvl w:val="1"/>
          <w:numId w:val="12"/>
        </w:numPr>
      </w:pPr>
      <w:r w:rsidRPr="002E426D">
        <w:t>drill holes at least 10</w:t>
      </w:r>
      <w:r w:rsidR="00A964A0">
        <w:t xml:space="preserve"> </w:t>
      </w:r>
      <w:r w:rsidRPr="002E426D">
        <w:t>mm deep with wings</w:t>
      </w:r>
    </w:p>
    <w:p w14:paraId="31B65195" w14:textId="5CBF8BFC" w:rsidR="00952A3B" w:rsidRPr="002E426D" w:rsidRDefault="00952A3B" w:rsidP="00CB55B7">
      <w:pPr>
        <w:pStyle w:val="ListAlpha2"/>
        <w:numPr>
          <w:ilvl w:val="1"/>
          <w:numId w:val="12"/>
        </w:numPr>
      </w:pPr>
      <w:r w:rsidRPr="002E426D">
        <w:t>etches (or chisel cuts) that are prominent and well-defined with wings at least 50</w:t>
      </w:r>
      <w:r w:rsidR="00A964A0">
        <w:t xml:space="preserve"> </w:t>
      </w:r>
      <w:r w:rsidRPr="002E426D">
        <w:t>mm in length and not less than 3</w:t>
      </w:r>
      <w:r w:rsidR="00A964A0">
        <w:t xml:space="preserve"> </w:t>
      </w:r>
      <w:r w:rsidRPr="002E426D">
        <w:t>mm deep.</w:t>
      </w:r>
    </w:p>
    <w:p w14:paraId="3A6495F3" w14:textId="0E6A01EC" w:rsidR="00952A3B" w:rsidRPr="00C30152" w:rsidRDefault="00952A3B" w:rsidP="00952A3B">
      <w:pPr>
        <w:pStyle w:val="BodyText"/>
        <w:rPr>
          <w:color w:val="auto"/>
        </w:rPr>
      </w:pPr>
      <w:r w:rsidRPr="00C30152">
        <w:rPr>
          <w:color w:val="auto"/>
        </w:rPr>
        <w:t>Survey marks place</w:t>
      </w:r>
      <w:r w:rsidR="00FA798C">
        <w:rPr>
          <w:color w:val="auto"/>
        </w:rPr>
        <w:t>d</w:t>
      </w:r>
      <w:r w:rsidRPr="00C30152">
        <w:rPr>
          <w:color w:val="auto"/>
        </w:rPr>
        <w:t xml:space="preserve"> in bitumen or asphalt (e.g. spikes, GI nails concrete nails etc) are not considered suitable PCM marks.</w:t>
      </w:r>
    </w:p>
    <w:p w14:paraId="3FD9566E" w14:textId="77777777" w:rsidR="00952A3B" w:rsidRPr="002E426D" w:rsidRDefault="00952A3B" w:rsidP="00DD5174">
      <w:pPr>
        <w:pStyle w:val="ListAlpha"/>
        <w:numPr>
          <w:ilvl w:val="0"/>
          <w:numId w:val="55"/>
        </w:numPr>
      </w:pPr>
      <w:r w:rsidRPr="002E426D">
        <w:t>For natural surfaces:</w:t>
      </w:r>
    </w:p>
    <w:p w14:paraId="0FD59AEC" w14:textId="25316CE7" w:rsidR="00952A3B" w:rsidRPr="002E426D" w:rsidRDefault="00952A3B" w:rsidP="00DD5174">
      <w:pPr>
        <w:pStyle w:val="ListAlpha2"/>
        <w:numPr>
          <w:ilvl w:val="0"/>
          <w:numId w:val="56"/>
        </w:numPr>
      </w:pPr>
      <w:r w:rsidRPr="002E426D">
        <w:t>steel star posts or other survey marks of metal construction (e.g. rods or pipes) at least 600</w:t>
      </w:r>
      <w:r w:rsidR="00A964A0">
        <w:t xml:space="preserve"> </w:t>
      </w:r>
      <w:r w:rsidRPr="002E426D">
        <w:t>mm in length. Such marks should be placed with the top not less than 50</w:t>
      </w:r>
      <w:r w:rsidR="00A964A0">
        <w:t xml:space="preserve"> </w:t>
      </w:r>
      <w:r w:rsidRPr="002E426D">
        <w:t>mm beneath the surface.</w:t>
      </w:r>
    </w:p>
    <w:p w14:paraId="397F29BC" w14:textId="10A504DD" w:rsidR="00952A3B" w:rsidRDefault="00952A3B" w:rsidP="00952A3B">
      <w:pPr>
        <w:pStyle w:val="GreyText"/>
      </w:pPr>
      <w:r w:rsidRPr="00B9660A">
        <w:t>Surveyors are encouraged to use existing PMs and PCMs</w:t>
      </w:r>
      <w:r>
        <w:rPr>
          <w:bCs/>
        </w:rPr>
        <w:t>,</w:t>
      </w:r>
      <w:r w:rsidRPr="00B9660A">
        <w:t xml:space="preserve"> where possible,</w:t>
      </w:r>
      <w:r>
        <w:rPr>
          <w:bCs/>
        </w:rPr>
        <w:t xml:space="preserve"> </w:t>
      </w:r>
      <w:r w:rsidRPr="00B9660A">
        <w:t>and avoid establishing new PCMs in close proximity to existing PMs and PCMs.</w:t>
      </w:r>
    </w:p>
    <w:p w14:paraId="2F02430A" w14:textId="18629EF3" w:rsidR="00F80380" w:rsidRPr="001D7902" w:rsidRDefault="00F80380" w:rsidP="00CB55B7">
      <w:pPr>
        <w:pStyle w:val="Heading3-Numbered"/>
        <w:numPr>
          <w:ilvl w:val="2"/>
          <w:numId w:val="46"/>
        </w:numPr>
      </w:pPr>
      <w:bookmarkStart w:id="30" w:name="_Toc215483353"/>
      <w:r w:rsidRPr="00F80380">
        <w:t>Provision of PCM information on survey documents</w:t>
      </w:r>
      <w:bookmarkEnd w:id="30"/>
    </w:p>
    <w:p w14:paraId="63293E81" w14:textId="77777777" w:rsidR="00952A3B" w:rsidRDefault="00952A3B" w:rsidP="00952A3B">
      <w:pPr>
        <w:pStyle w:val="BodyText"/>
      </w:pPr>
      <w:bookmarkStart w:id="31" w:name="_Toc517857088"/>
      <w:r w:rsidRPr="000B030E">
        <w:t xml:space="preserve">For all PCMs connected to and established in a cadastral survey, surveyors </w:t>
      </w:r>
      <w:r>
        <w:t>must do all the following</w:t>
      </w:r>
      <w:r w:rsidRPr="000B030E">
        <w:t>:</w:t>
      </w:r>
      <w:bookmarkEnd w:id="31"/>
    </w:p>
    <w:p w14:paraId="404FBE98" w14:textId="77777777" w:rsidR="00952A3B" w:rsidRDefault="00952A3B" w:rsidP="00CB55B7">
      <w:pPr>
        <w:pStyle w:val="ListAlpha"/>
        <w:numPr>
          <w:ilvl w:val="0"/>
          <w:numId w:val="22"/>
        </w:numPr>
      </w:pPr>
      <w:r>
        <w:t>preserve</w:t>
      </w:r>
      <w:r w:rsidRPr="002E426D">
        <w:t xml:space="preserve"> the </w:t>
      </w:r>
      <w:r>
        <w:t xml:space="preserve">PCM </w:t>
      </w:r>
      <w:r w:rsidRPr="002E426D">
        <w:t xml:space="preserve">numbers </w:t>
      </w:r>
      <w:r>
        <w:t>already assigned to existing PCMs connected to in the survey</w:t>
      </w:r>
    </w:p>
    <w:p w14:paraId="42F3AD1A" w14:textId="565FF845" w:rsidR="00952A3B" w:rsidRDefault="00952A3B" w:rsidP="00CB55B7">
      <w:pPr>
        <w:pStyle w:val="ListAlpha"/>
        <w:numPr>
          <w:ilvl w:val="0"/>
          <w:numId w:val="22"/>
        </w:numPr>
      </w:pPr>
      <w:r w:rsidRPr="002E426D">
        <w:t xml:space="preserve">assign numbers to all new PCMs from the series of numbers pre-allocated </w:t>
      </w:r>
      <w:r>
        <w:t>to them by the Surveyor-General</w:t>
      </w:r>
    </w:p>
    <w:p w14:paraId="781F4669" w14:textId="4EC34D48" w:rsidR="00952A3B" w:rsidRDefault="00952A3B" w:rsidP="00CB55B7">
      <w:pPr>
        <w:pStyle w:val="ListAlpha"/>
        <w:numPr>
          <w:ilvl w:val="0"/>
          <w:numId w:val="22"/>
        </w:numPr>
      </w:pPr>
      <w:r w:rsidRPr="002E426D">
        <w:lastRenderedPageBreak/>
        <w:t>show the connections to the PCMs on the abstract of field records or RE Plan</w:t>
      </w:r>
    </w:p>
    <w:p w14:paraId="71A507CD" w14:textId="2B48731F" w:rsidR="00952A3B" w:rsidRDefault="00952A3B" w:rsidP="00CB55B7">
      <w:pPr>
        <w:pStyle w:val="ListAlpha"/>
        <w:numPr>
          <w:ilvl w:val="0"/>
          <w:numId w:val="22"/>
        </w:numPr>
      </w:pPr>
      <w:r w:rsidRPr="002E426D">
        <w:t>include the PCM numbers on the survey docum</w:t>
      </w:r>
      <w:r>
        <w:t>ents (abstract of field records,</w:t>
      </w:r>
      <w:r w:rsidRPr="002E426D">
        <w:t xml:space="preserve"> RE Plan and licensed surveyor’s report) associated with the survey.</w:t>
      </w:r>
    </w:p>
    <w:p w14:paraId="03C9CF0F" w14:textId="1DC8EAB1" w:rsidR="00F07B1B" w:rsidRDefault="00F07B1B" w:rsidP="00CB55B7">
      <w:pPr>
        <w:pStyle w:val="Heading2-Numbered"/>
        <w:numPr>
          <w:ilvl w:val="1"/>
          <w:numId w:val="46"/>
        </w:numPr>
      </w:pPr>
      <w:bookmarkStart w:id="32" w:name="_Toc215483354"/>
      <w:r w:rsidRPr="00F07B1B">
        <w:t>Recording the map projection and zone</w:t>
      </w:r>
      <w:bookmarkEnd w:id="32"/>
    </w:p>
    <w:p w14:paraId="324EDB4B" w14:textId="44B010AF" w:rsidR="008917B8" w:rsidRDefault="00952A3B" w:rsidP="00952A3B">
      <w:pPr>
        <w:pStyle w:val="GreyText"/>
      </w:pPr>
      <w:r w:rsidRPr="00E52209">
        <w:t xml:space="preserve">All survey plans and abstracts of field records related to </w:t>
      </w:r>
      <w:r>
        <w:t>MGA2020</w:t>
      </w:r>
      <w:r w:rsidRPr="00E52209">
        <w:t xml:space="preserve"> are to clearly display the datum as MGA2020</w:t>
      </w:r>
      <w:r>
        <w:t xml:space="preserve"> </w:t>
      </w:r>
      <w:r w:rsidRPr="00E52209">
        <w:t>and the relevant zone (54 or 55) of the map projection as notations on the north point. Other written documentation is to include sim</w:t>
      </w:r>
      <w:r w:rsidRPr="002E426D">
        <w:t>ilar notations as applicable.</w:t>
      </w:r>
      <w:r w:rsidR="00CD59EC">
        <w:t xml:space="preserve"> The relevant zone for a cadastral survey is to be determined in accordance with the requirements of regulation 13, Survey Co-ordination Regulations 2024.</w:t>
      </w:r>
    </w:p>
    <w:p w14:paraId="44682027" w14:textId="1F8D5EDE" w:rsidR="00054F1A" w:rsidRPr="00054F1A" w:rsidRDefault="00054F1A" w:rsidP="00CB55B7">
      <w:pPr>
        <w:pStyle w:val="Heading1-Numbered"/>
        <w:numPr>
          <w:ilvl w:val="0"/>
          <w:numId w:val="46"/>
        </w:numPr>
      </w:pPr>
      <w:bookmarkStart w:id="33" w:name="_Toc215483355"/>
      <w:r w:rsidRPr="00054F1A">
        <w:t>Marking of boundaries</w:t>
      </w:r>
      <w:bookmarkEnd w:id="33"/>
    </w:p>
    <w:p w14:paraId="5E1DC3C7" w14:textId="5FF1BC8C" w:rsidR="00952A3B" w:rsidRPr="001D7902" w:rsidRDefault="00952A3B" w:rsidP="00952A3B">
      <w:pPr>
        <w:pStyle w:val="BodyText"/>
      </w:pPr>
      <w:r w:rsidRPr="00E1346D">
        <w:t xml:space="preserve">In accordance with the requirements of </w:t>
      </w:r>
      <w:r w:rsidRPr="0020648E">
        <w:rPr>
          <w:color w:val="auto"/>
        </w:rPr>
        <w:t xml:space="preserve">Regulation 9, Surveying (Cadastral Surveys) Regulations 2025, </w:t>
      </w:r>
      <w:r w:rsidRPr="00E1346D">
        <w:t xml:space="preserve">a key objective of </w:t>
      </w:r>
      <w:r>
        <w:t>a</w:t>
      </w:r>
      <w:r w:rsidRPr="00E1346D">
        <w:t xml:space="preserve"> cadastral survey is marking the title boundaries of the parcel(s) defined in the survey. </w:t>
      </w:r>
      <w:r>
        <w:t>Title boundaries can be marked either directly or indirectly, given the circumstances on the ground, with the preference being for direct marking of boundary corners where practicable. Licensed surveyors are to apply their professional judgement to determine if, how and when boundaries are to be marked. The default position is that boundaries must be marked where it is appropriate and practicable to do so.</w:t>
      </w:r>
    </w:p>
    <w:p w14:paraId="2C8B0990" w14:textId="0C44034A" w:rsidR="00054F1A" w:rsidRPr="001D7902" w:rsidRDefault="00054F1A" w:rsidP="00CB55B7">
      <w:pPr>
        <w:pStyle w:val="Heading2-Numbered"/>
        <w:numPr>
          <w:ilvl w:val="1"/>
          <w:numId w:val="45"/>
        </w:numPr>
      </w:pPr>
      <w:bookmarkStart w:id="34" w:name="_Toc215483356"/>
      <w:r w:rsidRPr="00054F1A">
        <w:t>Direct marking</w:t>
      </w:r>
      <w:bookmarkEnd w:id="34"/>
    </w:p>
    <w:p w14:paraId="2AE5F0CF" w14:textId="77777777" w:rsidR="00952A3B" w:rsidRPr="00C024D8" w:rsidRDefault="00952A3B" w:rsidP="00952A3B">
      <w:pPr>
        <w:pStyle w:val="BodyText"/>
      </w:pPr>
      <w:r w:rsidRPr="00C024D8">
        <w:t>Where direct marking of title boundaries is practicable, boundary marks are to be placed at the perimeter corners of the land under survey. Intermediate boundary ‘line’ marks are also required at distances no greater than 200 metres apart on boundaries of significant length and/or when the ends of the boundaries are not intervisible.</w:t>
      </w:r>
    </w:p>
    <w:p w14:paraId="525408F8" w14:textId="77777777" w:rsidR="00952A3B" w:rsidRPr="00C024D8" w:rsidRDefault="00952A3B" w:rsidP="00952A3B">
      <w:pPr>
        <w:pStyle w:val="BodyText"/>
      </w:pPr>
      <w:r w:rsidRPr="00C024D8">
        <w:t>It is important that boundaries are marked such that there is no doubt or ambiguity on the ground regarding their identification, location and direction. Options for providing identification of boundaries and their direction include trenching, staking, stamping numbers on pegs (front and rear); or, by using a combination of these methods. In each case, the surveyor must apply their professional judgement about the most appropriate method of defining or indicating the direction of the boundary on the ground.</w:t>
      </w:r>
    </w:p>
    <w:p w14:paraId="7CE8EEC7" w14:textId="7F11C958" w:rsidR="00952A3B" w:rsidRPr="00C024D8" w:rsidRDefault="00952A3B" w:rsidP="00952A3B">
      <w:pPr>
        <w:pStyle w:val="BodyText"/>
      </w:pPr>
      <w:r w:rsidRPr="00C024D8">
        <w:t>In rural environments, and when appropriate in urban areas, the preferred method of indicating boundary direction is by trenching, rock-filled trenches, or laying rock mounds.</w:t>
      </w:r>
      <w:r w:rsidR="00CD59EC">
        <w:t xml:space="preserve"> Trenches and rock mounds should be a minimum of 1 metre in length. </w:t>
      </w:r>
    </w:p>
    <w:p w14:paraId="0F1D3C96" w14:textId="77777777" w:rsidR="00952A3B" w:rsidRPr="00C024D8" w:rsidRDefault="00952A3B" w:rsidP="00952A3B">
      <w:pPr>
        <w:pStyle w:val="BodyText"/>
      </w:pPr>
      <w:r w:rsidRPr="00C024D8">
        <w:t>Spray paint directional markings are acceptable on hard artificial surfaces such as concrete and bitumen, but are not to be used on natural surfaces.</w:t>
      </w:r>
    </w:p>
    <w:p w14:paraId="390CEB05" w14:textId="5355FDF4" w:rsidR="00054F1A" w:rsidRDefault="00952A3B" w:rsidP="00952A3B">
      <w:pPr>
        <w:pStyle w:val="BodyText"/>
      </w:pPr>
      <w:r w:rsidRPr="00C024D8">
        <w:t>When numbers are stamped on pegs, the numbering must be done in such a manner that the interpretation of the lot numbers cannot be ambiguous.</w:t>
      </w:r>
      <w:r w:rsidR="00133E7E">
        <w:t xml:space="preserve"> </w:t>
      </w:r>
    </w:p>
    <w:p w14:paraId="1FF3E6E6" w14:textId="469686AD" w:rsidR="00054F1A" w:rsidRPr="001D7902" w:rsidRDefault="00054F1A" w:rsidP="00CB55B7">
      <w:pPr>
        <w:pStyle w:val="Heading2-Numbered"/>
        <w:numPr>
          <w:ilvl w:val="1"/>
          <w:numId w:val="45"/>
        </w:numPr>
      </w:pPr>
      <w:bookmarkStart w:id="35" w:name="_Toc215483357"/>
      <w:r>
        <w:t>Ind</w:t>
      </w:r>
      <w:r w:rsidRPr="00054F1A">
        <w:t>irect marking</w:t>
      </w:r>
      <w:bookmarkEnd w:id="35"/>
    </w:p>
    <w:p w14:paraId="26F229A7" w14:textId="77777777" w:rsidR="00952A3B" w:rsidRDefault="00952A3B" w:rsidP="00952A3B">
      <w:pPr>
        <w:pStyle w:val="BodyText"/>
      </w:pPr>
      <w:r>
        <w:t>Where direct marking</w:t>
      </w:r>
      <w:r w:rsidRPr="00E1346D">
        <w:t xml:space="preserve"> </w:t>
      </w:r>
      <w:r>
        <w:t xml:space="preserve">of title corners </w:t>
      </w:r>
      <w:r w:rsidRPr="00E1346D">
        <w:t xml:space="preserve">is impractical or inappropriate, another form of marking the boundaries in the vicinity of the corners, such as offset marks, is to be implemented. This may include, but is not limited to, situations where </w:t>
      </w:r>
      <w:r>
        <w:t xml:space="preserve">access to an adjoining property is not possible (e.g. </w:t>
      </w:r>
      <w:r w:rsidRPr="00E1346D">
        <w:t>fencing surrounding the land under survey is too high</w:t>
      </w:r>
      <w:r>
        <w:t>)</w:t>
      </w:r>
      <w:r w:rsidRPr="00E1346D">
        <w:t xml:space="preserve"> or, when the placement of </w:t>
      </w:r>
      <w:r>
        <w:t>a boundary mark at a corner would result in it being inaccessible</w:t>
      </w:r>
      <w:r w:rsidRPr="00E1346D">
        <w:t xml:space="preserve"> </w:t>
      </w:r>
      <w:r>
        <w:t xml:space="preserve">and </w:t>
      </w:r>
      <w:r w:rsidRPr="00E1346D">
        <w:t xml:space="preserve">not </w:t>
      </w:r>
      <w:r>
        <w:t xml:space="preserve">capable of being used for </w:t>
      </w:r>
      <w:r w:rsidRPr="00E1346D">
        <w:t>construction on the subject land.</w:t>
      </w:r>
      <w:r>
        <w:t xml:space="preserve"> </w:t>
      </w:r>
    </w:p>
    <w:p w14:paraId="6AEDBD39" w14:textId="094D3FCE" w:rsidR="00054F1A" w:rsidRDefault="00952A3B" w:rsidP="00952A3B">
      <w:pPr>
        <w:pStyle w:val="BodyText"/>
      </w:pPr>
      <w:r w:rsidRPr="00D03FA4">
        <w:t xml:space="preserve">Where indirect marking of title corners is implemented, the boundary marks placed are to relate closely to the boundaries at regular distances. Offset marks are to be placed at regular offsets (e.g. 1m x 1m) or, where </w:t>
      </w:r>
      <w:r w:rsidRPr="00D02753">
        <w:t xml:space="preserve">appropriate and practicable to do so, on the production of boundaries at a regular distance (e.g. 1m, 1.5m, </w:t>
      </w:r>
      <w:r w:rsidRPr="00D02753">
        <w:lastRenderedPageBreak/>
        <w:t xml:space="preserve">2m…). </w:t>
      </w:r>
      <w:r w:rsidRPr="00D02753">
        <w:rPr>
          <w:rFonts w:eastAsia="Aptos"/>
          <w14:ligatures w14:val="standardContextual"/>
        </w:rPr>
        <w:t>If indirect boundary marking is implemented, the relationship between the indirect marks and the relevant boundary line/corner (i.e. projection, offset etc) must be clear</w:t>
      </w:r>
      <w:r w:rsidR="00133E7E" w:rsidRPr="00D02753">
        <w:rPr>
          <w:rFonts w:eastAsia="Aptos"/>
          <w14:ligatures w14:val="standardContextual"/>
        </w:rPr>
        <w:t>ly shown</w:t>
      </w:r>
      <w:r w:rsidRPr="00D02753">
        <w:rPr>
          <w:rFonts w:eastAsia="Aptos"/>
          <w14:ligatures w14:val="standardContextual"/>
        </w:rPr>
        <w:t xml:space="preserve"> on the abstract of field records or RE Plan.</w:t>
      </w:r>
      <w:r w:rsidRPr="00D02753">
        <w:t xml:space="preserve"> Title pegs</w:t>
      </w:r>
      <w:r w:rsidRPr="00D03FA4">
        <w:t xml:space="preserve"> are not to be used as offset or production marks for indirect marking of corners.</w:t>
      </w:r>
      <w:r w:rsidR="00054F1A" w:rsidRPr="001D7902">
        <w:t xml:space="preserve"> </w:t>
      </w:r>
    </w:p>
    <w:p w14:paraId="43C42C92" w14:textId="7E386499" w:rsidR="00054F1A" w:rsidRPr="001D7902" w:rsidRDefault="00054F1A" w:rsidP="00CB55B7">
      <w:pPr>
        <w:pStyle w:val="Heading2-Numbered"/>
        <w:numPr>
          <w:ilvl w:val="1"/>
          <w:numId w:val="45"/>
        </w:numPr>
      </w:pPr>
      <w:bookmarkStart w:id="36" w:name="_Toc215483358"/>
      <w:r>
        <w:t>Non-</w:t>
      </w:r>
      <w:r w:rsidRPr="00054F1A">
        <w:t>marking</w:t>
      </w:r>
      <w:bookmarkEnd w:id="36"/>
    </w:p>
    <w:p w14:paraId="29CBCC06" w14:textId="3D1DBD26" w:rsidR="00952A3B" w:rsidRDefault="00952A3B" w:rsidP="00952A3B">
      <w:pPr>
        <w:pStyle w:val="BodyText"/>
      </w:pPr>
      <w:r>
        <w:t>Where</w:t>
      </w:r>
      <w:r w:rsidRPr="00E1346D">
        <w:t xml:space="preserve"> </w:t>
      </w:r>
      <w:r>
        <w:t>it is impractical or inappropriate to mark title corners directly or indirectly as described above,</w:t>
      </w:r>
      <w:r w:rsidRPr="00E1346D">
        <w:t xml:space="preserve"> the </w:t>
      </w:r>
      <w:r>
        <w:t xml:space="preserve">reason for the non-marking must be provided in the survey documentation. The </w:t>
      </w:r>
      <w:r w:rsidRPr="00E1346D">
        <w:t>description</w:t>
      </w:r>
      <w:r>
        <w:t>s</w:t>
      </w:r>
      <w:r w:rsidRPr="00E1346D">
        <w:t xml:space="preserve"> </w:t>
      </w:r>
      <w:r>
        <w:t xml:space="preserve">‘Impractical to Mark’ and </w:t>
      </w:r>
      <w:r w:rsidRPr="00E1346D">
        <w:t xml:space="preserve">‘Not Marked’ </w:t>
      </w:r>
      <w:r>
        <w:t>can</w:t>
      </w:r>
      <w:r w:rsidRPr="00E1346D">
        <w:t xml:space="preserve"> be added to </w:t>
      </w:r>
      <w:r>
        <w:t>an</w:t>
      </w:r>
      <w:r w:rsidRPr="00E1346D">
        <w:t xml:space="preserve"> abstract of field records</w:t>
      </w:r>
      <w:r>
        <w:t xml:space="preserve"> or Record of having re-established a cadastral boundary to indicate the non-marking of specific corners. The description ‘Not Marked’ is to be used in situations where it is practical to mark a title corner, but it has not been marked for some other reason. In such cases</w:t>
      </w:r>
      <w:r w:rsidRPr="00E1346D">
        <w:t xml:space="preserve"> the reason for the non-marking </w:t>
      </w:r>
      <w:r>
        <w:t xml:space="preserve">is to be </w:t>
      </w:r>
      <w:r w:rsidRPr="00E1346D">
        <w:t>described in the licensed surveyor’s report</w:t>
      </w:r>
      <w:r>
        <w:t xml:space="preserve"> or as a notation on the Record of having re-established a cadastral boundary</w:t>
      </w:r>
      <w:r w:rsidRPr="00E1346D">
        <w:t>.</w:t>
      </w:r>
    </w:p>
    <w:p w14:paraId="0A5EB86E" w14:textId="77777777" w:rsidR="00952A3B" w:rsidRDefault="00952A3B" w:rsidP="00952A3B">
      <w:pPr>
        <w:pStyle w:val="BodyText"/>
      </w:pPr>
      <w:r>
        <w:t>The types of surveys and situations where it may be acceptable for title boundaries not to be marked include:</w:t>
      </w:r>
    </w:p>
    <w:p w14:paraId="6ED61AEA" w14:textId="77777777" w:rsidR="00952A3B" w:rsidRDefault="00952A3B" w:rsidP="2385C0A7">
      <w:pPr>
        <w:pStyle w:val="ListBullet"/>
      </w:pPr>
      <w:r>
        <w:t>surveys to locate assets or infrastructure with respect to boundaries</w:t>
      </w:r>
    </w:p>
    <w:p w14:paraId="26D383BD" w14:textId="77777777" w:rsidR="00952A3B" w:rsidRDefault="00952A3B" w:rsidP="2385C0A7">
      <w:pPr>
        <w:pStyle w:val="ListBullet"/>
      </w:pPr>
      <w:r>
        <w:t>lengthy corridor surveys</w:t>
      </w:r>
    </w:p>
    <w:p w14:paraId="1B719F89" w14:textId="77777777" w:rsidR="00952A3B" w:rsidRDefault="00952A3B" w:rsidP="2385C0A7">
      <w:pPr>
        <w:pStyle w:val="ListBullet"/>
      </w:pPr>
      <w:r>
        <w:t>surveys for the creation of lease areas, easements or restrictions</w:t>
      </w:r>
    </w:p>
    <w:p w14:paraId="7102153F" w14:textId="77777777" w:rsidR="00952A3B" w:rsidRDefault="00952A3B" w:rsidP="2385C0A7">
      <w:pPr>
        <w:pStyle w:val="ListBullet"/>
      </w:pPr>
      <w:r>
        <w:t>w</w:t>
      </w:r>
      <w:r w:rsidRPr="00761D4A">
        <w:t xml:space="preserve">here mature fencing conflicts with title and possessory rights </w:t>
      </w:r>
      <w:r>
        <w:t xml:space="preserve">may </w:t>
      </w:r>
      <w:r w:rsidRPr="00761D4A">
        <w:t>have accrued</w:t>
      </w:r>
    </w:p>
    <w:p w14:paraId="77F600DA" w14:textId="77777777" w:rsidR="00952A3B" w:rsidRDefault="00952A3B" w:rsidP="2385C0A7">
      <w:pPr>
        <w:pStyle w:val="ListBullet"/>
      </w:pPr>
      <w:r>
        <w:t>where the surveyed dimensions of boundaries differ from title dimensions</w:t>
      </w:r>
    </w:p>
    <w:p w14:paraId="48C96CDE" w14:textId="13083039" w:rsidR="00416F46" w:rsidRDefault="00952A3B" w:rsidP="2385C0A7">
      <w:pPr>
        <w:pStyle w:val="ListBullet"/>
      </w:pPr>
      <w:r>
        <w:t>where site demolition or clearing is imminent</w:t>
      </w:r>
      <w:r w:rsidDel="00416F46">
        <w:t>.</w:t>
      </w:r>
    </w:p>
    <w:p w14:paraId="104C7907" w14:textId="77777777" w:rsidR="00952A3B" w:rsidRDefault="00952A3B" w:rsidP="00952A3B">
      <w:pPr>
        <w:pStyle w:val="BodyText"/>
      </w:pPr>
      <w:r>
        <w:t>Circumstances where it is unacceptable not to mark title boundaries</w:t>
      </w:r>
      <w:r w:rsidRPr="00E1346D">
        <w:t xml:space="preserve"> </w:t>
      </w:r>
      <w:r>
        <w:t>include:</w:t>
      </w:r>
    </w:p>
    <w:p w14:paraId="60CBC92C" w14:textId="77777777" w:rsidR="00952A3B" w:rsidRPr="00761D4A" w:rsidRDefault="00952A3B" w:rsidP="0BA150FF">
      <w:pPr>
        <w:pStyle w:val="ListBullet2"/>
      </w:pPr>
      <w:r>
        <w:t>t</w:t>
      </w:r>
      <w:r w:rsidRPr="00761D4A">
        <w:t xml:space="preserve">he surveyor’s client </w:t>
      </w:r>
      <w:r>
        <w:t>requests</w:t>
      </w:r>
      <w:r w:rsidRPr="00761D4A">
        <w:t xml:space="preserve"> the boundaries not to be marked or </w:t>
      </w:r>
      <w:r>
        <w:t xml:space="preserve">for the </w:t>
      </w:r>
      <w:r w:rsidRPr="00761D4A">
        <w:t xml:space="preserve">marking </w:t>
      </w:r>
      <w:r>
        <w:t xml:space="preserve">to be </w:t>
      </w:r>
      <w:r w:rsidRPr="00761D4A">
        <w:t>deferred</w:t>
      </w:r>
      <w:r>
        <w:t>. Surveyors must apply their professional judgement to determine whether requests of this nature are appropriate in the circumstances and provide their reasoning as to why the boundaries should not be marked in the survey documentation.</w:t>
      </w:r>
    </w:p>
    <w:p w14:paraId="04F18FB4" w14:textId="77777777" w:rsidR="00952A3B" w:rsidRPr="00761D4A" w:rsidRDefault="00952A3B" w:rsidP="0BA150FF">
      <w:pPr>
        <w:pStyle w:val="ListBullet2"/>
      </w:pPr>
      <w:r>
        <w:t>a</w:t>
      </w:r>
      <w:r w:rsidRPr="00761D4A">
        <w:t>voidance of a return visit to the site for the purpose of marking boundaries</w:t>
      </w:r>
    </w:p>
    <w:p w14:paraId="4222A363" w14:textId="22DD3E75" w:rsidR="00952A3B" w:rsidRDefault="00952A3B" w:rsidP="00952A3B">
      <w:pPr>
        <w:pStyle w:val="BodyText"/>
      </w:pPr>
      <w:r>
        <w:t>For a typical title re-establishment, feature and level survey performed for the purpose of planning or building permit applications, the default position is for surveyors to mark the title boundaries and the marks placed to be shown on the plan of survey. If a licensed surveyor determines that the appropriate course of action is to defer the placement of boundary marks, the expectation is that the boundaries will be marked by the surveyor at an appropriate time in the future and the client provided with an updated plan of survey showing the marks placed. It is also expected that the cost of the boundary marking will be included in the initial survey fee and not be charged as an ‘additional fee’ to the client at the time of the placement of the marks.</w:t>
      </w:r>
    </w:p>
    <w:p w14:paraId="6729E937" w14:textId="3019CDC5" w:rsidR="008917B8" w:rsidRDefault="00952A3B" w:rsidP="00952A3B">
      <w:pPr>
        <w:pStyle w:val="BodyText"/>
      </w:pPr>
      <w:r>
        <w:t>Surveyors should also take ap</w:t>
      </w:r>
      <w:r w:rsidRPr="00E1346D">
        <w:t xml:space="preserve">propriate action to inform their client in writing of the possible ramifications of their re-establishment </w:t>
      </w:r>
      <w:r>
        <w:t xml:space="preserve">and/or marking </w:t>
      </w:r>
      <w:r w:rsidRPr="00E1346D">
        <w:t>of a title boundary particularly if the re-establishment identifies circumstances when an adjoining property or properties may be adversely affected.</w:t>
      </w:r>
    </w:p>
    <w:p w14:paraId="2D6866A2" w14:textId="50BF9327" w:rsidR="00762E4B" w:rsidRPr="00054F1A" w:rsidRDefault="00762E4B" w:rsidP="00CB55B7">
      <w:pPr>
        <w:pStyle w:val="Heading1-Numbered"/>
        <w:numPr>
          <w:ilvl w:val="0"/>
          <w:numId w:val="45"/>
        </w:numPr>
      </w:pPr>
      <w:bookmarkStart w:id="37" w:name="_Toc215483359"/>
      <w:r w:rsidRPr="00762E4B">
        <w:t>Record of having re-established a cadastral boundary</w:t>
      </w:r>
      <w:bookmarkEnd w:id="37"/>
    </w:p>
    <w:p w14:paraId="2B07B2E8" w14:textId="77777777" w:rsidR="00952A3B" w:rsidRPr="00260B1C" w:rsidRDefault="00952A3B" w:rsidP="00952A3B">
      <w:pPr>
        <w:pStyle w:val="BodyText"/>
        <w:rPr>
          <w:color w:val="0070C0"/>
        </w:rPr>
      </w:pPr>
      <w:r w:rsidRPr="007848B8">
        <w:t xml:space="preserve">When a licensed surveyor undertakes a cadastral survey that will not be supported by an abstract of field records lodged with LUV, a Record of having re-established a cadastral boundary (RE Plan) </w:t>
      </w:r>
      <w:r>
        <w:t xml:space="preserve">must be </w:t>
      </w:r>
      <w:r w:rsidRPr="00C954E5">
        <w:rPr>
          <w:color w:val="auto"/>
        </w:rPr>
        <w:t xml:space="preserve">prepared and lodged with the Surveyor-General within 60 days of the completion of the survey, pursuant to Regulation 16 of the </w:t>
      </w:r>
      <w:r w:rsidRPr="62AD7835">
        <w:rPr>
          <w:color w:val="auto"/>
        </w:rPr>
        <w:t>Surveying (Cadastral Surveys) Regulations 2025</w:t>
      </w:r>
      <w:r w:rsidRPr="00C954E5">
        <w:rPr>
          <w:color w:val="auto"/>
        </w:rPr>
        <w:t>.</w:t>
      </w:r>
    </w:p>
    <w:p w14:paraId="616725CD" w14:textId="77777777" w:rsidR="00952A3B" w:rsidRDefault="00952A3B" w:rsidP="00952A3B">
      <w:pPr>
        <w:pStyle w:val="BodyText"/>
      </w:pPr>
      <w:r w:rsidRPr="007848B8">
        <w:t xml:space="preserve">RE Plans </w:t>
      </w:r>
      <w:r>
        <w:t>add</w:t>
      </w:r>
      <w:r w:rsidRPr="007848B8">
        <w:t xml:space="preserve"> </w:t>
      </w:r>
      <w:r>
        <w:t xml:space="preserve">significant </w:t>
      </w:r>
      <w:r w:rsidRPr="007848B8">
        <w:t xml:space="preserve">value to Victoria's cadastral system as they </w:t>
      </w:r>
      <w:r>
        <w:t xml:space="preserve">are an official legal record of a cadastral boundary re-establishment and </w:t>
      </w:r>
      <w:r w:rsidRPr="007848B8">
        <w:t xml:space="preserve">alert other surveyors </w:t>
      </w:r>
      <w:r>
        <w:t>to the</w:t>
      </w:r>
      <w:r w:rsidRPr="007848B8">
        <w:t xml:space="preserve"> </w:t>
      </w:r>
      <w:r>
        <w:t xml:space="preserve">existence of the survey. It should be kept in-mind that a title re-establishment survey documented and registered as an RE Plan carries more weight legally than an unregistered cadastral survey. It is also more likely that other licensed surveyors will respect or at </w:t>
      </w:r>
      <w:r>
        <w:lastRenderedPageBreak/>
        <w:t>least consider the boundaries re-established in an RE Plan which will assist in avoiding boundary disputes between neighbours and conflicting surveys of common boundaries.</w:t>
      </w:r>
    </w:p>
    <w:p w14:paraId="4D221A2A" w14:textId="0B34AD76" w:rsidR="00952A3B" w:rsidRPr="00BD5087" w:rsidRDefault="00952A3B" w:rsidP="00952A3B">
      <w:pPr>
        <w:pStyle w:val="BodyText"/>
      </w:pPr>
      <w:r>
        <w:t xml:space="preserve">For these reasons, licensed surveyors are encouraged to prepare and lodge RE Plans for their re-establishment surveys to a standard which demonstrates the accurate re-establishment of title boundaries. For many reasons in the past, RE Plans have been considered by some as being records of inferior cadastral surveys and subsequently ignored in any boundary determination deliberations. To eliminate this perception, surveyors are required to perform their re-establishment surveys and document their work on an RE Plan such that it is as reliable and beneficial as any other cadastral survey. To that end, surveyors are expected to place a greater emphasis on the description of the cadastral datum and re-establishment on RE Plans lodged for registration. This is to ensure that the integrity of the cadastre is maintained, and other licensed surveyors are provided with sufficient </w:t>
      </w:r>
      <w:r w:rsidRPr="00BD5087">
        <w:t>information on how the boundaries were re-established.</w:t>
      </w:r>
    </w:p>
    <w:p w14:paraId="3338F47A" w14:textId="30529E4B" w:rsidR="00952A3B" w:rsidRPr="001D7902" w:rsidRDefault="00952A3B" w:rsidP="00952A3B">
      <w:pPr>
        <w:pStyle w:val="BodyText"/>
      </w:pPr>
      <w:r w:rsidRPr="00BD5087">
        <w:t>When an RE Plan is lodged with the Surveyor-General, SGV performs an acceptance examination to ensure that the document complies with the requirements of the regulations, these practice directives and SPEAR Technical Note 4.</w:t>
      </w:r>
      <w:r>
        <w:t xml:space="preserve"> </w:t>
      </w:r>
    </w:p>
    <w:p w14:paraId="49C1E67D" w14:textId="29686775" w:rsidR="00762E4B" w:rsidRPr="001D7902" w:rsidRDefault="00762E4B" w:rsidP="00CB55B7">
      <w:pPr>
        <w:pStyle w:val="Heading2-Numbered"/>
        <w:numPr>
          <w:ilvl w:val="1"/>
          <w:numId w:val="45"/>
        </w:numPr>
      </w:pPr>
      <w:bookmarkStart w:id="38" w:name="_Toc215483360"/>
      <w:r w:rsidRPr="00762E4B">
        <w:t>RE Plan requirements</w:t>
      </w:r>
      <w:bookmarkEnd w:id="38"/>
    </w:p>
    <w:p w14:paraId="7E62962E" w14:textId="5EF29959" w:rsidR="00952A3B" w:rsidRDefault="00952A3B" w:rsidP="00952A3B">
      <w:pPr>
        <w:pStyle w:val="BodyText"/>
      </w:pPr>
      <w:r>
        <w:rPr>
          <w:color w:val="363534"/>
        </w:rPr>
        <w:t xml:space="preserve">RE Plans are required to be prepared in accordance </w:t>
      </w:r>
      <w:r w:rsidRPr="00C954E5">
        <w:t>with Form 4</w:t>
      </w:r>
      <w:r w:rsidR="00133E7E">
        <w:t xml:space="preserve"> of Schedule 1</w:t>
      </w:r>
      <w:r w:rsidRPr="00C954E5">
        <w:t xml:space="preserve"> of the Surveying (Cadastral Surveys) Regulations 2025 and must also adhere to the following requirements:</w:t>
      </w:r>
    </w:p>
    <w:p w14:paraId="117C10E2" w14:textId="55425B83" w:rsidR="00762E4B" w:rsidRPr="001D7902" w:rsidRDefault="00762E4B" w:rsidP="00CB55B7">
      <w:pPr>
        <w:pStyle w:val="Heading3-Numbered"/>
        <w:numPr>
          <w:ilvl w:val="2"/>
          <w:numId w:val="49"/>
        </w:numPr>
      </w:pPr>
      <w:bookmarkStart w:id="39" w:name="_Toc215483361"/>
      <w:r>
        <w:t>SPEAR</w:t>
      </w:r>
      <w:bookmarkEnd w:id="39"/>
    </w:p>
    <w:p w14:paraId="74B28E5A" w14:textId="0F1CEA3E" w:rsidR="00724F20" w:rsidRDefault="00724F20" w:rsidP="00724F20">
      <w:pPr>
        <w:pStyle w:val="BodyText"/>
      </w:pPr>
      <w:r w:rsidRPr="0062113A">
        <w:t>T</w:t>
      </w:r>
      <w:r w:rsidRPr="007848B8">
        <w:t>he</w:t>
      </w:r>
      <w:r w:rsidRPr="00260B1C">
        <w:rPr>
          <w:color w:val="FF0000"/>
        </w:rPr>
        <w:t xml:space="preserve"> </w:t>
      </w:r>
      <w:r w:rsidRPr="007848B8">
        <w:t xml:space="preserve">method of lodgement </w:t>
      </w:r>
      <w:r>
        <w:t>of RE Plans</w:t>
      </w:r>
      <w:r w:rsidR="00133E7E">
        <w:t xml:space="preserve"> with the Surveyor-General</w:t>
      </w:r>
      <w:r>
        <w:t xml:space="preserve"> </w:t>
      </w:r>
      <w:r w:rsidRPr="007848B8">
        <w:t xml:space="preserve">is through </w:t>
      </w:r>
      <w:hyperlink r:id="rId48" w:history="1">
        <w:r w:rsidRPr="62AD7835">
          <w:rPr>
            <w:b/>
            <w:u w:val="single"/>
          </w:rPr>
          <w:t>SPEAR</w:t>
        </w:r>
      </w:hyperlink>
      <w:r w:rsidRPr="007848B8">
        <w:t xml:space="preserve"> (</w:t>
      </w:r>
      <w:hyperlink r:id="rId49" w:history="1">
        <w:r w:rsidRPr="1524E5E4">
          <w:rPr>
            <w:rStyle w:val="Hyperlink"/>
            <w:b/>
          </w:rPr>
          <w:t>www.spear.land.vic.gov.au</w:t>
        </w:r>
      </w:hyperlink>
      <w:r w:rsidRPr="007848B8">
        <w:t>).</w:t>
      </w:r>
      <w:r>
        <w:t xml:space="preserve"> SPEAR requires RE Plans to</w:t>
      </w:r>
      <w:r w:rsidRPr="007848B8">
        <w:t xml:space="preserve"> be prepared </w:t>
      </w:r>
      <w:r>
        <w:t>in</w:t>
      </w:r>
      <w:r w:rsidRPr="007848B8">
        <w:t xml:space="preserve"> A3 </w:t>
      </w:r>
      <w:r>
        <w:t>page size</w:t>
      </w:r>
      <w:r w:rsidRPr="007848B8">
        <w:t xml:space="preserve"> </w:t>
      </w:r>
      <w:r>
        <w:t>with Sheet 1 in portrait orientation and subsequent sheets in either portrait or landscape orientation.</w:t>
      </w:r>
    </w:p>
    <w:p w14:paraId="3C2FF526" w14:textId="5FE73DD1" w:rsidR="00724F20" w:rsidRDefault="00724F20" w:rsidP="00724F20">
      <w:pPr>
        <w:pStyle w:val="BodyText"/>
      </w:pPr>
      <w:r>
        <w:t>There is the ability to add a licensed surveyor’s report to an RE Plan application in SPEAR should there be insufficient room on the RE Plan itself to adequately describe the cadastral datum and re-establishment. This can be done in the ‘Details’ tab of the application under ‘Actions’ then ‘Other Actions’ then ‘Add Surveyor’s Report’.</w:t>
      </w:r>
    </w:p>
    <w:p w14:paraId="06134BA8" w14:textId="04B90B31" w:rsidR="00762E4B" w:rsidRPr="00762E4B" w:rsidRDefault="00762E4B" w:rsidP="00CB55B7">
      <w:pPr>
        <w:pStyle w:val="Heading3-Numbered"/>
        <w:numPr>
          <w:ilvl w:val="2"/>
          <w:numId w:val="49"/>
        </w:numPr>
      </w:pPr>
      <w:bookmarkStart w:id="40" w:name="_Toc215483362"/>
      <w:r w:rsidRPr="00762E4B">
        <w:t>RE Plan diagram</w:t>
      </w:r>
      <w:bookmarkEnd w:id="40"/>
    </w:p>
    <w:p w14:paraId="68B80202" w14:textId="77777777" w:rsidR="00724F20" w:rsidRDefault="00724F20" w:rsidP="00724F20">
      <w:pPr>
        <w:pStyle w:val="BodyText"/>
      </w:pPr>
      <w:r>
        <w:t xml:space="preserve">The RE Plan diagram is to include sufficient detail to validate the survey work performed including the re-establishment of the boundaries and alignments. </w:t>
      </w:r>
      <w:r w:rsidRPr="007848B8">
        <w:t>It is expected that the diagram will provide all of the following as a minimum:</w:t>
      </w:r>
    </w:p>
    <w:p w14:paraId="312493DE" w14:textId="0B3D730E" w:rsidR="00211F1F" w:rsidRPr="00541E56" w:rsidRDefault="00211F1F" w:rsidP="00CB55B7">
      <w:pPr>
        <w:pStyle w:val="BodyText"/>
        <w:numPr>
          <w:ilvl w:val="0"/>
          <w:numId w:val="26"/>
        </w:numPr>
      </w:pPr>
      <w:r w:rsidRPr="007A3B63">
        <w:rPr>
          <w:color w:val="auto"/>
        </w:rPr>
        <w:t xml:space="preserve">the major traversing of the survey – </w:t>
      </w:r>
      <w:r w:rsidRPr="00541E56">
        <w:rPr>
          <w:color w:val="auto"/>
        </w:rPr>
        <w:t>including measured or derived traversing of non-traditional cadastral surveys (</w:t>
      </w:r>
      <w:r w:rsidR="00260940">
        <w:rPr>
          <w:color w:val="auto"/>
        </w:rPr>
        <w:t>e.g.</w:t>
      </w:r>
      <w:r w:rsidRPr="00541E56">
        <w:rPr>
          <w:color w:val="auto"/>
        </w:rPr>
        <w:t xml:space="preserve"> GNSS surveys). See section 6.3.2 (if non-conventional techniques have been employed)</w:t>
      </w:r>
    </w:p>
    <w:p w14:paraId="0C302B2C" w14:textId="4A95F1ED" w:rsidR="00211F1F" w:rsidRPr="00211F1F" w:rsidRDefault="00211F1F" w:rsidP="00CB55B7">
      <w:pPr>
        <w:pStyle w:val="BodyText"/>
        <w:numPr>
          <w:ilvl w:val="0"/>
          <w:numId w:val="26"/>
        </w:numPr>
      </w:pPr>
      <w:r w:rsidRPr="007A3B63">
        <w:rPr>
          <w:color w:val="auto"/>
        </w:rPr>
        <w:t>connections to at least 3 PMs or PCMs placed or located (see Regulation 11(3) of the Surveying (Cadastral Surveys) Regulations 2025)</w:t>
      </w:r>
    </w:p>
    <w:p w14:paraId="3A0158D4" w14:textId="045B866C" w:rsidR="00211F1F" w:rsidRPr="00211F1F" w:rsidRDefault="00211F1F" w:rsidP="00CB55B7">
      <w:pPr>
        <w:pStyle w:val="BodyText"/>
        <w:numPr>
          <w:ilvl w:val="0"/>
          <w:numId w:val="26"/>
        </w:numPr>
      </w:pPr>
      <w:r w:rsidRPr="007A3B63">
        <w:rPr>
          <w:color w:val="auto"/>
        </w:rPr>
        <w:t>connections to</w:t>
      </w:r>
      <w:r w:rsidR="00260940">
        <w:rPr>
          <w:color w:val="auto"/>
        </w:rPr>
        <w:t xml:space="preserve"> </w:t>
      </w:r>
      <w:r w:rsidRPr="007A3B63">
        <w:rPr>
          <w:color w:val="auto"/>
        </w:rPr>
        <w:t>reference marks placed or located</w:t>
      </w:r>
      <w:r w:rsidR="00260940">
        <w:rPr>
          <w:color w:val="auto"/>
        </w:rPr>
        <w:t xml:space="preserve"> in the survey</w:t>
      </w:r>
    </w:p>
    <w:p w14:paraId="639D768C" w14:textId="0891F437" w:rsidR="00211F1F" w:rsidRPr="00211F1F" w:rsidRDefault="00211F1F" w:rsidP="00CB55B7">
      <w:pPr>
        <w:pStyle w:val="BodyText"/>
        <w:numPr>
          <w:ilvl w:val="0"/>
          <w:numId w:val="26"/>
        </w:numPr>
      </w:pPr>
      <w:r w:rsidRPr="007A3B63">
        <w:rPr>
          <w:color w:val="auto"/>
        </w:rPr>
        <w:t>the survey monumentation (including occupation, if relevant) used as the cadastral datum and the connection of the survey to it</w:t>
      </w:r>
    </w:p>
    <w:p w14:paraId="132B92FA" w14:textId="2809DACE" w:rsidR="00211F1F" w:rsidRDefault="00211F1F" w:rsidP="00CB55B7">
      <w:pPr>
        <w:pStyle w:val="BodyText"/>
        <w:numPr>
          <w:ilvl w:val="0"/>
          <w:numId w:val="26"/>
        </w:numPr>
      </w:pPr>
      <w:r>
        <w:t>the dimensions of the re-established boundaries and alignments, and</w:t>
      </w:r>
    </w:p>
    <w:p w14:paraId="170513E4" w14:textId="518B1341" w:rsidR="00724F20" w:rsidRDefault="00211F1F" w:rsidP="00CB55B7">
      <w:pPr>
        <w:pStyle w:val="BodyText"/>
        <w:numPr>
          <w:ilvl w:val="0"/>
          <w:numId w:val="26"/>
        </w:numPr>
      </w:pPr>
      <w:r>
        <w:rPr>
          <w:rFonts w:cs="Arial"/>
          <w:lang w:eastAsia="en-AU"/>
        </w:rPr>
        <w:t>the boundary marks placed.</w:t>
      </w:r>
    </w:p>
    <w:p w14:paraId="096A00BE" w14:textId="72F7303F" w:rsidR="00762E4B" w:rsidRPr="001D7902" w:rsidRDefault="00762E4B" w:rsidP="00CB55B7">
      <w:pPr>
        <w:pStyle w:val="Heading3-Numbered"/>
        <w:numPr>
          <w:ilvl w:val="2"/>
          <w:numId w:val="49"/>
        </w:numPr>
      </w:pPr>
      <w:bookmarkStart w:id="41" w:name="_Toc215483363"/>
      <w:r w:rsidRPr="00762E4B">
        <w:lastRenderedPageBreak/>
        <w:t>Boundary marking in re-establishment surveys</w:t>
      </w:r>
      <w:bookmarkEnd w:id="41"/>
    </w:p>
    <w:p w14:paraId="66244EAA" w14:textId="17C87FDD" w:rsidR="00211F1F" w:rsidRPr="00541E56" w:rsidRDefault="00211F1F" w:rsidP="00211F1F">
      <w:pPr>
        <w:pStyle w:val="BodyText"/>
      </w:pPr>
      <w:r>
        <w:t xml:space="preserve">Boundary marking is to be performed in accordance with </w:t>
      </w:r>
      <w:r w:rsidRPr="00541E56">
        <w:t>the requirements of section 3 of these practice directives. Licensed surveyors are to apply their professional judgement to determine if, how and when boundaries are to be marked.</w:t>
      </w:r>
    </w:p>
    <w:p w14:paraId="19EAAC5F" w14:textId="01DDF836" w:rsidR="00211F1F" w:rsidRPr="00541E56" w:rsidRDefault="00211F1F" w:rsidP="00211F1F">
      <w:pPr>
        <w:pStyle w:val="BodyText"/>
      </w:pPr>
      <w:r w:rsidRPr="00541E56">
        <w:t>All boundary marks placed at the date of the completion of the re-establishment survey are to be shown on the RE Plan. The date of completion is the date on which the site was last visited for the purpose of the re-establishment survey and, in many circumstances, will be the date on which the site was revisited to perform the required boundary marking following the computation of the re-establishment.</w:t>
      </w:r>
    </w:p>
    <w:p w14:paraId="5AE37F78" w14:textId="04FF860E" w:rsidR="00211F1F" w:rsidRPr="00541E56" w:rsidRDefault="00211F1F" w:rsidP="00211F1F">
      <w:pPr>
        <w:pStyle w:val="BodyText"/>
      </w:pPr>
      <w:r w:rsidRPr="00541E56">
        <w:t>It is acknowledged that there are many circumstances where the marking of boundaries in re-establishment surveys may be inappropriate, impractical or needs to be delayed. Some of these are listed in section 3. In such situations, the reason why boundary marking did not occur at the date of the completion of the re-establishment survey is to be stated on the RE Plan or accompanying report, if provided.</w:t>
      </w:r>
    </w:p>
    <w:p w14:paraId="30099661" w14:textId="649DF8F5" w:rsidR="00211F1F" w:rsidRDefault="00211F1F" w:rsidP="00211F1F">
      <w:pPr>
        <w:pStyle w:val="BodyText"/>
      </w:pPr>
      <w:r w:rsidRPr="00541E56">
        <w:rPr>
          <w:rFonts w:cs="Arial"/>
          <w:lang w:eastAsia="en-AU"/>
        </w:rPr>
        <w:t>If the circumstances are such that boundary marks are required to be placed many months after the re</w:t>
      </w:r>
      <w:r>
        <w:rPr>
          <w:rFonts w:cs="Arial"/>
          <w:lang w:eastAsia="en-AU"/>
        </w:rPr>
        <w:t>-establishment survey, the RE Plan must still be lodged within 60 days of the re-establishment survey but there is no requirement to provide the Surveyor-General with details of any boundary marks placed after the registration of the RE Plan.</w:t>
      </w:r>
    </w:p>
    <w:p w14:paraId="5E4B5662" w14:textId="31C09D22" w:rsidR="00762E4B" w:rsidRPr="001D7902" w:rsidRDefault="00762E4B" w:rsidP="00CB55B7">
      <w:pPr>
        <w:pStyle w:val="Heading3-Numbered"/>
        <w:numPr>
          <w:ilvl w:val="2"/>
          <w:numId w:val="49"/>
        </w:numPr>
      </w:pPr>
      <w:bookmarkStart w:id="42" w:name="_Toc215483364"/>
      <w:r w:rsidRPr="00762E4B">
        <w:t>Notations</w:t>
      </w:r>
      <w:bookmarkEnd w:id="42"/>
    </w:p>
    <w:p w14:paraId="29A66D47" w14:textId="6B95B1DA" w:rsidR="00211F1F" w:rsidRDefault="00211F1F" w:rsidP="00211F1F">
      <w:pPr>
        <w:pStyle w:val="BodyText"/>
        <w:rPr>
          <w:lang w:eastAsia="en-AU"/>
        </w:rPr>
      </w:pPr>
      <w:r>
        <w:rPr>
          <w:lang w:eastAsia="en-AU"/>
        </w:rPr>
        <w:t>A detailed description of the cadastral datum and re-establishment is to be provided on the RE Plan. This can be placed in the Notations panel, the body of the RE Plan or as an accompanying licensed surveyor’s report. As previously stated, surveyors will be expected to provide sufficient detail on the cadastral datum and re-establishment to adequately explain how the boundaries and alignments were determined.</w:t>
      </w:r>
    </w:p>
    <w:p w14:paraId="70BB162E" w14:textId="77777777" w:rsidR="00211F1F" w:rsidRDefault="00211F1F" w:rsidP="00211F1F">
      <w:pPr>
        <w:pStyle w:val="BodyText"/>
      </w:pPr>
      <w:r>
        <w:t>If boundaries have not been marked, the reason for the non-marking is to be stated as a notation on the RE Plan.</w:t>
      </w:r>
    </w:p>
    <w:p w14:paraId="03BB2F72" w14:textId="544ED74C" w:rsidR="00211F1F" w:rsidRDefault="00211F1F" w:rsidP="00211F1F">
      <w:pPr>
        <w:pStyle w:val="BodyText"/>
      </w:pPr>
      <w:r>
        <w:rPr>
          <w:lang w:eastAsia="en-AU"/>
        </w:rPr>
        <w:t>If not all of the parcel boundaries shown on an RE Plan have been surveyed, for example, if only one boundary has been surveyed and marked but all the other parcel boundaries are also shown, then a notation that it is a partial survey is to be included on the RE Plan.</w:t>
      </w:r>
    </w:p>
    <w:p w14:paraId="55516911" w14:textId="10C62553" w:rsidR="00762E4B" w:rsidRPr="001D7902" w:rsidRDefault="00762E4B" w:rsidP="00CB55B7">
      <w:pPr>
        <w:pStyle w:val="Heading3-Numbered"/>
        <w:numPr>
          <w:ilvl w:val="2"/>
          <w:numId w:val="49"/>
        </w:numPr>
      </w:pPr>
      <w:bookmarkStart w:id="43" w:name="_Toc215483365"/>
      <w:r w:rsidRPr="00762E4B">
        <w:t>Boundary dimensions</w:t>
      </w:r>
      <w:bookmarkEnd w:id="43"/>
    </w:p>
    <w:p w14:paraId="744CF669" w14:textId="479617A6" w:rsidR="00211F1F" w:rsidRDefault="00211F1F" w:rsidP="00211F1F">
      <w:pPr>
        <w:pStyle w:val="BodyText"/>
      </w:pPr>
      <w:r w:rsidRPr="007848B8">
        <w:t xml:space="preserve">Surveyors must be mindful that RE Plans are not a mechanism to amend title dimensions. If the survey dimensions </w:t>
      </w:r>
      <w:r>
        <w:t xml:space="preserve">of boundaries </w:t>
      </w:r>
      <w:r w:rsidRPr="007848B8">
        <w:t>differ to title dimensions, it is expected that the differences will be clearly indicated. For example, this can be achieved by showing both Title and Survey dimensions on the affected boundaries.</w:t>
      </w:r>
    </w:p>
    <w:p w14:paraId="2A0B69AA" w14:textId="48099C41" w:rsidR="00762E4B" w:rsidRPr="001D7902" w:rsidRDefault="00762E4B" w:rsidP="00CB55B7">
      <w:pPr>
        <w:pStyle w:val="Heading3-Numbered"/>
        <w:numPr>
          <w:ilvl w:val="2"/>
          <w:numId w:val="49"/>
        </w:numPr>
      </w:pPr>
      <w:bookmarkStart w:id="44" w:name="_Toc215483366"/>
      <w:r>
        <w:t>D</w:t>
      </w:r>
      <w:r w:rsidRPr="00762E4B">
        <w:t>isclaimers</w:t>
      </w:r>
      <w:bookmarkEnd w:id="44"/>
    </w:p>
    <w:p w14:paraId="14BED9C4" w14:textId="4C55AF9C" w:rsidR="00211F1F" w:rsidRDefault="00211F1F" w:rsidP="00211F1F">
      <w:pPr>
        <w:pStyle w:val="BodyText"/>
        <w:rPr>
          <w:color w:val="auto"/>
        </w:rPr>
      </w:pPr>
      <w:r>
        <w:t xml:space="preserve">It is unacceptable for a licensed surveyor </w:t>
      </w:r>
      <w:r w:rsidRPr="007848B8">
        <w:t xml:space="preserve">to ‘qualify’ an RE Plan with any notation advising that the information cannot be relied upon as it has not been examined or approved by LUV. By signing the </w:t>
      </w:r>
      <w:r>
        <w:t>certificate</w:t>
      </w:r>
      <w:r w:rsidRPr="007848B8">
        <w:t xml:space="preserve"> </w:t>
      </w:r>
      <w:r w:rsidRPr="00485A06">
        <w:rPr>
          <w:color w:val="auto"/>
        </w:rPr>
        <w:t>as required by Regulation 14(1) and</w:t>
      </w:r>
      <w:r w:rsidR="00260940">
        <w:rPr>
          <w:color w:val="auto"/>
        </w:rPr>
        <w:t xml:space="preserve"> </w:t>
      </w:r>
      <w:r w:rsidRPr="00485A06">
        <w:rPr>
          <w:color w:val="auto"/>
        </w:rPr>
        <w:t>Form 2</w:t>
      </w:r>
      <w:r w:rsidR="00260940">
        <w:rPr>
          <w:color w:val="auto"/>
        </w:rPr>
        <w:t xml:space="preserve"> of Schedule 1</w:t>
      </w:r>
      <w:r w:rsidRPr="00485A06">
        <w:rPr>
          <w:color w:val="auto"/>
        </w:rPr>
        <w:t xml:space="preserve"> of the </w:t>
      </w:r>
      <w:r w:rsidRPr="1EBF5C88">
        <w:rPr>
          <w:color w:val="auto"/>
        </w:rPr>
        <w:t>Surveying (Cadastral Surveys) Regulations 2025</w:t>
      </w:r>
      <w:r w:rsidRPr="00485A06">
        <w:rPr>
          <w:color w:val="auto"/>
        </w:rPr>
        <w:t>, the surveyor accepts full responsibility for the re-establishment survey as documented on the RE Plan.</w:t>
      </w:r>
    </w:p>
    <w:p w14:paraId="6F01B592" w14:textId="7440B31D" w:rsidR="00762E4B" w:rsidRPr="001D7902" w:rsidRDefault="00762E4B" w:rsidP="00CB55B7">
      <w:pPr>
        <w:pStyle w:val="Heading3-Numbered"/>
        <w:numPr>
          <w:ilvl w:val="2"/>
          <w:numId w:val="49"/>
        </w:numPr>
      </w:pPr>
      <w:bookmarkStart w:id="45" w:name="_Toc215483367"/>
      <w:r w:rsidRPr="00762E4B">
        <w:t>RE Plan Example</w:t>
      </w:r>
      <w:bookmarkEnd w:id="45"/>
    </w:p>
    <w:p w14:paraId="07D54AF6" w14:textId="50F75D86" w:rsidR="00DA3950" w:rsidRPr="00800FEB" w:rsidRDefault="00211F1F" w:rsidP="00211F1F">
      <w:pPr>
        <w:pStyle w:val="BodyText"/>
        <w:rPr>
          <w:rFonts w:cs="Times New Roman"/>
          <w:lang w:val="en"/>
        </w:rPr>
      </w:pPr>
      <w:r w:rsidRPr="00E80A8A">
        <w:rPr>
          <w:rFonts w:cs="Times New Roman"/>
          <w:lang w:val="en"/>
        </w:rPr>
        <w:t xml:space="preserve">An example of an </w:t>
      </w:r>
      <w:hyperlink r:id="rId50" w:history="1">
        <w:r w:rsidRPr="1EBF5C88">
          <w:rPr>
            <w:rFonts w:cs="Times New Roman"/>
            <w:b/>
            <w:u w:val="single"/>
            <w:lang w:val="en"/>
          </w:rPr>
          <w:t>RE Plan</w:t>
        </w:r>
      </w:hyperlink>
      <w:r w:rsidRPr="00E80A8A">
        <w:rPr>
          <w:rFonts w:cs="Times New Roman"/>
          <w:lang w:val="en"/>
        </w:rPr>
        <w:t xml:space="preserve"> is available at: </w:t>
      </w:r>
      <w:hyperlink r:id="rId51" w:history="1">
        <w:r w:rsidR="007E7581" w:rsidRPr="1EBF5C88">
          <w:rPr>
            <w:rStyle w:val="Hyperlink"/>
            <w:rFonts w:cs="Times New Roman"/>
            <w:b/>
            <w:lang w:val="en"/>
          </w:rPr>
          <w:t>www.land.vic.gov.au/surveying/cadastral-survey/practice-directives</w:t>
        </w:r>
      </w:hyperlink>
      <w:r w:rsidR="00DA3950">
        <w:rPr>
          <w:rFonts w:cs="Times New Roman"/>
          <w:lang w:val="en"/>
        </w:rPr>
        <w:t>.</w:t>
      </w:r>
    </w:p>
    <w:p w14:paraId="4D7806CC" w14:textId="0F1AFADE" w:rsidR="00363CAA" w:rsidRPr="001D7902" w:rsidRDefault="00363CAA" w:rsidP="00CB55B7">
      <w:pPr>
        <w:pStyle w:val="Heading2-Numbered"/>
        <w:numPr>
          <w:ilvl w:val="1"/>
          <w:numId w:val="49"/>
        </w:numPr>
      </w:pPr>
      <w:bookmarkStart w:id="46" w:name="_Toc215483368"/>
      <w:r w:rsidRPr="00363CAA">
        <w:lastRenderedPageBreak/>
        <w:t>Initial re-establishment surveys for subdivisions</w:t>
      </w:r>
      <w:bookmarkEnd w:id="46"/>
    </w:p>
    <w:p w14:paraId="66F2DFE2" w14:textId="055B01AD" w:rsidR="00211F1F" w:rsidRDefault="00260940" w:rsidP="00211F1F">
      <w:pPr>
        <w:pStyle w:val="BodyText"/>
      </w:pPr>
      <w:r>
        <w:t>From 1995 when</w:t>
      </w:r>
      <w:r w:rsidR="00211F1F" w:rsidRPr="008A791F">
        <w:t xml:space="preserve"> the requirement to lodge RE Plans was introduced </w:t>
      </w:r>
      <w:r>
        <w:t>until July 2021</w:t>
      </w:r>
      <w:r w:rsidR="00211F1F" w:rsidRPr="008A791F">
        <w:t xml:space="preserve">, it </w:t>
      </w:r>
      <w:r>
        <w:t>was</w:t>
      </w:r>
      <w:r w:rsidR="00211F1F" w:rsidRPr="008A791F">
        <w:t xml:space="preserve"> not</w:t>
      </w:r>
      <w:r>
        <w:t xml:space="preserve"> </w:t>
      </w:r>
      <w:r w:rsidR="00211F1F" w:rsidRPr="008A791F">
        <w:t xml:space="preserve">mandatory for an RE Plan to be lodged for a re-establishment survey when it </w:t>
      </w:r>
      <w:r>
        <w:t xml:space="preserve">was </w:t>
      </w:r>
      <w:r w:rsidR="00211F1F" w:rsidRPr="008A791F">
        <w:t xml:space="preserve">known that a subdivision of the land </w:t>
      </w:r>
      <w:r>
        <w:t>was to</w:t>
      </w:r>
      <w:r w:rsidR="00211F1F" w:rsidRPr="008A791F">
        <w:t xml:space="preserve"> follow.</w:t>
      </w:r>
      <w:r w:rsidR="00211F1F">
        <w:t xml:space="preserve"> </w:t>
      </w:r>
      <w:r w:rsidR="00211F1F" w:rsidRPr="00E5491A">
        <w:t xml:space="preserve">In many circumstances, this resulted in a record of the re-establishment </w:t>
      </w:r>
      <w:r w:rsidR="00211F1F">
        <w:t xml:space="preserve">survey </w:t>
      </w:r>
      <w:r w:rsidR="00211F1F" w:rsidRPr="00E5491A">
        <w:t xml:space="preserve">not being publicly available for some time or not at all. Situations </w:t>
      </w:r>
      <w:r w:rsidR="00211F1F">
        <w:t xml:space="preserve">where this occurred include; when </w:t>
      </w:r>
      <w:r w:rsidR="00211F1F" w:rsidRPr="00E5491A">
        <w:t xml:space="preserve">a </w:t>
      </w:r>
      <w:r w:rsidR="00211F1F">
        <w:t xml:space="preserve">proposed </w:t>
      </w:r>
      <w:r w:rsidR="00211F1F" w:rsidRPr="00E5491A">
        <w:t>subdivision did not proceed due to financial or planning issues, a different surveyor or survey firm was engaged to perform the subdivision or there was a substantial time delay between the design and final survey for the subdivision.</w:t>
      </w:r>
    </w:p>
    <w:p w14:paraId="0E83D937" w14:textId="25261AEE" w:rsidR="00211F1F" w:rsidRDefault="00211F1F" w:rsidP="00211F1F">
      <w:pPr>
        <w:pStyle w:val="BodyText"/>
      </w:pPr>
      <w:r>
        <w:t>To eliminate this occurring</w:t>
      </w:r>
      <w:r w:rsidR="00260940">
        <w:t xml:space="preserve"> from July 2021</w:t>
      </w:r>
      <w:r>
        <w:t>, licensed surveyors</w:t>
      </w:r>
      <w:r w:rsidR="00260940">
        <w:t xml:space="preserve"> are required to</w:t>
      </w:r>
      <w:r>
        <w:t xml:space="preserve"> lodge an RE Plan for their re-establishment survey within 60 days even when a subdivision is known to be following. The only exception is if the subdivision application has already been created in SPEAR in which case the surveyor can be identified and contacted for the purpose of obtaining details of the re-establishment in the period leading up to the plan being registered.</w:t>
      </w:r>
    </w:p>
    <w:p w14:paraId="58EEE900" w14:textId="7330CCF9" w:rsidR="00211F1F" w:rsidRDefault="00211F1F" w:rsidP="00211F1F">
      <w:pPr>
        <w:pStyle w:val="BodyText"/>
      </w:pPr>
      <w:r w:rsidRPr="0038548E">
        <w:rPr>
          <w:rFonts w:cs="Arial"/>
          <w:lang w:eastAsia="en-AU"/>
        </w:rPr>
        <w:t xml:space="preserve">The </w:t>
      </w:r>
      <w:r>
        <w:rPr>
          <w:rFonts w:cs="Arial"/>
          <w:lang w:eastAsia="en-AU"/>
        </w:rPr>
        <w:t>provision of an RE Plan will</w:t>
      </w:r>
      <w:r w:rsidRPr="0038548E">
        <w:rPr>
          <w:rFonts w:cs="Arial"/>
          <w:lang w:eastAsia="en-AU"/>
        </w:rPr>
        <w:t xml:space="preserve"> ensure that the initial re-establishment survey is documented </w:t>
      </w:r>
      <w:r>
        <w:rPr>
          <w:rFonts w:cs="Arial"/>
          <w:lang w:eastAsia="en-AU"/>
        </w:rPr>
        <w:t xml:space="preserve">and available </w:t>
      </w:r>
      <w:r w:rsidRPr="0038548E">
        <w:rPr>
          <w:rFonts w:cs="Arial"/>
          <w:lang w:eastAsia="en-AU"/>
        </w:rPr>
        <w:t xml:space="preserve">for other surveyors to </w:t>
      </w:r>
      <w:r>
        <w:rPr>
          <w:rFonts w:cs="Arial"/>
          <w:lang w:eastAsia="en-AU"/>
        </w:rPr>
        <w:t>use or consider</w:t>
      </w:r>
      <w:r w:rsidRPr="0038548E">
        <w:rPr>
          <w:rFonts w:cs="Arial"/>
          <w:lang w:eastAsia="en-AU"/>
        </w:rPr>
        <w:t xml:space="preserve">, and </w:t>
      </w:r>
      <w:r>
        <w:rPr>
          <w:rFonts w:cs="Arial"/>
          <w:lang w:eastAsia="en-AU"/>
        </w:rPr>
        <w:t>a link provided</w:t>
      </w:r>
      <w:r w:rsidRPr="0038548E">
        <w:rPr>
          <w:rFonts w:cs="Arial"/>
          <w:lang w:eastAsia="en-AU"/>
        </w:rPr>
        <w:t xml:space="preserve"> to old survey marks and monumentation that may have been destroyed in the time between the initial survey and the final survey for the subdivision.</w:t>
      </w:r>
    </w:p>
    <w:p w14:paraId="555B92C2" w14:textId="032A1350" w:rsidR="00363CAA" w:rsidRPr="001D7902" w:rsidRDefault="00363CAA" w:rsidP="00CB55B7">
      <w:pPr>
        <w:pStyle w:val="Heading2-Numbered"/>
        <w:numPr>
          <w:ilvl w:val="1"/>
          <w:numId w:val="49"/>
        </w:numPr>
      </w:pPr>
      <w:bookmarkStart w:id="47" w:name="_Toc215483369"/>
      <w:r w:rsidRPr="00363CAA">
        <w:t>Plans of subdivision</w:t>
      </w:r>
      <w:bookmarkEnd w:id="47"/>
    </w:p>
    <w:p w14:paraId="05386202" w14:textId="30DF05A0" w:rsidR="00363CAA" w:rsidRDefault="00211F1F" w:rsidP="00211F1F">
      <w:pPr>
        <w:pStyle w:val="BodyText"/>
      </w:pPr>
      <w:r>
        <w:t>It is still the case</w:t>
      </w:r>
      <w:r w:rsidRPr="007848B8">
        <w:t xml:space="preserve"> that RE Plans are not acceptable as survey documentation in support of </w:t>
      </w:r>
      <w:r>
        <w:t xml:space="preserve">plans of </w:t>
      </w:r>
      <w:r w:rsidRPr="007848B8">
        <w:t>subdivision</w:t>
      </w:r>
      <w:r>
        <w:t xml:space="preserve"> lodged at LUV</w:t>
      </w:r>
      <w:r w:rsidRPr="007848B8">
        <w:t xml:space="preserve">. </w:t>
      </w:r>
      <w:r w:rsidRPr="00E80A8A">
        <w:rPr>
          <w:color w:val="auto"/>
        </w:rPr>
        <w:t xml:space="preserve">Regulation 18(1) of the </w:t>
      </w:r>
      <w:r w:rsidRPr="1DC3DFD2">
        <w:rPr>
          <w:b/>
          <w:color w:val="auto"/>
        </w:rPr>
        <w:t>Subdivision (Registrar's Requirements) Regulations 2021</w:t>
      </w:r>
      <w:r w:rsidRPr="00E80A8A">
        <w:rPr>
          <w:color w:val="auto"/>
        </w:rPr>
        <w:t xml:space="preserve"> </w:t>
      </w:r>
      <w:r w:rsidRPr="007848B8">
        <w:t xml:space="preserve">specifically requires an abstract of field records to be submitted to the Registrar when a plan of subdivision is lodged. It is not acceptable to refer to a previously lodged RE Plan as the supporting documentation for a plan of subdivision, even though that RE Plan may have been prepared </w:t>
      </w:r>
      <w:r>
        <w:t>in an</w:t>
      </w:r>
      <w:r w:rsidRPr="007848B8">
        <w:t xml:space="preserve"> abstract of field records</w:t>
      </w:r>
      <w:r>
        <w:t xml:space="preserve"> format </w:t>
      </w:r>
      <w:r w:rsidRPr="007848B8">
        <w:t>and is supported by a complete licensed surveyor’s report.</w:t>
      </w:r>
    </w:p>
    <w:p w14:paraId="5628E9CB" w14:textId="7C4E94AF" w:rsidR="00363CAA" w:rsidRPr="00054F1A" w:rsidRDefault="00363CAA" w:rsidP="00CB55B7">
      <w:pPr>
        <w:pStyle w:val="Heading1-Numbered"/>
        <w:numPr>
          <w:ilvl w:val="0"/>
          <w:numId w:val="49"/>
        </w:numPr>
      </w:pPr>
      <w:bookmarkStart w:id="48" w:name="_Toc215483370"/>
      <w:r w:rsidRPr="00363CAA">
        <w:t>Licensed Surveyor’s Report</w:t>
      </w:r>
      <w:bookmarkEnd w:id="48"/>
    </w:p>
    <w:p w14:paraId="79813216" w14:textId="4AE7DEC6" w:rsidR="00415C31" w:rsidRPr="001D7902" w:rsidRDefault="00415C31" w:rsidP="00363CAA">
      <w:pPr>
        <w:pStyle w:val="GreyText"/>
      </w:pPr>
      <w:r w:rsidRPr="004C6261">
        <w:t xml:space="preserve">The licensed surveyor’s report is a formal </w:t>
      </w:r>
      <w:r w:rsidRPr="00BF350C">
        <w:rPr>
          <w:color w:val="auto"/>
        </w:rPr>
        <w:t xml:space="preserve">declaration made in accordance with Regulation 15 of the Surveying (Cadastral Surveys) Regulations 2025 and </w:t>
      </w:r>
      <w:r w:rsidRPr="004C6261">
        <w:t>must be prepared to accompany any plan or application lodged with the Surveyor-General or Registrar of Titles.</w:t>
      </w:r>
    </w:p>
    <w:p w14:paraId="1A84BF68" w14:textId="6A9CC35C" w:rsidR="00363CAA" w:rsidRPr="001D7902" w:rsidRDefault="00363CAA" w:rsidP="00CB55B7">
      <w:pPr>
        <w:pStyle w:val="Heading2-Numbered"/>
        <w:numPr>
          <w:ilvl w:val="1"/>
          <w:numId w:val="44"/>
        </w:numPr>
      </w:pPr>
      <w:bookmarkStart w:id="49" w:name="_Toc215483371"/>
      <w:r w:rsidRPr="00363CAA">
        <w:t>Title and requirements</w:t>
      </w:r>
      <w:bookmarkEnd w:id="49"/>
    </w:p>
    <w:p w14:paraId="245CA95F" w14:textId="77777777" w:rsidR="00415C31" w:rsidRPr="004C6261" w:rsidRDefault="00415C31" w:rsidP="00415C31">
      <w:pPr>
        <w:pStyle w:val="BodyText"/>
        <w:spacing w:before="0"/>
      </w:pPr>
      <w:r w:rsidRPr="004C6261">
        <w:t xml:space="preserve">The report is to be titled </w:t>
      </w:r>
      <w:r w:rsidRPr="00CF0088">
        <w:rPr>
          <w:b/>
        </w:rPr>
        <w:t>Licensed Surveyor’s Report</w:t>
      </w:r>
      <w:r w:rsidRPr="004C6261">
        <w:t>.</w:t>
      </w:r>
    </w:p>
    <w:p w14:paraId="254D5FB0" w14:textId="7C3501BC" w:rsidR="00415C31" w:rsidRDefault="00415C31" w:rsidP="00415C31">
      <w:pPr>
        <w:pStyle w:val="GreyText"/>
      </w:pPr>
      <w:r w:rsidRPr="004C6261">
        <w:t xml:space="preserve">A clear and concise report is an important element of every cadastral survey and should be comprehensive to </w:t>
      </w:r>
      <w:r w:rsidRPr="00BF350C">
        <w:rPr>
          <w:color w:val="auto"/>
        </w:rPr>
        <w:t xml:space="preserve">assist in justifying the re-establishment and its acceptability. The </w:t>
      </w:r>
      <w:r w:rsidR="00260940">
        <w:rPr>
          <w:color w:val="auto"/>
        </w:rPr>
        <w:t>l</w:t>
      </w:r>
      <w:r w:rsidRPr="00BF350C">
        <w:rPr>
          <w:color w:val="auto"/>
        </w:rPr>
        <w:t xml:space="preserve">icensed </w:t>
      </w:r>
      <w:r w:rsidR="00260940">
        <w:rPr>
          <w:color w:val="auto"/>
        </w:rPr>
        <w:t>s</w:t>
      </w:r>
      <w:r w:rsidRPr="00BF350C">
        <w:rPr>
          <w:color w:val="auto"/>
        </w:rPr>
        <w:t xml:space="preserve">urveyor’s </w:t>
      </w:r>
      <w:r w:rsidR="00260940">
        <w:rPr>
          <w:color w:val="auto"/>
        </w:rPr>
        <w:t>r</w:t>
      </w:r>
      <w:r w:rsidRPr="00BF350C">
        <w:rPr>
          <w:color w:val="auto"/>
        </w:rPr>
        <w:t xml:space="preserve">eport and abstract of field records should support each other and be consistent and compatible. If the licensed surveyor’s report is deemed inadequate or incomplete by the Surveyor-General </w:t>
      </w:r>
      <w:r w:rsidRPr="004C6261">
        <w:t>or Registrar of Titles, the surveyor will be required to submit an appropriate report prior to registration</w:t>
      </w:r>
      <w:r>
        <w:t xml:space="preserve"> of the plan or application</w:t>
      </w:r>
      <w:r w:rsidRPr="004C6261">
        <w:t>.</w:t>
      </w:r>
    </w:p>
    <w:p w14:paraId="42639364" w14:textId="092A9A2A" w:rsidR="00363CAA" w:rsidRPr="001D7902" w:rsidRDefault="00363CAA" w:rsidP="00CB55B7">
      <w:pPr>
        <w:pStyle w:val="Heading2-Numbered"/>
        <w:numPr>
          <w:ilvl w:val="1"/>
          <w:numId w:val="44"/>
        </w:numPr>
      </w:pPr>
      <w:bookmarkStart w:id="50" w:name="_Toc215483372"/>
      <w:r w:rsidRPr="00363CAA">
        <w:t>Format of report</w:t>
      </w:r>
      <w:bookmarkEnd w:id="50"/>
    </w:p>
    <w:p w14:paraId="4FCC6805" w14:textId="04158F05" w:rsidR="00415C31" w:rsidRDefault="00415C31" w:rsidP="00363CAA">
      <w:pPr>
        <w:pStyle w:val="GreyText"/>
      </w:pPr>
      <w:r w:rsidRPr="004C6261">
        <w:t xml:space="preserve">The </w:t>
      </w:r>
      <w:hyperlink r:id="rId52" w:history="1">
        <w:r w:rsidRPr="00BF350C">
          <w:rPr>
            <w:rStyle w:val="Hyperlink"/>
          </w:rPr>
          <w:t>licensed surveyor’s report</w:t>
        </w:r>
      </w:hyperlink>
      <w:r w:rsidRPr="00BF350C">
        <w:rPr>
          <w:color w:val="auto"/>
        </w:rPr>
        <w:t xml:space="preserve"> template available at </w:t>
      </w:r>
      <w:hyperlink r:id="rId53" w:history="1">
        <w:r w:rsidR="00DD0573" w:rsidRPr="00DD0573">
          <w:rPr>
            <w:rStyle w:val="Hyperlink"/>
          </w:rPr>
          <w:t>www.land.vic.gov.au/surveying/cadastral-survey/practice-directives</w:t>
        </w:r>
      </w:hyperlink>
      <w:r w:rsidRPr="00BF350C">
        <w:rPr>
          <w:color w:val="auto"/>
        </w:rPr>
        <w:t xml:space="preserve"> can </w:t>
      </w:r>
      <w:r>
        <w:t xml:space="preserve">be used as a guide </w:t>
      </w:r>
      <w:r w:rsidRPr="004C6261">
        <w:t>to the heading descriptions and</w:t>
      </w:r>
      <w:r w:rsidRPr="004C6261" w:rsidDel="00644BEF">
        <w:t xml:space="preserve"> </w:t>
      </w:r>
      <w:r>
        <w:t>the matters that should be addressed in the report, however further headings may be inserted as required</w:t>
      </w:r>
      <w:r w:rsidRPr="004C6261">
        <w:t>.</w:t>
      </w:r>
    </w:p>
    <w:p w14:paraId="63E92BFA" w14:textId="0DBE7788" w:rsidR="00363CAA" w:rsidRPr="001D7902" w:rsidRDefault="00363CAA" w:rsidP="00CB55B7">
      <w:pPr>
        <w:pStyle w:val="Heading2-Numbered"/>
        <w:numPr>
          <w:ilvl w:val="1"/>
          <w:numId w:val="44"/>
        </w:numPr>
      </w:pPr>
      <w:bookmarkStart w:id="51" w:name="_Toc215483373"/>
      <w:r w:rsidRPr="00363CAA">
        <w:t>SPEAR requirements</w:t>
      </w:r>
      <w:bookmarkEnd w:id="51"/>
    </w:p>
    <w:p w14:paraId="198791F9" w14:textId="5D9B04B1" w:rsidR="00415C31" w:rsidRPr="004C6261" w:rsidRDefault="00415C31" w:rsidP="00415C31">
      <w:pPr>
        <w:pStyle w:val="BodyText"/>
        <w:spacing w:before="0"/>
      </w:pPr>
      <w:r>
        <w:t>The survey</w:t>
      </w:r>
      <w:r w:rsidRPr="004C6261">
        <w:t xml:space="preserve"> company/firm/organisation </w:t>
      </w:r>
      <w:r>
        <w:t xml:space="preserve">details or logo must be positioned so that the </w:t>
      </w:r>
      <w:r w:rsidRPr="004C6261">
        <w:t xml:space="preserve">requirements of </w:t>
      </w:r>
      <w:hyperlink r:id="rId54">
        <w:r w:rsidRPr="0AF0A451">
          <w:rPr>
            <w:rStyle w:val="Hyperlink"/>
          </w:rPr>
          <w:t>SPEAR Technical Note 4</w:t>
        </w:r>
      </w:hyperlink>
      <w:r w:rsidRPr="00BF350C">
        <w:rPr>
          <w:color w:val="auto"/>
        </w:rPr>
        <w:t>, available at www.spear.land.vic.gov.au&gt;Applicants&gt;How do I set up my plan templates?,</w:t>
      </w:r>
      <w:r w:rsidRPr="00BF350C" w:rsidDel="00F041D1">
        <w:rPr>
          <w:color w:val="auto"/>
        </w:rPr>
        <w:t xml:space="preserve"> </w:t>
      </w:r>
      <w:r w:rsidRPr="00BF350C">
        <w:rPr>
          <w:color w:val="auto"/>
        </w:rPr>
        <w:t xml:space="preserve">are </w:t>
      </w:r>
      <w:r w:rsidRPr="00BF350C">
        <w:rPr>
          <w:color w:val="auto"/>
        </w:rPr>
        <w:lastRenderedPageBreak/>
        <w:t xml:space="preserve">accommodated to allow the insertion of the surveyor’s digital signature. Please note that a blank space of </w:t>
      </w:r>
      <w:r w:rsidRPr="004C6261">
        <w:t>90</w:t>
      </w:r>
      <w:r w:rsidR="00A964A0">
        <w:t xml:space="preserve"> </w:t>
      </w:r>
      <w:r w:rsidRPr="004C6261">
        <w:t>mm x 20</w:t>
      </w:r>
      <w:r w:rsidR="00A964A0">
        <w:t xml:space="preserve"> </w:t>
      </w:r>
      <w:r w:rsidRPr="004C6261">
        <w:t xml:space="preserve">mm must be </w:t>
      </w:r>
      <w:r>
        <w:t>reserved</w:t>
      </w:r>
      <w:r w:rsidRPr="004C6261">
        <w:t xml:space="preserve"> in the bottom right hand corner of each sheet as shown below.</w:t>
      </w:r>
    </w:p>
    <w:p w14:paraId="395BDC03" w14:textId="05D9E75E" w:rsidR="00415C31" w:rsidRDefault="00415C31" w:rsidP="00415C31">
      <w:pPr>
        <w:pStyle w:val="GreyText"/>
      </w:pPr>
      <w:r w:rsidRPr="004C6261">
        <w:t xml:space="preserve">Company information and page numbering can be included in the footer of the first and subsequent sheets but must continue to satisfy the above </w:t>
      </w:r>
      <w:r w:rsidRPr="00E52209">
        <w:t>requirement.</w:t>
      </w:r>
    </w:p>
    <w:p w14:paraId="67A4EAF3" w14:textId="6896C826" w:rsidR="00415C31" w:rsidRDefault="00415C31" w:rsidP="00415C31">
      <w:pPr>
        <w:pStyle w:val="GreyText"/>
        <w:jc w:val="right"/>
      </w:pPr>
      <w:r>
        <w:rPr>
          <w:noProof/>
        </w:rPr>
        <w:drawing>
          <wp:inline distT="0" distB="0" distL="0" distR="0" wp14:anchorId="7B8948D8" wp14:editId="27BC8227">
            <wp:extent cx="2497540" cy="1358955"/>
            <wp:effectExtent l="0" t="0" r="0" b="0"/>
            <wp:docPr id="58206468" name="Picture 58206468" descr="A diagram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6468" name="Picture 58206468" descr="A diagram of a number of objects&#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2497540" cy="1358955"/>
                    </a:xfrm>
                    <a:prstGeom prst="rect">
                      <a:avLst/>
                    </a:prstGeom>
                  </pic:spPr>
                </pic:pic>
              </a:graphicData>
            </a:graphic>
          </wp:inline>
        </w:drawing>
      </w:r>
    </w:p>
    <w:p w14:paraId="282828D7" w14:textId="71384793" w:rsidR="00363CAA" w:rsidRPr="001D7902" w:rsidRDefault="00363CAA" w:rsidP="00CB55B7">
      <w:pPr>
        <w:pStyle w:val="Heading2-Numbered"/>
        <w:numPr>
          <w:ilvl w:val="1"/>
          <w:numId w:val="44"/>
        </w:numPr>
      </w:pPr>
      <w:bookmarkStart w:id="52" w:name="_Toc215483374"/>
      <w:r w:rsidRPr="00363CAA">
        <w:t>EDM calibration and verification of GNS</w:t>
      </w:r>
      <w:r w:rsidR="00260940">
        <w:t xml:space="preserve">S or </w:t>
      </w:r>
      <w:r w:rsidRPr="00363CAA">
        <w:t>emerging technologies</w:t>
      </w:r>
      <w:bookmarkEnd w:id="52"/>
    </w:p>
    <w:p w14:paraId="32E220B1" w14:textId="280CF67A" w:rsidR="00F97404" w:rsidRDefault="00F97404" w:rsidP="00363CAA">
      <w:pPr>
        <w:pStyle w:val="GreyText"/>
      </w:pPr>
      <w:r w:rsidRPr="004C6261">
        <w:t>The licensed surveyor must specify the calibration</w:t>
      </w:r>
      <w:r>
        <w:t>/verification</w:t>
      </w:r>
      <w:r w:rsidRPr="004C6261">
        <w:t xml:space="preserve"> details </w:t>
      </w:r>
      <w:r w:rsidRPr="00527E31">
        <w:t xml:space="preserve">of </w:t>
      </w:r>
      <w:r w:rsidRPr="008A0342">
        <w:t>EDM, GNSS</w:t>
      </w:r>
      <w:r w:rsidRPr="004C6261">
        <w:t xml:space="preserve"> </w:t>
      </w:r>
      <w:r>
        <w:t xml:space="preserve">and emerging technologies </w:t>
      </w:r>
      <w:r w:rsidRPr="004C6261">
        <w:t xml:space="preserve">in the </w:t>
      </w:r>
      <w:r>
        <w:t>Licensed Surveyor’s Repor</w:t>
      </w:r>
      <w:bookmarkStart w:id="53" w:name="_Toc77081030"/>
      <w:bookmarkStart w:id="54" w:name="_Toc77081126"/>
      <w:bookmarkStart w:id="55" w:name="_Toc77081291"/>
      <w:bookmarkStart w:id="56" w:name="_Toc77085218"/>
      <w:bookmarkStart w:id="57" w:name="_Toc77085303"/>
      <w:bookmarkStart w:id="58" w:name="_Toc77085387"/>
      <w:bookmarkStart w:id="59" w:name="_Toc77085737"/>
      <w:bookmarkStart w:id="60" w:name="_Toc77085819"/>
      <w:bookmarkStart w:id="61" w:name="_Toc77086001"/>
      <w:bookmarkEnd w:id="53"/>
      <w:bookmarkEnd w:id="54"/>
      <w:bookmarkEnd w:id="55"/>
      <w:bookmarkEnd w:id="56"/>
      <w:bookmarkEnd w:id="57"/>
      <w:bookmarkEnd w:id="58"/>
      <w:bookmarkEnd w:id="59"/>
      <w:bookmarkEnd w:id="60"/>
      <w:bookmarkEnd w:id="61"/>
      <w:r>
        <w:t>t</w:t>
      </w:r>
      <w:r w:rsidRPr="004C6261">
        <w:t>.</w:t>
      </w:r>
    </w:p>
    <w:p w14:paraId="2F7EF217" w14:textId="5E64FBF7" w:rsidR="00363CAA" w:rsidRPr="001D7902" w:rsidRDefault="00363CAA" w:rsidP="00CB55B7">
      <w:pPr>
        <w:pStyle w:val="Heading3-Numbered"/>
        <w:numPr>
          <w:ilvl w:val="2"/>
          <w:numId w:val="50"/>
        </w:numPr>
      </w:pPr>
      <w:bookmarkStart w:id="62" w:name="_Toc215483375"/>
      <w:r w:rsidRPr="00363CAA">
        <w:t>Calibration of EDM equipment</w:t>
      </w:r>
      <w:bookmarkEnd w:id="62"/>
    </w:p>
    <w:p w14:paraId="56E2D761" w14:textId="77777777" w:rsidR="00F97404" w:rsidRPr="004C6261" w:rsidRDefault="00F97404" w:rsidP="00F97404">
      <w:pPr>
        <w:pStyle w:val="BodyText"/>
      </w:pPr>
      <w:r w:rsidRPr="00BF350C">
        <w:rPr>
          <w:color w:val="auto"/>
        </w:rPr>
        <w:t xml:space="preserve">Regulation 6(2) of the Surveying (Cadastral Surveys) Regulations 2025 requires </w:t>
      </w:r>
      <w:r w:rsidRPr="004C6261">
        <w:t xml:space="preserve">a licensed surveyor to retain full records of EDM comparisons. These records must be made available for inspection when </w:t>
      </w:r>
      <w:r>
        <w:t>requested by the Surveyor-General.</w:t>
      </w:r>
    </w:p>
    <w:p w14:paraId="576D7F33" w14:textId="77777777" w:rsidR="00F97404" w:rsidRDefault="00F97404" w:rsidP="00F97404">
      <w:pPr>
        <w:pStyle w:val="BodyText"/>
      </w:pPr>
      <w:r w:rsidRPr="004C6261">
        <w:t xml:space="preserve">The Surveyor-General requires a summary of calibration details to be included in the </w:t>
      </w:r>
      <w:r>
        <w:t>licensed s</w:t>
      </w:r>
      <w:r w:rsidRPr="004C6261">
        <w:t xml:space="preserve">urveyor’s </w:t>
      </w:r>
      <w:r>
        <w:t>r</w:t>
      </w:r>
      <w:r w:rsidRPr="004C6261">
        <w:t>eport that form</w:t>
      </w:r>
      <w:r>
        <w:t>s</w:t>
      </w:r>
      <w:r w:rsidRPr="004C6261">
        <w:t xml:space="preserve"> part of the cadastral survey documentation lodged with </w:t>
      </w:r>
      <w:r>
        <w:t>LUV, including all the following:</w:t>
      </w:r>
      <w:r w:rsidRPr="004C6261">
        <w:t xml:space="preserve"> </w:t>
      </w:r>
    </w:p>
    <w:p w14:paraId="28023C21" w14:textId="3D5F9396" w:rsidR="00CB55B7" w:rsidRPr="00541E56" w:rsidRDefault="00CB55B7" w:rsidP="00CB55B7">
      <w:pPr>
        <w:pStyle w:val="BodyText"/>
        <w:numPr>
          <w:ilvl w:val="0"/>
          <w:numId w:val="51"/>
        </w:numPr>
      </w:pPr>
      <w:r w:rsidRPr="00CB55B7">
        <w:t>make and model of instrument</w:t>
      </w:r>
    </w:p>
    <w:p w14:paraId="78C98ED5" w14:textId="3BED8998" w:rsidR="00CB55B7" w:rsidRPr="00CB55B7" w:rsidRDefault="00CB55B7" w:rsidP="00CB55B7">
      <w:pPr>
        <w:pStyle w:val="BodyText"/>
        <w:numPr>
          <w:ilvl w:val="0"/>
          <w:numId w:val="51"/>
        </w:numPr>
      </w:pPr>
      <w:r w:rsidRPr="00CB55B7">
        <w:t>serial number of instrument</w:t>
      </w:r>
    </w:p>
    <w:p w14:paraId="6C4D4825" w14:textId="1937C908" w:rsidR="00CB55B7" w:rsidRPr="00CB55B7" w:rsidRDefault="00CB55B7" w:rsidP="00CB55B7">
      <w:pPr>
        <w:pStyle w:val="BodyText"/>
        <w:numPr>
          <w:ilvl w:val="0"/>
          <w:numId w:val="51"/>
        </w:numPr>
      </w:pPr>
      <w:r w:rsidRPr="00CB55B7">
        <w:t>EDM calibration baseline site</w:t>
      </w:r>
    </w:p>
    <w:p w14:paraId="7B997A89" w14:textId="6360980E" w:rsidR="00CB55B7" w:rsidRPr="00211F1F" w:rsidRDefault="00CB55B7" w:rsidP="00CB55B7">
      <w:pPr>
        <w:pStyle w:val="BodyText"/>
        <w:numPr>
          <w:ilvl w:val="0"/>
          <w:numId w:val="51"/>
        </w:numPr>
      </w:pPr>
      <w:r>
        <w:t>date of calibration</w:t>
      </w:r>
      <w:r w:rsidR="00CE36CA">
        <w:t>.</w:t>
      </w:r>
    </w:p>
    <w:p w14:paraId="18470360" w14:textId="3FEF630A" w:rsidR="000C4B00" w:rsidRPr="001D7902" w:rsidRDefault="000C4B00" w:rsidP="000C4B00">
      <w:pPr>
        <w:pStyle w:val="Heading3-Numbered"/>
        <w:numPr>
          <w:ilvl w:val="2"/>
          <w:numId w:val="50"/>
        </w:numPr>
      </w:pPr>
      <w:bookmarkStart w:id="63" w:name="_Toc215483376"/>
      <w:r w:rsidRPr="00363CAA">
        <w:t xml:space="preserve">Verification of GNSS </w:t>
      </w:r>
      <w:r>
        <w:t>equipment</w:t>
      </w:r>
      <w:bookmarkEnd w:id="63"/>
    </w:p>
    <w:p w14:paraId="72C0ADF0" w14:textId="43B6A301" w:rsidR="00F97404" w:rsidRPr="0006531C" w:rsidRDefault="00F97404" w:rsidP="00F97404">
      <w:pPr>
        <w:pStyle w:val="BodyText"/>
      </w:pPr>
      <w:r w:rsidRPr="00FF6C0F">
        <w:t xml:space="preserve">Where GNSS equipment is used during the survey, the licensed surveyor must fully describe the equipment used (make, model, serial number), the observation techniques, the methods of validating and obtaining redundancies of measurements, any other field checking technique and the method of analysing the results in the </w:t>
      </w:r>
      <w:r w:rsidR="00260940">
        <w:t>l</w:t>
      </w:r>
      <w:r w:rsidRPr="00FF6C0F">
        <w:t xml:space="preserve">icensed </w:t>
      </w:r>
      <w:r w:rsidR="00260940">
        <w:t>s</w:t>
      </w:r>
      <w:r w:rsidRPr="00FF6C0F">
        <w:t xml:space="preserve">urveyor’s </w:t>
      </w:r>
      <w:r w:rsidR="00260940">
        <w:t>r</w:t>
      </w:r>
      <w:r w:rsidRPr="00FF6C0F">
        <w:t>eport. The locations within the survey where GNSS derived measurements were employed must also be clear on the abstract of field records and fully detailed in the licensed surveyor’s report.</w:t>
      </w:r>
    </w:p>
    <w:p w14:paraId="64DDD34F" w14:textId="03385472" w:rsidR="00F97404" w:rsidRDefault="00F97404" w:rsidP="00F97404">
      <w:pPr>
        <w:pStyle w:val="BodyText"/>
      </w:pPr>
      <w:r w:rsidRPr="0006531C">
        <w:t xml:space="preserve">When GNSS equipment </w:t>
      </w:r>
      <w:r w:rsidRPr="002E6679">
        <w:t>is used during the survey, it must be</w:t>
      </w:r>
      <w:r w:rsidRPr="00364BF3">
        <w:t xml:space="preserve"> verified by </w:t>
      </w:r>
      <w:r w:rsidRPr="00541E56">
        <w:t xml:space="preserve">connecting to at least one SCN mark which is </w:t>
      </w:r>
      <w:r w:rsidR="00E24EE0">
        <w:t>closest</w:t>
      </w:r>
      <w:r w:rsidRPr="00541E56">
        <w:t xml:space="preserve"> to the site of the cadastral survey</w:t>
      </w:r>
      <w:r w:rsidR="00E24EE0">
        <w:t xml:space="preserve"> that is suitable for GNSS</w:t>
      </w:r>
      <w:r w:rsidR="00373086">
        <w:t xml:space="preserve"> observations</w:t>
      </w:r>
      <w:r w:rsidRPr="00541E56">
        <w:t xml:space="preserve">. Verification comparisons to the values published in SMES must be reported on in the </w:t>
      </w:r>
      <w:r w:rsidR="00E24EE0">
        <w:t>l</w:t>
      </w:r>
      <w:r w:rsidRPr="00541E56">
        <w:t xml:space="preserve">icensed </w:t>
      </w:r>
      <w:r w:rsidR="00E24EE0">
        <w:t>s</w:t>
      </w:r>
      <w:r w:rsidRPr="00541E56">
        <w:t xml:space="preserve">urveyor’s </w:t>
      </w:r>
      <w:r w:rsidR="00E24EE0">
        <w:t>r</w:t>
      </w:r>
      <w:r w:rsidRPr="00541E56">
        <w:t>eport. See section 2.4.4</w:t>
      </w:r>
      <w:r w:rsidRPr="00FF6C0F">
        <w:t xml:space="preserve"> of </w:t>
      </w:r>
      <w:r>
        <w:t>this document</w:t>
      </w:r>
      <w:r w:rsidRPr="00FF6C0F">
        <w:t xml:space="preserve"> for further details</w:t>
      </w:r>
      <w:r w:rsidR="00667F30">
        <w:t>.</w:t>
      </w:r>
    </w:p>
    <w:p w14:paraId="441A0652" w14:textId="491AAB10" w:rsidR="00F97404" w:rsidRPr="001554D1" w:rsidRDefault="00F97404" w:rsidP="0DC897B8">
      <w:pPr>
        <w:pStyle w:val="BodyText"/>
        <w:keepNext/>
        <w:rPr>
          <w:color w:val="auto"/>
        </w:rPr>
      </w:pPr>
      <w:r w:rsidRPr="001554D1">
        <w:rPr>
          <w:color w:val="auto"/>
        </w:rPr>
        <w:lastRenderedPageBreak/>
        <w:t>Harrietville PM 1</w:t>
      </w:r>
      <w:r>
        <w:tab/>
      </w:r>
      <w:r>
        <w:tab/>
      </w:r>
      <w:r w:rsidRPr="001554D1">
        <w:rPr>
          <w:color w:val="auto"/>
        </w:rPr>
        <w:t xml:space="preserve">Easting </w:t>
      </w:r>
      <w:r>
        <w:tab/>
      </w:r>
      <w:r>
        <w:tab/>
      </w:r>
      <w:r>
        <w:tab/>
      </w:r>
      <w:r>
        <w:tab/>
      </w:r>
      <w:r w:rsidRPr="001554D1">
        <w:rPr>
          <w:color w:val="auto"/>
        </w:rPr>
        <w:t>Northing</w:t>
      </w:r>
      <w:r>
        <w:tab/>
      </w:r>
      <w:r>
        <w:tab/>
      </w:r>
      <w:r>
        <w:tab/>
      </w:r>
      <w:r w:rsidRPr="001554D1">
        <w:rPr>
          <w:color w:val="auto"/>
        </w:rPr>
        <w:t>RL (if applicable)</w:t>
      </w:r>
    </w:p>
    <w:p w14:paraId="35714365" w14:textId="4DEA2705" w:rsidR="00F97404" w:rsidRPr="001554D1" w:rsidRDefault="00F97404" w:rsidP="0DC897B8">
      <w:pPr>
        <w:pStyle w:val="BodyText"/>
        <w:keepNext/>
        <w:rPr>
          <w:color w:val="auto"/>
        </w:rPr>
      </w:pPr>
      <w:r w:rsidRPr="001554D1">
        <w:rPr>
          <w:color w:val="auto"/>
        </w:rPr>
        <w:t>SMES</w:t>
      </w:r>
      <w:r>
        <w:tab/>
      </w:r>
      <w:r>
        <w:tab/>
      </w:r>
      <w:r>
        <w:tab/>
      </w:r>
      <w:r>
        <w:tab/>
      </w:r>
      <w:r>
        <w:tab/>
      </w:r>
      <w:r>
        <w:tab/>
      </w:r>
      <w:r w:rsidRPr="001554D1">
        <w:rPr>
          <w:color w:val="auto"/>
        </w:rPr>
        <w:t>505</w:t>
      </w:r>
      <w:r w:rsidR="003D612B">
        <w:rPr>
          <w:color w:val="auto"/>
        </w:rPr>
        <w:t xml:space="preserve"> </w:t>
      </w:r>
      <w:r w:rsidRPr="001554D1">
        <w:rPr>
          <w:color w:val="auto"/>
        </w:rPr>
        <w:t>704.001</w:t>
      </w:r>
      <w:r>
        <w:tab/>
      </w:r>
      <w:r>
        <w:tab/>
      </w:r>
      <w:r w:rsidRPr="001554D1">
        <w:rPr>
          <w:color w:val="auto"/>
        </w:rPr>
        <w:t>5</w:t>
      </w:r>
      <w:r w:rsidR="003D612B">
        <w:rPr>
          <w:color w:val="auto"/>
        </w:rPr>
        <w:t xml:space="preserve"> </w:t>
      </w:r>
      <w:r w:rsidRPr="001554D1">
        <w:rPr>
          <w:color w:val="auto"/>
        </w:rPr>
        <w:t>919</w:t>
      </w:r>
      <w:r w:rsidR="003D612B">
        <w:rPr>
          <w:color w:val="auto"/>
        </w:rPr>
        <w:t xml:space="preserve"> </w:t>
      </w:r>
      <w:r w:rsidRPr="001554D1">
        <w:rPr>
          <w:color w:val="auto"/>
        </w:rPr>
        <w:t>590.</w:t>
      </w:r>
      <w:r w:rsidR="00E24EE0">
        <w:rPr>
          <w:color w:val="auto"/>
        </w:rPr>
        <w:t>628</w:t>
      </w:r>
      <w:r>
        <w:tab/>
      </w:r>
      <w:r>
        <w:tab/>
      </w:r>
      <w:r w:rsidRPr="001554D1">
        <w:rPr>
          <w:color w:val="auto"/>
        </w:rPr>
        <w:t>477.33</w:t>
      </w:r>
    </w:p>
    <w:p w14:paraId="55334EBC" w14:textId="4A62DDF7" w:rsidR="00F97404" w:rsidRPr="001554D1" w:rsidRDefault="00F97404" w:rsidP="0DC897B8">
      <w:pPr>
        <w:pStyle w:val="BodyText"/>
        <w:keepNext/>
        <w:spacing w:line="276" w:lineRule="auto"/>
        <w:rPr>
          <w:color w:val="auto"/>
        </w:rPr>
      </w:pPr>
      <w:r w:rsidRPr="001554D1">
        <w:rPr>
          <w:color w:val="auto"/>
        </w:rPr>
        <w:t>GNSS</w:t>
      </w:r>
      <w:r>
        <w:tab/>
      </w:r>
      <w:r>
        <w:tab/>
      </w:r>
      <w:r>
        <w:tab/>
      </w:r>
      <w:r>
        <w:tab/>
      </w:r>
      <w:r>
        <w:tab/>
      </w:r>
      <w:r w:rsidR="00F75AD8">
        <w:tab/>
      </w:r>
      <w:r w:rsidRPr="003D612B">
        <w:rPr>
          <w:color w:val="auto"/>
        </w:rPr>
        <w:t>505</w:t>
      </w:r>
      <w:r w:rsidR="003D612B" w:rsidRPr="003D612B">
        <w:rPr>
          <w:color w:val="auto"/>
        </w:rPr>
        <w:t xml:space="preserve"> </w:t>
      </w:r>
      <w:r w:rsidRPr="003D612B">
        <w:rPr>
          <w:color w:val="auto"/>
        </w:rPr>
        <w:t>704.015</w:t>
      </w:r>
      <w:r>
        <w:tab/>
      </w:r>
      <w:r>
        <w:tab/>
      </w:r>
      <w:r>
        <w:tab/>
      </w:r>
      <w:r w:rsidRPr="003D612B">
        <w:rPr>
          <w:color w:val="auto"/>
        </w:rPr>
        <w:t>5</w:t>
      </w:r>
      <w:r w:rsidR="003D612B" w:rsidRPr="003D612B">
        <w:rPr>
          <w:color w:val="auto"/>
        </w:rPr>
        <w:t xml:space="preserve"> </w:t>
      </w:r>
      <w:r w:rsidRPr="003D612B">
        <w:rPr>
          <w:color w:val="auto"/>
        </w:rPr>
        <w:t>919</w:t>
      </w:r>
      <w:r w:rsidR="003D612B" w:rsidRPr="003D612B">
        <w:rPr>
          <w:color w:val="auto"/>
        </w:rPr>
        <w:t xml:space="preserve"> </w:t>
      </w:r>
      <w:r w:rsidRPr="003D612B">
        <w:rPr>
          <w:color w:val="auto"/>
        </w:rPr>
        <w:t>590.591</w:t>
      </w:r>
      <w:r>
        <w:tab/>
      </w:r>
      <w:r>
        <w:tab/>
      </w:r>
      <w:r w:rsidRPr="003D612B">
        <w:rPr>
          <w:color w:val="auto"/>
        </w:rPr>
        <w:t>477.30</w:t>
      </w:r>
    </w:p>
    <w:p w14:paraId="01D7851B" w14:textId="4B5DFB4B" w:rsidR="00F97404" w:rsidRPr="00FF6C0F" w:rsidRDefault="00F97404" w:rsidP="0DC897B8">
      <w:pPr>
        <w:pStyle w:val="BodyText"/>
        <w:keepNext/>
      </w:pPr>
      <w:r w:rsidRPr="00FF6C0F">
        <w:rPr>
          <w:rFonts w:eastAsia="Symbol"/>
        </w:rPr>
        <w:t>D</w:t>
      </w:r>
      <w:r>
        <w:rPr>
          <w:rFonts w:eastAsia="Symbol"/>
        </w:rPr>
        <w:t>iff.</w:t>
      </w:r>
      <w:r>
        <w:tab/>
      </w:r>
      <w:r>
        <w:tab/>
      </w:r>
      <w:r>
        <w:tab/>
      </w:r>
      <w:r>
        <w:tab/>
      </w:r>
      <w:r>
        <w:tab/>
      </w:r>
      <w:r>
        <w:tab/>
      </w:r>
      <w:r w:rsidR="003D612B">
        <w:rPr>
          <w:rFonts w:eastAsia="Symbol"/>
        </w:rPr>
        <w:t xml:space="preserve">          </w:t>
      </w:r>
      <w:r>
        <w:t>+</w:t>
      </w:r>
      <w:r w:rsidRPr="00FF6C0F">
        <w:t>0.014</w:t>
      </w:r>
      <w:r>
        <w:tab/>
      </w:r>
      <w:r>
        <w:tab/>
      </w:r>
      <w:r>
        <w:tab/>
      </w:r>
      <w:r>
        <w:tab/>
      </w:r>
      <w:r>
        <w:tab/>
      </w:r>
      <w:r w:rsidR="003D612B">
        <w:t xml:space="preserve"> </w:t>
      </w:r>
      <w:r w:rsidRPr="00FF6C0F">
        <w:t>-0.0</w:t>
      </w:r>
      <w:r w:rsidR="00E24EE0">
        <w:t>37</w:t>
      </w:r>
      <w:r>
        <w:tab/>
      </w:r>
      <w:r w:rsidR="00F75AD8">
        <w:tab/>
      </w:r>
      <w:r w:rsidR="00CC3810">
        <w:t>-</w:t>
      </w:r>
      <w:r w:rsidRPr="001554D1">
        <w:rPr>
          <w:color w:val="auto"/>
        </w:rPr>
        <w:t>0.03</w:t>
      </w:r>
    </w:p>
    <w:p w14:paraId="76E01482" w14:textId="7C90F9C8" w:rsidR="00363CAA" w:rsidRPr="001D7902" w:rsidRDefault="00363CAA" w:rsidP="00CB55B7">
      <w:pPr>
        <w:pStyle w:val="Heading3-Numbered"/>
        <w:numPr>
          <w:ilvl w:val="2"/>
          <w:numId w:val="50"/>
        </w:numPr>
      </w:pPr>
      <w:bookmarkStart w:id="64" w:name="_Toc215483377"/>
      <w:r w:rsidRPr="00363CAA">
        <w:t>Verification of emerging technologies</w:t>
      </w:r>
      <w:bookmarkEnd w:id="64"/>
    </w:p>
    <w:p w14:paraId="2AFDEE2D" w14:textId="489308BA" w:rsidR="001F1CC4" w:rsidRPr="00FB38E2" w:rsidRDefault="001F1CC4" w:rsidP="001F1CC4">
      <w:pPr>
        <w:pStyle w:val="BodyText"/>
      </w:pPr>
      <w:r w:rsidRPr="001671D3">
        <w:t>Measurement technologies and techniques are evolving rapidly, however the principles of best cadastral survey practice are fundamental to achieving acceptable results</w:t>
      </w:r>
      <w:r>
        <w:t>,</w:t>
      </w:r>
      <w:r w:rsidRPr="001671D3">
        <w:t xml:space="preserve"> and for determining derived measurements to be shown on abstracts of field records and pl</w:t>
      </w:r>
      <w:r w:rsidRPr="00FB38E2">
        <w:t>ans. Redundancy of observations and independent checking of derived measurements is required when using any measurement technology.</w:t>
      </w:r>
    </w:p>
    <w:p w14:paraId="6AA6F8E8" w14:textId="77777777" w:rsidR="001F1CC4" w:rsidRPr="001671D3" w:rsidRDefault="001F1CC4" w:rsidP="001F1CC4">
      <w:pPr>
        <w:pStyle w:val="BodyText"/>
      </w:pPr>
      <w:bookmarkStart w:id="65" w:name="_Int_m9ngqzNl"/>
      <w:r w:rsidRPr="001554D1">
        <w:rPr>
          <w:color w:val="auto"/>
        </w:rPr>
        <w:t xml:space="preserve">Regulation 7 of the </w:t>
      </w:r>
      <w:r w:rsidRPr="596D206D">
        <w:rPr>
          <w:b/>
          <w:color w:val="auto"/>
        </w:rPr>
        <w:t>Surveying (Cadastral Surveys) Regulations 2025</w:t>
      </w:r>
      <w:r w:rsidRPr="001554D1">
        <w:rPr>
          <w:color w:val="auto"/>
        </w:rPr>
        <w:t>,</w:t>
      </w:r>
      <w:bookmarkEnd w:id="65"/>
      <w:r w:rsidRPr="001554D1">
        <w:rPr>
          <w:color w:val="auto"/>
        </w:rPr>
        <w:t xml:space="preserve"> relates </w:t>
      </w:r>
      <w:r w:rsidRPr="00DF6A65">
        <w:t>to accuracy of surveys and licensed surveyors a</w:t>
      </w:r>
      <w:r w:rsidRPr="001671D3">
        <w:t>re reminded to adhere to the requirements of this regulation when undertaking a cadastral survey regardless of what measurement technology is being used.</w:t>
      </w:r>
    </w:p>
    <w:p w14:paraId="22A7BDD7" w14:textId="77777777" w:rsidR="001F1CC4" w:rsidRPr="001671D3" w:rsidRDefault="001F1CC4" w:rsidP="001F1CC4">
      <w:pPr>
        <w:pStyle w:val="BodyText"/>
      </w:pPr>
      <w:r w:rsidRPr="001671D3">
        <w:t>Emerging technologies which are being used for cadastral surveys include, but are not limited to:</w:t>
      </w:r>
    </w:p>
    <w:p w14:paraId="182AA79E" w14:textId="7DFD3C98" w:rsidR="001F1CC4" w:rsidRPr="001671D3" w:rsidRDefault="001F1CC4" w:rsidP="596D206D">
      <w:pPr>
        <w:pStyle w:val="ListBullet2"/>
      </w:pPr>
      <w:r w:rsidRPr="001671D3">
        <w:t>Terrestrial Laser Scanning</w:t>
      </w:r>
    </w:p>
    <w:p w14:paraId="376D08F4" w14:textId="6C0E44AC" w:rsidR="001F1CC4" w:rsidRPr="001671D3" w:rsidRDefault="001F1CC4" w:rsidP="596D206D">
      <w:pPr>
        <w:pStyle w:val="ListBullet2"/>
      </w:pPr>
      <w:r w:rsidRPr="001671D3">
        <w:t>Mobile Laser Scanning</w:t>
      </w:r>
    </w:p>
    <w:p w14:paraId="6CFD4717" w14:textId="510931B9" w:rsidR="001F1CC4" w:rsidRPr="001671D3" w:rsidRDefault="001F1CC4" w:rsidP="596D206D">
      <w:pPr>
        <w:pStyle w:val="ListBullet2"/>
      </w:pPr>
      <w:r w:rsidRPr="001671D3">
        <w:t>LiDAR</w:t>
      </w:r>
    </w:p>
    <w:p w14:paraId="4B9D1E03" w14:textId="7963E29C" w:rsidR="001F1CC4" w:rsidRPr="001671D3" w:rsidRDefault="001F1CC4" w:rsidP="596D206D">
      <w:pPr>
        <w:pStyle w:val="ListBullet2"/>
      </w:pPr>
      <w:r w:rsidRPr="001671D3">
        <w:t>Photogrammetry</w:t>
      </w:r>
    </w:p>
    <w:p w14:paraId="65953F37" w14:textId="0A27E6E6" w:rsidR="001F1CC4" w:rsidRPr="001671D3" w:rsidRDefault="001F1CC4" w:rsidP="596D206D">
      <w:pPr>
        <w:pStyle w:val="ListBullet2"/>
      </w:pPr>
      <w:r w:rsidRPr="001671D3">
        <w:t xml:space="preserve">Drone/UAV </w:t>
      </w:r>
    </w:p>
    <w:p w14:paraId="07064384" w14:textId="2F83410A" w:rsidR="001E2EF4" w:rsidRDefault="001F1CC4" w:rsidP="001F1CC4">
      <w:pPr>
        <w:pStyle w:val="BodyText"/>
      </w:pPr>
      <w:r w:rsidRPr="00C12C0E">
        <w:t xml:space="preserve">It is the responsibility of the licensed surveyor to have a thorough understanding of the technology, its settings and limitations and the accuracies achievable. </w:t>
      </w:r>
    </w:p>
    <w:p w14:paraId="666313F6" w14:textId="6188A1A8" w:rsidR="001E2EF4" w:rsidRDefault="001E2EF4" w:rsidP="001E2EF4">
      <w:pPr>
        <w:pStyle w:val="BodyText"/>
      </w:pPr>
      <w:r w:rsidRPr="001E2EF4">
        <w:t xml:space="preserve">Where emerging technologies are used during the survey, the licensed surveyor must fully describe the equipment used (make, model, serial number), the observation techniques, the methods of validating and obtaining redundancies of measurements, any other field checking technique and the method of analysing the results in the </w:t>
      </w:r>
      <w:r w:rsidR="00E24EE0">
        <w:t>l</w:t>
      </w:r>
      <w:r w:rsidRPr="001E2EF4">
        <w:t xml:space="preserve">icensed </w:t>
      </w:r>
      <w:r w:rsidR="00E24EE0">
        <w:t>s</w:t>
      </w:r>
      <w:r w:rsidRPr="001E2EF4">
        <w:t xml:space="preserve">urveyor’s </w:t>
      </w:r>
      <w:r w:rsidR="00E24EE0">
        <w:t>r</w:t>
      </w:r>
      <w:r w:rsidRPr="001E2EF4">
        <w:t>eport.</w:t>
      </w:r>
    </w:p>
    <w:p w14:paraId="24D8CE8D" w14:textId="6BBB87EC" w:rsidR="00363CAA" w:rsidRPr="001D7902" w:rsidRDefault="001E2EF4" w:rsidP="00CB55B7">
      <w:pPr>
        <w:pStyle w:val="Heading2-Numbered"/>
        <w:numPr>
          <w:ilvl w:val="1"/>
          <w:numId w:val="50"/>
        </w:numPr>
      </w:pPr>
      <w:r>
        <w:t xml:space="preserve"> </w:t>
      </w:r>
      <w:bookmarkStart w:id="66" w:name="_Toc215483378"/>
      <w:r w:rsidR="00363CAA" w:rsidRPr="00363CAA">
        <w:t>Crown descriptions</w:t>
      </w:r>
      <w:bookmarkEnd w:id="66"/>
    </w:p>
    <w:p w14:paraId="1A6B8340" w14:textId="5D0DDD65" w:rsidR="001F1CC4" w:rsidRPr="001554D1" w:rsidRDefault="001F1CC4" w:rsidP="001F1CC4">
      <w:pPr>
        <w:pStyle w:val="BodyText"/>
        <w:rPr>
          <w:color w:val="auto"/>
        </w:rPr>
      </w:pPr>
      <w:r>
        <w:t xml:space="preserve">Care should be taken to ensure correct Crown descriptions are included on all plan and survey documents. This includes the Crown allotment, Crown portion, Section, Township, Parish and County, as appropriate, with the details validated against the relevant Central Plan Office record plans. Close attention should also be given to whether a Special (Local) Description is current and applies to the land. A full listing of the </w:t>
      </w:r>
      <w:r w:rsidRPr="001554D1">
        <w:rPr>
          <w:color w:val="auto"/>
        </w:rPr>
        <w:t xml:space="preserve">current </w:t>
      </w:r>
      <w:hyperlink r:id="rId56" w:history="1">
        <w:r w:rsidRPr="001554D1">
          <w:rPr>
            <w:rStyle w:val="Hyperlink"/>
          </w:rPr>
          <w:t>Special Descriptions</w:t>
        </w:r>
      </w:hyperlink>
      <w:r w:rsidRPr="001554D1">
        <w:rPr>
          <w:color w:val="auto"/>
        </w:rPr>
        <w:t xml:space="preserve"> is available at </w:t>
      </w:r>
      <w:hyperlink r:id="rId57" w:history="1">
        <w:r w:rsidR="001368C7" w:rsidRPr="001368C7">
          <w:rPr>
            <w:rStyle w:val="Hyperlink"/>
          </w:rPr>
          <w:t>www.land.vic.gov.au/surveying/cadastral-survey/practice-directives</w:t>
        </w:r>
      </w:hyperlink>
      <w:r w:rsidRPr="001554D1">
        <w:rPr>
          <w:color w:val="auto"/>
        </w:rPr>
        <w:t>.</w:t>
      </w:r>
    </w:p>
    <w:p w14:paraId="0A236F7B" w14:textId="2996DB5C" w:rsidR="001F1CC4" w:rsidRDefault="001F1CC4" w:rsidP="001F1CC4">
      <w:pPr>
        <w:pStyle w:val="GreyText"/>
      </w:pPr>
      <w:r w:rsidRPr="00F70126">
        <w:t>The list has been prepared for Crown surveys but applies equally to surveys of freehold land that lie within the r</w:t>
      </w:r>
      <w:r>
        <w:t xml:space="preserve">elevant Parish and local area. </w:t>
      </w:r>
      <w:r w:rsidRPr="00F70126">
        <w:t>The Parish code and County is not requ</w:t>
      </w:r>
      <w:r>
        <w:t xml:space="preserve">ired for Plans of Subdivision. </w:t>
      </w:r>
      <w:r w:rsidRPr="00F70126">
        <w:t xml:space="preserve">Similarly, the Parish code is not required for abstract of field </w:t>
      </w:r>
      <w:bookmarkStart w:id="67" w:name="_Int_6ifjVB18"/>
      <w:r w:rsidRPr="00F70126">
        <w:t>records</w:t>
      </w:r>
      <w:bookmarkEnd w:id="67"/>
      <w:r w:rsidRPr="00F70126">
        <w:t xml:space="preserve"> but the County </w:t>
      </w:r>
      <w:r>
        <w:t>should be included in the Crown description</w:t>
      </w:r>
      <w:r w:rsidRPr="00F70126">
        <w:t>.</w:t>
      </w:r>
    </w:p>
    <w:p w14:paraId="312A2DCC" w14:textId="1305E066" w:rsidR="00363CAA" w:rsidRPr="001D7902" w:rsidRDefault="00363CAA" w:rsidP="00CB55B7">
      <w:pPr>
        <w:pStyle w:val="Heading2-Numbered"/>
        <w:numPr>
          <w:ilvl w:val="1"/>
          <w:numId w:val="50"/>
        </w:numPr>
      </w:pPr>
      <w:bookmarkStart w:id="68" w:name="_Toc215483379"/>
      <w:r w:rsidRPr="00363CAA">
        <w:t>Other inclusions (Appendices)</w:t>
      </w:r>
      <w:bookmarkEnd w:id="68"/>
    </w:p>
    <w:p w14:paraId="68968208" w14:textId="0E62A686" w:rsidR="00E823B8" w:rsidRDefault="001F1CC4" w:rsidP="001F1CC4">
      <w:pPr>
        <w:pStyle w:val="GreyText"/>
      </w:pPr>
      <w:r w:rsidRPr="001554D1">
        <w:rPr>
          <w:color w:val="auto"/>
        </w:rPr>
        <w:t xml:space="preserve">Additional information can be added as required, to provide clarity in the </w:t>
      </w:r>
      <w:r w:rsidR="00E24EE0">
        <w:rPr>
          <w:color w:val="auto"/>
        </w:rPr>
        <w:t>l</w:t>
      </w:r>
      <w:r w:rsidRPr="001554D1">
        <w:rPr>
          <w:color w:val="auto"/>
        </w:rPr>
        <w:t xml:space="preserve">icensed </w:t>
      </w:r>
      <w:r w:rsidR="00E24EE0">
        <w:rPr>
          <w:color w:val="auto"/>
        </w:rPr>
        <w:t>s</w:t>
      </w:r>
      <w:r w:rsidRPr="001554D1">
        <w:rPr>
          <w:color w:val="auto"/>
        </w:rPr>
        <w:t xml:space="preserve">urveyor’s </w:t>
      </w:r>
      <w:r w:rsidR="00E24EE0">
        <w:rPr>
          <w:color w:val="auto"/>
        </w:rPr>
        <w:t>r</w:t>
      </w:r>
      <w:r w:rsidRPr="001554D1">
        <w:rPr>
          <w:color w:val="auto"/>
        </w:rPr>
        <w:t>eport.</w:t>
      </w:r>
      <w:r>
        <w:rPr>
          <w:color w:val="auto"/>
        </w:rPr>
        <w:t xml:space="preserve"> </w:t>
      </w:r>
      <w:r w:rsidRPr="001554D1">
        <w:rPr>
          <w:color w:val="auto"/>
        </w:rPr>
        <w:t>This could include sketches, photographs, diagrams, extracts of Record Plan/L</w:t>
      </w:r>
      <w:r w:rsidR="00E24EE0">
        <w:rPr>
          <w:color w:val="auto"/>
        </w:rPr>
        <w:t>ASSI</w:t>
      </w:r>
      <w:r w:rsidRPr="001554D1">
        <w:rPr>
          <w:color w:val="auto"/>
        </w:rPr>
        <w:t xml:space="preserve"> etc.</w:t>
      </w:r>
    </w:p>
    <w:p w14:paraId="30B574AC" w14:textId="4F6BCBE5" w:rsidR="00363CAA" w:rsidRPr="00363CAA" w:rsidRDefault="00363CAA" w:rsidP="00CB55B7">
      <w:pPr>
        <w:pStyle w:val="Heading1-Numbered"/>
        <w:numPr>
          <w:ilvl w:val="0"/>
          <w:numId w:val="50"/>
        </w:numPr>
      </w:pPr>
      <w:bookmarkStart w:id="69" w:name="_Toc215483380"/>
      <w:r w:rsidRPr="00363CAA">
        <w:lastRenderedPageBreak/>
        <w:t>Abstracts of field records</w:t>
      </w:r>
      <w:bookmarkEnd w:id="69"/>
    </w:p>
    <w:p w14:paraId="704ECBC0" w14:textId="28F54D6E" w:rsidR="00363CAA" w:rsidRPr="001D7902" w:rsidRDefault="00363CAA" w:rsidP="000F7B10">
      <w:pPr>
        <w:pStyle w:val="Heading2-Numbered"/>
        <w:numPr>
          <w:ilvl w:val="1"/>
          <w:numId w:val="53"/>
        </w:numPr>
      </w:pPr>
      <w:bookmarkStart w:id="70" w:name="_Toc215483381"/>
      <w:r w:rsidRPr="00363CAA">
        <w:t>General advice</w:t>
      </w:r>
      <w:bookmarkEnd w:id="70"/>
    </w:p>
    <w:p w14:paraId="4CC48B33" w14:textId="2BEC724A" w:rsidR="00135833" w:rsidRDefault="00222DED" w:rsidP="000F7B10">
      <w:pPr>
        <w:pStyle w:val="Heading3-Numbered"/>
        <w:numPr>
          <w:ilvl w:val="2"/>
          <w:numId w:val="53"/>
        </w:numPr>
      </w:pPr>
      <w:bookmarkStart w:id="71" w:name="_Toc215483382"/>
      <w:r w:rsidRPr="00222DED">
        <w:t>The purpose for preparing an abstract of field records</w:t>
      </w:r>
      <w:bookmarkEnd w:id="71"/>
    </w:p>
    <w:p w14:paraId="77EE7587" w14:textId="77777777" w:rsidR="00135833" w:rsidRDefault="00135833" w:rsidP="00CB55B7">
      <w:pPr>
        <w:pStyle w:val="ListAlpha"/>
        <w:numPr>
          <w:ilvl w:val="0"/>
          <w:numId w:val="27"/>
        </w:numPr>
      </w:pPr>
      <w:r>
        <w:t>For the maintenance of, and availability to, the public record.</w:t>
      </w:r>
    </w:p>
    <w:p w14:paraId="19B8C127" w14:textId="1E494568" w:rsidR="00135833" w:rsidRDefault="00135833" w:rsidP="00CB55B7">
      <w:pPr>
        <w:pStyle w:val="ListAlpha"/>
        <w:numPr>
          <w:ilvl w:val="0"/>
          <w:numId w:val="27"/>
        </w:numPr>
      </w:pPr>
      <w:r>
        <w:t>To provide documentary evidence of conditions in the field that supports the method of re-establishment and justification.</w:t>
      </w:r>
    </w:p>
    <w:p w14:paraId="121FC29E" w14:textId="2610147D" w:rsidR="00135833" w:rsidRDefault="00135833" w:rsidP="00CB55B7">
      <w:pPr>
        <w:pStyle w:val="ListAlpha"/>
        <w:numPr>
          <w:ilvl w:val="0"/>
          <w:numId w:val="27"/>
        </w:numPr>
      </w:pPr>
      <w:r>
        <w:t>To provide sufficient additional or redundant information to enable confirmation of the measurements recorded.</w:t>
      </w:r>
    </w:p>
    <w:p w14:paraId="43AF5228" w14:textId="385EA76D" w:rsidR="00135833" w:rsidRPr="00640F63" w:rsidRDefault="00F528D3" w:rsidP="00CB55B7">
      <w:pPr>
        <w:pStyle w:val="ListAlpha"/>
        <w:numPr>
          <w:ilvl w:val="0"/>
          <w:numId w:val="27"/>
        </w:numPr>
      </w:pPr>
      <w:r>
        <w:t>To provide</w:t>
      </w:r>
      <w:r w:rsidDel="00640F63">
        <w:t xml:space="preserve"> </w:t>
      </w:r>
      <w:r>
        <w:t>a record of site conditions. The existence of traverse lines and positions of instrument points is a clear indication of site conditions such as topography and the existence of buildings, foliage or other obstacles.</w:t>
      </w:r>
    </w:p>
    <w:p w14:paraId="7A2FBD35" w14:textId="29F0105B" w:rsidR="00222DED" w:rsidRPr="001D7902" w:rsidRDefault="00222DED" w:rsidP="000F7B10">
      <w:pPr>
        <w:pStyle w:val="Heading3-Numbered"/>
        <w:numPr>
          <w:ilvl w:val="2"/>
          <w:numId w:val="53"/>
        </w:numPr>
      </w:pPr>
      <w:bookmarkStart w:id="72" w:name="_Toc215483383"/>
      <w:r w:rsidRPr="00222DED">
        <w:t>Life of a survey and abstract of field records</w:t>
      </w:r>
      <w:bookmarkEnd w:id="72"/>
    </w:p>
    <w:p w14:paraId="06634255" w14:textId="0BCDF107" w:rsidR="00F528D3" w:rsidRPr="00640F63" w:rsidRDefault="00F528D3" w:rsidP="00CB55B7">
      <w:pPr>
        <w:pStyle w:val="ListAlpha"/>
        <w:numPr>
          <w:ilvl w:val="0"/>
          <w:numId w:val="28"/>
        </w:numPr>
      </w:pPr>
      <w:r>
        <w:t>The ‘currency conditions’ set out below describe the circumstances when a survey and abstract of field records will be regarded as valid by L</w:t>
      </w:r>
      <w:r w:rsidR="00E24EE0">
        <w:t>UV</w:t>
      </w:r>
      <w:r>
        <w:t xml:space="preserve"> and further survey and/or documentation will not be required. The ‘currency conditions’ include all of the following:</w:t>
      </w:r>
    </w:p>
    <w:p w14:paraId="26552419" w14:textId="77777777" w:rsidR="00F528D3" w:rsidRPr="00640F63" w:rsidRDefault="00F528D3" w:rsidP="00CB55B7">
      <w:pPr>
        <w:pStyle w:val="ListAlpha2"/>
        <w:numPr>
          <w:ilvl w:val="1"/>
          <w:numId w:val="28"/>
        </w:numPr>
      </w:pPr>
      <w:r>
        <w:t>no substantial changes to occupational features since the date of the original survey</w:t>
      </w:r>
    </w:p>
    <w:p w14:paraId="2B568F1A" w14:textId="77777777" w:rsidR="00F528D3" w:rsidRPr="00640F63" w:rsidRDefault="00F528D3" w:rsidP="00CB55B7">
      <w:pPr>
        <w:pStyle w:val="ListAlpha2"/>
        <w:numPr>
          <w:ilvl w:val="1"/>
          <w:numId w:val="28"/>
        </w:numPr>
      </w:pPr>
      <w:r>
        <w:t>the greater majority of original survey control marks remain and are readily accessible</w:t>
      </w:r>
    </w:p>
    <w:p w14:paraId="32BC9EE1" w14:textId="77777777" w:rsidR="00F528D3" w:rsidRPr="00640F63" w:rsidRDefault="00F528D3" w:rsidP="00CB55B7">
      <w:pPr>
        <w:pStyle w:val="ListAlpha2"/>
        <w:numPr>
          <w:ilvl w:val="1"/>
          <w:numId w:val="28"/>
        </w:numPr>
      </w:pPr>
      <w:r>
        <w:t>no additional land is included in the plan</w:t>
      </w:r>
    </w:p>
    <w:p w14:paraId="0927EDB1" w14:textId="77777777" w:rsidR="00F528D3" w:rsidRPr="00640F63" w:rsidRDefault="00F528D3" w:rsidP="00CB55B7">
      <w:pPr>
        <w:pStyle w:val="ListAlpha2"/>
        <w:numPr>
          <w:ilvl w:val="1"/>
          <w:numId w:val="28"/>
        </w:numPr>
      </w:pPr>
      <w:r>
        <w:t>the original title pegs/marks as placed remain, or have been replaced</w:t>
      </w:r>
    </w:p>
    <w:p w14:paraId="5BD64B82" w14:textId="0C12019D" w:rsidR="00F528D3" w:rsidRPr="00640F63" w:rsidRDefault="00F528D3" w:rsidP="00CB55B7">
      <w:pPr>
        <w:pStyle w:val="ListAlpha2"/>
        <w:numPr>
          <w:ilvl w:val="1"/>
          <w:numId w:val="28"/>
        </w:numPr>
      </w:pPr>
      <w:r>
        <w:t xml:space="preserve">the survey was undertaken no more than two years prior to lodgement of the current plan, i.e. the date of survey in the Certification by Surveyor is no more than </w:t>
      </w:r>
      <w:r w:rsidDel="0094303E">
        <w:t>two</w:t>
      </w:r>
      <w:r>
        <w:t xml:space="preserve"> years prior to the date of lodgement of the current plan. This period is known as the ‘life of a survey’.</w:t>
      </w:r>
    </w:p>
    <w:p w14:paraId="471B9A82" w14:textId="38D0032F" w:rsidR="00F528D3" w:rsidRPr="00640F63" w:rsidRDefault="00F528D3" w:rsidP="00CB55B7">
      <w:pPr>
        <w:pStyle w:val="ListAlpha"/>
        <w:numPr>
          <w:ilvl w:val="0"/>
          <w:numId w:val="29"/>
        </w:numPr>
      </w:pPr>
      <w:r>
        <w:t xml:space="preserve">The life of a survey may be extended to a maximum of </w:t>
      </w:r>
      <w:r w:rsidDel="0094303E">
        <w:t>five</w:t>
      </w:r>
      <w:r>
        <w:t xml:space="preserve"> years if the licensed surveyor’s report includes discussion on the currency of the survey and attests to conditions i, ii, iii and iv above.</w:t>
      </w:r>
    </w:p>
    <w:p w14:paraId="090356BB" w14:textId="77777777" w:rsidR="00F528D3" w:rsidRDefault="00F528D3" w:rsidP="00CB55B7">
      <w:pPr>
        <w:pStyle w:val="ListAlpha"/>
        <w:numPr>
          <w:ilvl w:val="0"/>
          <w:numId w:val="29"/>
        </w:numPr>
      </w:pPr>
      <w:r>
        <w:t>If an abstract of field records is edited as part of meeting the ‘currency conditions’, for example, to describe minor changes to occupational features or survey marks that have been destroyed since the date of survey, the updated abstract of field records must bear the following notation in the ‘Amendments’ text box:</w:t>
      </w:r>
    </w:p>
    <w:p w14:paraId="3096CE74" w14:textId="77777777" w:rsidR="00F528D3" w:rsidRDefault="00F528D3" w:rsidP="00F528D3">
      <w:pPr>
        <w:pStyle w:val="ListAlpha"/>
      </w:pPr>
    </w:p>
    <w:tbl>
      <w:tblPr>
        <w:tblStyle w:val="TableGrid"/>
        <w:tblW w:w="0" w:type="auto"/>
        <w:tblInd w:w="1985" w:type="dxa"/>
        <w:tblLook w:val="04A0" w:firstRow="1" w:lastRow="0" w:firstColumn="1" w:lastColumn="0" w:noHBand="0" w:noVBand="1"/>
      </w:tblPr>
      <w:tblGrid>
        <w:gridCol w:w="6237"/>
      </w:tblGrid>
      <w:tr w:rsidR="00F528D3" w14:paraId="56AE3802" w14:textId="77777777" w:rsidTr="00234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C7885B5" w14:textId="7F2D187C" w:rsidR="00F528D3" w:rsidRDefault="00F528D3" w:rsidP="00A24F11">
            <w:pPr>
              <w:pStyle w:val="ListAlpha"/>
              <w:ind w:left="0" w:firstLine="0"/>
              <w:jc w:val="center"/>
            </w:pPr>
            <w:r>
              <w:t>AMENDMENTS</w:t>
            </w:r>
          </w:p>
        </w:tc>
      </w:tr>
      <w:tr w:rsidR="00F528D3" w14:paraId="5CF0C155" w14:textId="77777777" w:rsidTr="00234A03">
        <w:tc>
          <w:tcPr>
            <w:cnfStyle w:val="001000000000" w:firstRow="0" w:lastRow="0" w:firstColumn="1" w:lastColumn="0" w:oddVBand="0" w:evenVBand="0" w:oddHBand="0" w:evenHBand="0" w:firstRowFirstColumn="0" w:firstRowLastColumn="0" w:lastRowFirstColumn="0" w:lastRowLastColumn="0"/>
            <w:tcW w:w="6237" w:type="dxa"/>
          </w:tcPr>
          <w:p w14:paraId="74A79AF6" w14:textId="2EBCDEE6" w:rsidR="00F528D3" w:rsidRPr="00F528D3" w:rsidRDefault="00F528D3" w:rsidP="00F528D3">
            <w:pPr>
              <w:pStyle w:val="ListAlpha"/>
              <w:ind w:left="0" w:firstLine="0"/>
              <w:rPr>
                <w:b w:val="0"/>
              </w:rPr>
            </w:pPr>
            <w:r w:rsidRPr="00F528D3">
              <w:rPr>
                <w:b w:val="0"/>
              </w:rPr>
              <w:t xml:space="preserve">This abstract of field records correctly represents the occupation and features existing on </w:t>
            </w:r>
            <w:r w:rsidRPr="001175A9">
              <w:rPr>
                <w:b w:val="0"/>
                <w:i/>
              </w:rPr>
              <w:t>[insert date]</w:t>
            </w:r>
            <w:r w:rsidRPr="00F528D3">
              <w:rPr>
                <w:b w:val="0"/>
              </w:rPr>
              <w:t>, and the survey has been brought up to date.</w:t>
            </w:r>
          </w:p>
        </w:tc>
      </w:tr>
    </w:tbl>
    <w:p w14:paraId="506C4C72" w14:textId="77777777" w:rsidR="00F528D3" w:rsidRDefault="00F528D3" w:rsidP="00F528D3">
      <w:pPr>
        <w:pStyle w:val="ListAlpha"/>
      </w:pPr>
    </w:p>
    <w:p w14:paraId="21A7658A" w14:textId="3A5E1C8C" w:rsidR="00F528D3" w:rsidRDefault="00F528D3" w:rsidP="00CB55B7">
      <w:pPr>
        <w:pStyle w:val="ListAlpha"/>
        <w:numPr>
          <w:ilvl w:val="0"/>
          <w:numId w:val="31"/>
        </w:numPr>
      </w:pPr>
      <w:r>
        <w:t xml:space="preserve">When occupation has substantially changed, or works have removed most of the survey marks (in the period between the completion of the survey/marking and the lodgement of the plan), surveyors must </w:t>
      </w:r>
      <w:r>
        <w:lastRenderedPageBreak/>
        <w:t>update the abstract of field records and discuss in the licensed surveyor’s report the alterations made prior to lodgement.</w:t>
      </w:r>
    </w:p>
    <w:p w14:paraId="2DEF3201" w14:textId="77777777" w:rsidR="00F528D3" w:rsidRDefault="00F528D3" w:rsidP="00F528D3">
      <w:pPr>
        <w:pStyle w:val="ListAlpha"/>
        <w:ind w:left="340" w:firstLine="0"/>
      </w:pPr>
      <w:r>
        <w:t>This process may involve the following:</w:t>
      </w:r>
    </w:p>
    <w:p w14:paraId="4C5E2628" w14:textId="77777777" w:rsidR="00F528D3" w:rsidRDefault="00F528D3" w:rsidP="00CB55B7">
      <w:pPr>
        <w:pStyle w:val="ListAlpha"/>
        <w:numPr>
          <w:ilvl w:val="0"/>
          <w:numId w:val="30"/>
        </w:numPr>
        <w:ind w:hanging="218"/>
      </w:pPr>
      <w:r w:rsidRPr="00640F63">
        <w:t xml:space="preserve">when the abstract of field records and accompanying plan has not been lodged, surveyors must amend the original abstract of field records and discuss the alterations made in the </w:t>
      </w:r>
      <w:r>
        <w:t xml:space="preserve">licensed </w:t>
      </w:r>
      <w:r w:rsidRPr="00640F63">
        <w:t>survey</w:t>
      </w:r>
      <w:r>
        <w:t>or’s</w:t>
      </w:r>
      <w:r w:rsidRPr="00640F63">
        <w:t xml:space="preserve"> report; and</w:t>
      </w:r>
    </w:p>
    <w:p w14:paraId="52EAA58C" w14:textId="77777777" w:rsidR="00F528D3" w:rsidRPr="00640F63" w:rsidRDefault="00F528D3" w:rsidP="00CB55B7">
      <w:pPr>
        <w:pStyle w:val="ListAlpha"/>
        <w:numPr>
          <w:ilvl w:val="0"/>
          <w:numId w:val="30"/>
        </w:numPr>
        <w:ind w:hanging="218"/>
      </w:pPr>
      <w:r w:rsidRPr="002156AA">
        <w:t>when the current plan relies on an abstract of field records already lodged with LUV, a new (‘additional’) abstract of field records is to be prepared showing the current occupation features, survey control marks and boundary marks.</w:t>
      </w:r>
    </w:p>
    <w:p w14:paraId="3E45EC93" w14:textId="4E373E8E" w:rsidR="00136828" w:rsidRDefault="00F528D3" w:rsidP="00CB55B7">
      <w:pPr>
        <w:pStyle w:val="ListAlpha"/>
        <w:numPr>
          <w:ilvl w:val="0"/>
          <w:numId w:val="31"/>
        </w:numPr>
      </w:pPr>
      <w:r w:rsidRPr="68C5DEA2">
        <w:rPr>
          <w:rStyle w:val="BodyTextChar"/>
        </w:rPr>
        <w:t>If the</w:t>
      </w:r>
      <w:r>
        <w:t xml:space="preserve"> survey was completed more than </w:t>
      </w:r>
      <w:r w:rsidR="0094303E">
        <w:t>5</w:t>
      </w:r>
      <w:r>
        <w:t xml:space="preserve"> years prior to lodgement of the current plan, a new abstract of field records is to be prepared showing the current occupation features, survey control marks and boundary marks. </w:t>
      </w:r>
    </w:p>
    <w:p w14:paraId="56E7D9E3" w14:textId="77777777" w:rsidR="00E24EE0" w:rsidRDefault="00E24EE0" w:rsidP="00E24EE0">
      <w:pPr>
        <w:pStyle w:val="ListAlpha"/>
        <w:numPr>
          <w:ilvl w:val="0"/>
          <w:numId w:val="31"/>
        </w:numPr>
      </w:pPr>
      <w:r>
        <w:t>Surveys supporting long-term infrastructure projects may be extended beyond 5 years with the consent of the Surveyor-General. In such circumstances, the surveyor must attest to the currency conditions in 6.1.2 (a) i, ii, iii and iv above and edit the abstract of field records and licensed surveyor’s report as appropriate.</w:t>
      </w:r>
    </w:p>
    <w:p w14:paraId="7D8DE834" w14:textId="2A45A28A" w:rsidR="00222DED" w:rsidRPr="001D7902" w:rsidRDefault="002A4BDE" w:rsidP="000F7B10">
      <w:pPr>
        <w:pStyle w:val="Heading2-Numbered"/>
        <w:numPr>
          <w:ilvl w:val="1"/>
          <w:numId w:val="53"/>
        </w:numPr>
      </w:pPr>
      <w:bookmarkStart w:id="73" w:name="_Toc215483384"/>
      <w:r w:rsidRPr="002A4BDE">
        <w:t>Land Registry Services requirements</w:t>
      </w:r>
      <w:bookmarkEnd w:id="73"/>
    </w:p>
    <w:p w14:paraId="7808F653" w14:textId="00C2BC2A" w:rsidR="00222DED" w:rsidRPr="001D7902" w:rsidRDefault="002A4BDE" w:rsidP="000F7B10">
      <w:pPr>
        <w:pStyle w:val="Heading3-Numbered"/>
        <w:numPr>
          <w:ilvl w:val="2"/>
          <w:numId w:val="53"/>
        </w:numPr>
      </w:pPr>
      <w:bookmarkStart w:id="74" w:name="_Toc215483385"/>
      <w:r w:rsidRPr="002A4BDE">
        <w:t>Requirement for an abstract of field records</w:t>
      </w:r>
      <w:bookmarkEnd w:id="74"/>
    </w:p>
    <w:p w14:paraId="156D59BB" w14:textId="77777777" w:rsidR="00FD78EE" w:rsidRPr="00640F63" w:rsidRDefault="00FD78EE" w:rsidP="00CB55B7">
      <w:pPr>
        <w:pStyle w:val="ListAlpha"/>
        <w:numPr>
          <w:ilvl w:val="0"/>
          <w:numId w:val="32"/>
        </w:numPr>
      </w:pPr>
      <w:r w:rsidRPr="00640F63">
        <w:t xml:space="preserve">All plans of subdivision lodged with </w:t>
      </w:r>
      <w:r>
        <w:t>LUV</w:t>
      </w:r>
      <w:r w:rsidRPr="00640F63">
        <w:t xml:space="preserve"> must be supported by an abstract of field records of the survey undertaken, except when the subdivision</w:t>
      </w:r>
      <w:r>
        <w:t xml:space="preserve"> is one of the following</w:t>
      </w:r>
      <w:r w:rsidRPr="00640F63">
        <w:t>:</w:t>
      </w:r>
    </w:p>
    <w:p w14:paraId="1F1825CA" w14:textId="4984D7F8" w:rsidR="00FD78EE" w:rsidRPr="00640F63" w:rsidRDefault="00FD78EE" w:rsidP="00CB55B7">
      <w:pPr>
        <w:pStyle w:val="ListAlpha2"/>
        <w:numPr>
          <w:ilvl w:val="1"/>
          <w:numId w:val="32"/>
        </w:numPr>
      </w:pPr>
      <w:r>
        <w:t xml:space="preserve">is based on a recent survey of the property by the same surveyor or surveying firm (i.e. a survey contained in a prior plan or application undertaken no more than </w:t>
      </w:r>
      <w:r w:rsidR="0094303E">
        <w:t>5</w:t>
      </w:r>
      <w:r>
        <w:t xml:space="preserve"> years prior to lodgement of the current plan), or</w:t>
      </w:r>
    </w:p>
    <w:p w14:paraId="7C6E7B77" w14:textId="77777777" w:rsidR="00FD78EE" w:rsidRPr="00640F63" w:rsidRDefault="00FD78EE" w:rsidP="00CB55B7">
      <w:pPr>
        <w:pStyle w:val="ListAlpha2"/>
        <w:numPr>
          <w:ilvl w:val="1"/>
          <w:numId w:val="32"/>
        </w:numPr>
      </w:pPr>
      <w:r>
        <w:t>does not create any new boundaries, or</w:t>
      </w:r>
    </w:p>
    <w:p w14:paraId="35837034" w14:textId="77777777" w:rsidR="00FD78EE" w:rsidRPr="00640F63" w:rsidRDefault="00FD78EE" w:rsidP="00CB55B7">
      <w:pPr>
        <w:pStyle w:val="ListAlpha2"/>
        <w:numPr>
          <w:ilvl w:val="1"/>
          <w:numId w:val="32"/>
        </w:numPr>
      </w:pPr>
      <w:r>
        <w:t xml:space="preserve">is </w:t>
      </w:r>
      <w:r w:rsidRPr="00F400DE">
        <w:t>prepared under section 32, Subdivision Act 1988 re-subdividing multi-storey buildings that only creates new boundaries fully contained</w:t>
      </w:r>
      <w:r>
        <w:t xml:space="preserve"> within the existing building.</w:t>
      </w:r>
    </w:p>
    <w:p w14:paraId="0E744AFE" w14:textId="62A4A9B1" w:rsidR="00FD78EE" w:rsidRDefault="00FD78EE" w:rsidP="00CB55B7">
      <w:pPr>
        <w:pStyle w:val="ListAlpha"/>
        <w:numPr>
          <w:ilvl w:val="0"/>
          <w:numId w:val="33"/>
        </w:numPr>
      </w:pPr>
      <w:r>
        <w:t xml:space="preserve">For </w:t>
      </w:r>
      <w:r w:rsidRPr="68C5DEA2">
        <w:rPr>
          <w:i/>
          <w:iCs/>
        </w:rPr>
        <w:t>Transfer of Land Act 1958</w:t>
      </w:r>
      <w:r>
        <w:t xml:space="preserve"> application surveys, LUV requires the abstract of field records to be based on a survey completed no more than two years prior to the lodgement of the application. However, if it is known to the surveyor that changes have occurred to occupation along boundaries subject to the application, the abstract of field records must be updated to record those changes.</w:t>
      </w:r>
    </w:p>
    <w:p w14:paraId="403D9441" w14:textId="27BA1AE5" w:rsidR="00FD78EE" w:rsidRDefault="002F0363" w:rsidP="00CB55B7">
      <w:pPr>
        <w:pStyle w:val="ListAlpha"/>
        <w:numPr>
          <w:ilvl w:val="0"/>
          <w:numId w:val="33"/>
        </w:numPr>
      </w:pPr>
      <w:r>
        <w:t>If LUV determines that a survey is inadequate, the surveyor will be required to provide appropriate survey documentation prior to registration.</w:t>
      </w:r>
    </w:p>
    <w:p w14:paraId="39BD29A7" w14:textId="0EAC5429" w:rsidR="002A4BDE" w:rsidRPr="001D7902" w:rsidRDefault="002A4BDE" w:rsidP="000F7B10">
      <w:pPr>
        <w:pStyle w:val="Heading3-Numbered"/>
        <w:numPr>
          <w:ilvl w:val="2"/>
          <w:numId w:val="53"/>
        </w:numPr>
      </w:pPr>
      <w:bookmarkStart w:id="75" w:name="_Toc215483386"/>
      <w:r w:rsidRPr="002A4BDE">
        <w:t>Subdivision of ‘Super-Lots’ and subsequent stages of an ’estate’ type Master Plan</w:t>
      </w:r>
      <w:bookmarkEnd w:id="75"/>
    </w:p>
    <w:p w14:paraId="3EA35265" w14:textId="77777777" w:rsidR="002F0363" w:rsidRDefault="002F0363" w:rsidP="00CB55B7">
      <w:pPr>
        <w:pStyle w:val="ListAlpha"/>
        <w:numPr>
          <w:ilvl w:val="0"/>
          <w:numId w:val="34"/>
        </w:numPr>
      </w:pPr>
      <w:r>
        <w:t xml:space="preserve">If the ‘currency </w:t>
      </w:r>
      <w:r w:rsidRPr="00541E56">
        <w:t>conditions’ in 6.1.2, above, are not met, a new abstract of field records and licensed surveyor’s report must be lodged with LUV</w:t>
      </w:r>
      <w:r>
        <w:t xml:space="preserve"> at the time the plan is lodged.</w:t>
      </w:r>
    </w:p>
    <w:p w14:paraId="1A9CC6D5" w14:textId="46C3D908" w:rsidR="002F0363" w:rsidRPr="00640F63" w:rsidRDefault="002F0363" w:rsidP="00CB55B7">
      <w:pPr>
        <w:pStyle w:val="ListAlpha"/>
        <w:numPr>
          <w:ilvl w:val="0"/>
          <w:numId w:val="34"/>
        </w:numPr>
      </w:pPr>
      <w:r>
        <w:t>A new abstract of field records is not required to support a plan for the subdivision of either a Super-Lot or subsequent stage of a Master Plan for an ‘estate’ type subdivision, provided all the following apply:</w:t>
      </w:r>
    </w:p>
    <w:p w14:paraId="0B84A090" w14:textId="77777777" w:rsidR="002F0363" w:rsidRPr="00640F63" w:rsidRDefault="002F0363" w:rsidP="00CB55B7">
      <w:pPr>
        <w:pStyle w:val="ListAlpha2"/>
        <w:numPr>
          <w:ilvl w:val="1"/>
          <w:numId w:val="34"/>
        </w:numPr>
      </w:pPr>
      <w:r>
        <w:t>the survey requirements for estate subdivisions as outlined in Appendix B have been met</w:t>
      </w:r>
    </w:p>
    <w:p w14:paraId="7A107D37" w14:textId="77777777" w:rsidR="002F0363" w:rsidRPr="00640F63" w:rsidRDefault="002F0363" w:rsidP="00CB55B7">
      <w:pPr>
        <w:pStyle w:val="ListAlpha2"/>
        <w:numPr>
          <w:ilvl w:val="1"/>
          <w:numId w:val="34"/>
        </w:numPr>
      </w:pPr>
      <w:r>
        <w:t>the new plan is endorsed by either:</w:t>
      </w:r>
    </w:p>
    <w:p w14:paraId="65A09D11" w14:textId="77777777" w:rsidR="002F0363" w:rsidRPr="00640F63" w:rsidRDefault="002F0363" w:rsidP="00CB55B7">
      <w:pPr>
        <w:pStyle w:val="ListAlpha3"/>
        <w:numPr>
          <w:ilvl w:val="2"/>
          <w:numId w:val="34"/>
        </w:numPr>
      </w:pPr>
      <w:r>
        <w:lastRenderedPageBreak/>
        <w:t>the same surveyor (from the same company) that attained council certification of the originating Super-Lot plan or stage in a Master Plan; or</w:t>
      </w:r>
    </w:p>
    <w:p w14:paraId="5DB67934" w14:textId="77777777" w:rsidR="002F0363" w:rsidRPr="00640F63" w:rsidRDefault="002F0363" w:rsidP="00CB55B7">
      <w:pPr>
        <w:pStyle w:val="ListAlpha3"/>
        <w:numPr>
          <w:ilvl w:val="2"/>
          <w:numId w:val="34"/>
        </w:numPr>
      </w:pPr>
      <w:r>
        <w:t>a different surveyor from the same company as the originating surveyor. In this circumstance the subsequent surveyor must include all the following in their licensed surveyor’s report:</w:t>
      </w:r>
    </w:p>
    <w:p w14:paraId="3C54AC8A" w14:textId="77777777" w:rsidR="002F0363" w:rsidRPr="00640F63" w:rsidRDefault="002F0363" w:rsidP="00DD5174">
      <w:pPr>
        <w:pStyle w:val="ListAlpha3"/>
        <w:numPr>
          <w:ilvl w:val="3"/>
          <w:numId w:val="55"/>
        </w:numPr>
      </w:pPr>
      <w:r>
        <w:t>confirmation that they are satisfied with the original re-establishment</w:t>
      </w:r>
    </w:p>
    <w:p w14:paraId="176BEC26" w14:textId="77777777" w:rsidR="002F0363" w:rsidRPr="00640F63" w:rsidRDefault="002F0363" w:rsidP="00DD5174">
      <w:pPr>
        <w:pStyle w:val="ListAlpha3"/>
        <w:numPr>
          <w:ilvl w:val="3"/>
          <w:numId w:val="55"/>
        </w:numPr>
      </w:pPr>
      <w:r>
        <w:t>confirmation that they have marked the subject parcel(s) on site</w:t>
      </w:r>
    </w:p>
    <w:p w14:paraId="224F2242" w14:textId="77777777" w:rsidR="002F0363" w:rsidRPr="00640F63" w:rsidRDefault="002F0363" w:rsidP="00DD5174">
      <w:pPr>
        <w:pStyle w:val="ListAlpha3"/>
        <w:numPr>
          <w:ilvl w:val="3"/>
          <w:numId w:val="55"/>
        </w:numPr>
      </w:pPr>
      <w:r>
        <w:t>reference to the originating plan.</w:t>
      </w:r>
    </w:p>
    <w:p w14:paraId="50E1F725" w14:textId="77777777" w:rsidR="002F0363" w:rsidRPr="00640F63" w:rsidRDefault="002F0363" w:rsidP="00CB55B7">
      <w:pPr>
        <w:pStyle w:val="ListAlpha2"/>
        <w:numPr>
          <w:ilvl w:val="1"/>
          <w:numId w:val="34"/>
        </w:numPr>
      </w:pPr>
      <w:r>
        <w:t>The certifying surveyor advises that a ‘supplementary’ abstract of field records will be lodged at LUV following the completion of works.</w:t>
      </w:r>
    </w:p>
    <w:p w14:paraId="07D336FD" w14:textId="77777777" w:rsidR="002F0363" w:rsidRDefault="002F0363" w:rsidP="000F7B10">
      <w:pPr>
        <w:pStyle w:val="ListAlpha"/>
        <w:numPr>
          <w:ilvl w:val="0"/>
          <w:numId w:val="54"/>
        </w:numPr>
      </w:pPr>
      <w:r>
        <w:t>A new abstract of field records and licensed surveyor’s report is required to support a plan that subdivides a Super-Lot or a subsequent stage of an ‘estate’ type Master Plan if the surveyor endorsing the new plan represents a different company from the company which attained council certification of the original plan that set out the Super-Lot or subsequent stage.</w:t>
      </w:r>
    </w:p>
    <w:p w14:paraId="36F5C27B" w14:textId="6269DC0D" w:rsidR="002F0363" w:rsidRDefault="002F0363" w:rsidP="002F0363">
      <w:pPr>
        <w:pStyle w:val="BodyText"/>
      </w:pPr>
      <w:r>
        <w:t>See Appendix B for further information regarding LUV guidelines, supplementary abstract of field records and licensed surveyor’s reports for ‘estate’ type subdivisions.</w:t>
      </w:r>
    </w:p>
    <w:p w14:paraId="3EA115F3" w14:textId="7C93F7CC" w:rsidR="002A4BDE" w:rsidRPr="001D7902" w:rsidRDefault="002A4BDE" w:rsidP="000F7B10">
      <w:pPr>
        <w:pStyle w:val="Heading2-Numbered"/>
        <w:numPr>
          <w:ilvl w:val="1"/>
          <w:numId w:val="53"/>
        </w:numPr>
      </w:pPr>
      <w:bookmarkStart w:id="76" w:name="_Toc215483387"/>
      <w:r w:rsidRPr="002A4BDE">
        <w:t>Format of the abstract of field records</w:t>
      </w:r>
      <w:bookmarkEnd w:id="76"/>
    </w:p>
    <w:p w14:paraId="0DDBDAAA" w14:textId="533F7FBC" w:rsidR="002A4BDE" w:rsidRPr="001D7902" w:rsidRDefault="002A4BDE" w:rsidP="000F7B10">
      <w:pPr>
        <w:pStyle w:val="Heading3-Numbered"/>
        <w:numPr>
          <w:ilvl w:val="2"/>
          <w:numId w:val="53"/>
        </w:numPr>
      </w:pPr>
      <w:bookmarkStart w:id="77" w:name="_Toc215483388"/>
      <w:r w:rsidRPr="002A4BDE">
        <w:t>If traversing techniques have been employed</w:t>
      </w:r>
      <w:bookmarkEnd w:id="77"/>
    </w:p>
    <w:p w14:paraId="134EF42E" w14:textId="790766AB" w:rsidR="002F0363" w:rsidRPr="00640F63" w:rsidRDefault="002F0363" w:rsidP="002F0363">
      <w:pPr>
        <w:pStyle w:val="BodyText"/>
      </w:pPr>
      <w:r w:rsidRPr="00640F63">
        <w:t>If surveys are carried out using traversing techniques, the abstract of field records to be lodged is to take the format of the ‘traditional’ abstract of field records. The abstract is to show all traverse lines,</w:t>
      </w:r>
      <w:r w:rsidR="000A3D5E">
        <w:t xml:space="preserve"> radiations,</w:t>
      </w:r>
      <w:r w:rsidRPr="00640F63">
        <w:t xml:space="preserve"> chainages, offsets, fence and mark descriptions etc. as described in the Surveying (Cadastral Surveys</w:t>
      </w:r>
      <w:r>
        <w:t>) Regulations 2025 and these practice d</w:t>
      </w:r>
      <w:r w:rsidRPr="00640F63">
        <w:t>irectives.</w:t>
      </w:r>
    </w:p>
    <w:p w14:paraId="323A5F26" w14:textId="68D9489D" w:rsidR="002F0363" w:rsidRPr="002B5C3F" w:rsidRDefault="002F0363" w:rsidP="00800FEB">
      <w:pPr>
        <w:pStyle w:val="BodyText"/>
        <w:rPr>
          <w:b/>
        </w:rPr>
      </w:pPr>
      <w:r>
        <w:t xml:space="preserve">An example of a </w:t>
      </w:r>
      <w:hyperlink r:id="rId58" w:history="1">
        <w:r w:rsidRPr="72A53F29">
          <w:rPr>
            <w:rStyle w:val="Hyperlink"/>
            <w:b/>
          </w:rPr>
          <w:t>‘traditional’ abstract of field records</w:t>
        </w:r>
      </w:hyperlink>
      <w:r w:rsidRPr="00BC7BE4">
        <w:t xml:space="preserve"> </w:t>
      </w:r>
      <w:r>
        <w:t xml:space="preserve">is available at: </w:t>
      </w:r>
      <w:hyperlink r:id="rId59" w:history="1">
        <w:r w:rsidR="006F6E53" w:rsidRPr="5C2C5DEF">
          <w:rPr>
            <w:rStyle w:val="Hyperlink"/>
            <w:b/>
          </w:rPr>
          <w:t>www.land.vic.gov.au/surveying/cadastral-survey/practice-directives</w:t>
        </w:r>
      </w:hyperlink>
      <w:r w:rsidR="00A34326" w:rsidRPr="002B5C3F">
        <w:t>.</w:t>
      </w:r>
    </w:p>
    <w:p w14:paraId="7BD094A9" w14:textId="272ED1A5" w:rsidR="002A4BDE" w:rsidRDefault="002A4BDE" w:rsidP="000F7B10">
      <w:pPr>
        <w:pStyle w:val="Heading3-Numbered"/>
        <w:numPr>
          <w:ilvl w:val="2"/>
          <w:numId w:val="53"/>
        </w:numPr>
      </w:pPr>
      <w:bookmarkStart w:id="78" w:name="_Toc215483389"/>
      <w:r w:rsidRPr="002A4BDE">
        <w:t>If alternative measurement techniques have been employe</w:t>
      </w:r>
      <w:r>
        <w:t>d</w:t>
      </w:r>
      <w:bookmarkEnd w:id="78"/>
    </w:p>
    <w:p w14:paraId="76AA012F" w14:textId="77777777" w:rsidR="000833AA" w:rsidRDefault="000833AA" w:rsidP="000833AA">
      <w:pPr>
        <w:pStyle w:val="BodyText"/>
      </w:pPr>
      <w:r>
        <w:t>Due to advancements in technology (e.g. GNSS, laser scanning &amp; p</w:t>
      </w:r>
      <w:r w:rsidRPr="00EA250C">
        <w:t>hotogrammetry</w:t>
      </w:r>
      <w:r>
        <w:t>), an increasing number of situations will occur where traditional chainage/offset, radiation and traversing methods are not used to complete a cadastral survey. When non-conventional measurement techniques are used, the format of the ‘alternative’ abstract is to be adopted.</w:t>
      </w:r>
    </w:p>
    <w:p w14:paraId="5675F1EB" w14:textId="04E75DAD" w:rsidR="000833AA" w:rsidRDefault="000833AA" w:rsidP="000833AA">
      <w:pPr>
        <w:pStyle w:val="BodyText"/>
      </w:pPr>
      <w:r>
        <w:t xml:space="preserve">An example of an </w:t>
      </w:r>
      <w:hyperlink r:id="rId60" w:history="1">
        <w:r w:rsidRPr="5C2C5DEF">
          <w:rPr>
            <w:rStyle w:val="Hyperlink"/>
            <w:b/>
          </w:rPr>
          <w:t>‘alternative’ abstract of field records</w:t>
        </w:r>
      </w:hyperlink>
      <w:r w:rsidRPr="00BA2EEA">
        <w:t xml:space="preserve"> </w:t>
      </w:r>
      <w:r>
        <w:t>is available at:</w:t>
      </w:r>
      <w:r w:rsidR="00A34326">
        <w:t xml:space="preserve"> </w:t>
      </w:r>
      <w:hyperlink r:id="rId61" w:history="1">
        <w:r w:rsidR="006F6E53" w:rsidRPr="002B5C3F">
          <w:rPr>
            <w:rStyle w:val="Hyperlink"/>
            <w:b/>
          </w:rPr>
          <w:t>www.land.vic.gov.au/surveying/cadastral-survey/practice-directives</w:t>
        </w:r>
      </w:hyperlink>
      <w:r w:rsidR="00A34326">
        <w:t>.</w:t>
      </w:r>
    </w:p>
    <w:p w14:paraId="05CEA69B" w14:textId="77777777" w:rsidR="000833AA" w:rsidRPr="00640F63" w:rsidRDefault="000833AA" w:rsidP="000833AA">
      <w:pPr>
        <w:pStyle w:val="BodyText"/>
        <w:spacing w:before="120"/>
      </w:pPr>
      <w:r w:rsidRPr="00640F63">
        <w:t>The ‘alternative’ abstract is to clearly show or state:</w:t>
      </w:r>
    </w:p>
    <w:p w14:paraId="63DA40CD" w14:textId="77777777" w:rsidR="000833AA" w:rsidRDefault="000833AA" w:rsidP="00CB55B7">
      <w:pPr>
        <w:pStyle w:val="ListAlpha"/>
        <w:numPr>
          <w:ilvl w:val="0"/>
          <w:numId w:val="35"/>
        </w:numPr>
      </w:pPr>
      <w:r w:rsidRPr="00640F63">
        <w:t>the measurement technology used to complete the survey</w:t>
      </w:r>
    </w:p>
    <w:p w14:paraId="381EF320" w14:textId="4648244E" w:rsidR="000833AA" w:rsidRDefault="000833AA" w:rsidP="00CB55B7">
      <w:pPr>
        <w:pStyle w:val="ListAlpha"/>
        <w:numPr>
          <w:ilvl w:val="0"/>
          <w:numId w:val="35"/>
        </w:numPr>
      </w:pPr>
      <w:r>
        <w:t>the survey datum and survey(s) of origin</w:t>
      </w:r>
    </w:p>
    <w:p w14:paraId="15E7FDF4" w14:textId="047ADCB5" w:rsidR="000833AA" w:rsidRDefault="000833AA" w:rsidP="00CB55B7">
      <w:pPr>
        <w:pStyle w:val="ListAlpha"/>
        <w:numPr>
          <w:ilvl w:val="0"/>
          <w:numId w:val="35"/>
        </w:numPr>
      </w:pPr>
      <w:r>
        <w:t>where GNSS was used, the bearings rotated onto MGA2020 bearing datum</w:t>
      </w:r>
    </w:p>
    <w:p w14:paraId="3EB5995D" w14:textId="3BE6127E" w:rsidR="000833AA" w:rsidRDefault="000833AA" w:rsidP="00CB55B7">
      <w:pPr>
        <w:pStyle w:val="ListAlpha"/>
        <w:numPr>
          <w:ilvl w:val="0"/>
          <w:numId w:val="35"/>
        </w:numPr>
      </w:pPr>
      <w:r>
        <w:t>ground or site distances at mean elevation. Spheroid or grid distances are not to be shown on cadastral plans or abstracts of field records</w:t>
      </w:r>
    </w:p>
    <w:p w14:paraId="7A25232E" w14:textId="670C055B" w:rsidR="000833AA" w:rsidRDefault="000833AA" w:rsidP="00CB55B7">
      <w:pPr>
        <w:pStyle w:val="ListAlpha"/>
        <w:numPr>
          <w:ilvl w:val="0"/>
          <w:numId w:val="35"/>
        </w:numPr>
      </w:pPr>
      <w:r>
        <w:t>the measurements that have been derived by means other than direct measurement (i.e. distinguish between derived and direct measurements)</w:t>
      </w:r>
    </w:p>
    <w:p w14:paraId="6AFD212C" w14:textId="2CF34AB0" w:rsidR="000833AA" w:rsidRDefault="000833AA" w:rsidP="00CB55B7">
      <w:pPr>
        <w:pStyle w:val="ListAlpha"/>
        <w:numPr>
          <w:ilvl w:val="0"/>
          <w:numId w:val="35"/>
        </w:numPr>
      </w:pPr>
      <w:r>
        <w:lastRenderedPageBreak/>
        <w:t>features (other than traverses) as described in the Surveying (Cadastral Surveys) Regulations 2025 and these practice directives</w:t>
      </w:r>
    </w:p>
    <w:p w14:paraId="69569529" w14:textId="5698C767" w:rsidR="000833AA" w:rsidRDefault="000833AA" w:rsidP="00CB55B7">
      <w:pPr>
        <w:pStyle w:val="ListAlpha"/>
        <w:numPr>
          <w:ilvl w:val="0"/>
          <w:numId w:val="35"/>
        </w:numPr>
      </w:pPr>
      <w:r>
        <w:t>any traditional traversing performed shown in the usual manner.</w:t>
      </w:r>
    </w:p>
    <w:p w14:paraId="70DB7932" w14:textId="425F70B5" w:rsidR="002A4BDE" w:rsidRDefault="002A4BDE" w:rsidP="000F7B10">
      <w:pPr>
        <w:pStyle w:val="Heading3-Numbered"/>
        <w:numPr>
          <w:ilvl w:val="2"/>
          <w:numId w:val="53"/>
        </w:numPr>
      </w:pPr>
      <w:bookmarkStart w:id="79" w:name="_Toc215483390"/>
      <w:r w:rsidRPr="002A4BDE">
        <w:t>Postponement of placement of marks and/or lodgement of supplementary abstract of field records</w:t>
      </w:r>
      <w:bookmarkEnd w:id="79"/>
    </w:p>
    <w:p w14:paraId="20DEB715" w14:textId="77777777" w:rsidR="00A04EE5" w:rsidRPr="00640F63" w:rsidRDefault="00A04EE5" w:rsidP="00CB55B7">
      <w:pPr>
        <w:pStyle w:val="ListAlpha"/>
        <w:numPr>
          <w:ilvl w:val="0"/>
          <w:numId w:val="36"/>
        </w:numPr>
      </w:pPr>
      <w:r w:rsidRPr="00640F63">
        <w:t>If the placement of marks has bee</w:t>
      </w:r>
      <w:r>
        <w:t xml:space="preserve">n postponed in accordance with Regulation 11(4) of the </w:t>
      </w:r>
      <w:r w:rsidRPr="00640F63">
        <w:t>Surveying (Cadastral Surveys) Regulations 20</w:t>
      </w:r>
      <w:r>
        <w:t>25</w:t>
      </w:r>
      <w:r w:rsidRPr="00640F63">
        <w:t xml:space="preserve"> and PMs</w:t>
      </w:r>
      <w:r>
        <w:t xml:space="preserve"> or </w:t>
      </w:r>
      <w:r w:rsidRPr="00640F63">
        <w:t xml:space="preserve">PCMs have been placed in the process of construction or final marking of any subdivision, a supplementary abstract of field records is to be forwarded to </w:t>
      </w:r>
      <w:r>
        <w:t>LUV</w:t>
      </w:r>
      <w:r w:rsidRPr="00640F63">
        <w:t xml:space="preserve"> within 45 days after construction is completed.</w:t>
      </w:r>
    </w:p>
    <w:p w14:paraId="1B225156" w14:textId="77777777" w:rsidR="00A04EE5" w:rsidRPr="00640F63" w:rsidRDefault="00A04EE5" w:rsidP="00CB55B7">
      <w:pPr>
        <w:pStyle w:val="ListAlpha"/>
        <w:numPr>
          <w:ilvl w:val="0"/>
          <w:numId w:val="37"/>
        </w:numPr>
      </w:pPr>
      <w:r>
        <w:t>If a supplementary abstract of field records is required, it is to show:</w:t>
      </w:r>
    </w:p>
    <w:p w14:paraId="0E970645" w14:textId="2BE8B2BC" w:rsidR="00A04EE5" w:rsidRPr="00640F63" w:rsidRDefault="00A04EE5" w:rsidP="00CB55B7">
      <w:pPr>
        <w:pStyle w:val="ListAlpha2"/>
        <w:numPr>
          <w:ilvl w:val="1"/>
          <w:numId w:val="36"/>
        </w:numPr>
      </w:pPr>
      <w:r>
        <w:t xml:space="preserve">connections to at least </w:t>
      </w:r>
      <w:r w:rsidDel="0094303E">
        <w:t>three</w:t>
      </w:r>
      <w:r>
        <w:t xml:space="preserve"> PMs or PCMs from the original survey or a subsequent survey (i.e. a previous supplementary abstract) that can be linked to the original survey</w:t>
      </w:r>
    </w:p>
    <w:p w14:paraId="52D8371E" w14:textId="77777777" w:rsidR="00A04EE5" w:rsidRPr="00640F63" w:rsidRDefault="00A04EE5" w:rsidP="00CB55B7">
      <w:pPr>
        <w:pStyle w:val="ListAlpha2"/>
        <w:numPr>
          <w:ilvl w:val="1"/>
          <w:numId w:val="36"/>
        </w:numPr>
      </w:pPr>
      <w:r>
        <w:t>mark numbers for the PMs and PCMs established or located and references to other physical indicators (streets, occupation, sheet references, etc.) from the original abstract</w:t>
      </w:r>
    </w:p>
    <w:p w14:paraId="4BC760A0" w14:textId="77777777" w:rsidR="00A04EE5" w:rsidRPr="00640F63" w:rsidRDefault="00A04EE5" w:rsidP="00CB55B7">
      <w:pPr>
        <w:pStyle w:val="ListAlpha2"/>
        <w:numPr>
          <w:ilvl w:val="1"/>
          <w:numId w:val="36"/>
        </w:numPr>
      </w:pPr>
      <w:r>
        <w:t xml:space="preserve">observed or derived connections between PMs and PCMs established to satisfy Regulation 11(3) of the Surveying </w:t>
      </w:r>
      <w:r w:rsidRPr="00640F63">
        <w:t>(Cadastral Surveys) Regulations 20</w:t>
      </w:r>
      <w:r>
        <w:t>25.</w:t>
      </w:r>
    </w:p>
    <w:p w14:paraId="3AD2B517" w14:textId="77777777" w:rsidR="00A04EE5" w:rsidRDefault="00A04EE5" w:rsidP="00A04EE5">
      <w:pPr>
        <w:pStyle w:val="BodyText"/>
      </w:pPr>
      <w:r>
        <w:t xml:space="preserve">An example of a </w:t>
      </w:r>
      <w:hyperlink r:id="rId62" w:history="1">
        <w:r w:rsidRPr="002B5C3F">
          <w:rPr>
            <w:rStyle w:val="Hyperlink"/>
            <w:b/>
          </w:rPr>
          <w:t>supplementary abstract of field records</w:t>
        </w:r>
      </w:hyperlink>
      <w:r w:rsidRPr="00290D4D">
        <w:t xml:space="preserve"> </w:t>
      </w:r>
      <w:r>
        <w:t>is available at:</w:t>
      </w:r>
    </w:p>
    <w:p w14:paraId="5A89260A" w14:textId="4C3C95F4" w:rsidR="00A04EE5" w:rsidRPr="002B5C3F" w:rsidRDefault="006F6E53" w:rsidP="00A04EE5">
      <w:pPr>
        <w:pStyle w:val="BodyText"/>
        <w:rPr>
          <w:b/>
        </w:rPr>
      </w:pPr>
      <w:hyperlink r:id="rId63" w:history="1">
        <w:r w:rsidRPr="00800FEB">
          <w:rPr>
            <w:rStyle w:val="Hyperlink"/>
            <w:b/>
          </w:rPr>
          <w:t>www.land.vic.gov.au/surveying/cadastral-survey/practice-directives</w:t>
        </w:r>
      </w:hyperlink>
      <w:r w:rsidR="00A04EE5">
        <w:t>.</w:t>
      </w:r>
    </w:p>
    <w:p w14:paraId="3FDFD040" w14:textId="6F37055D" w:rsidR="008D6D67" w:rsidRPr="00363CAA" w:rsidRDefault="008D6D67" w:rsidP="000F7B10">
      <w:pPr>
        <w:pStyle w:val="Heading1-Numbered"/>
        <w:numPr>
          <w:ilvl w:val="0"/>
          <w:numId w:val="53"/>
        </w:numPr>
      </w:pPr>
      <w:bookmarkStart w:id="80" w:name="_Toc215483391"/>
      <w:r w:rsidRPr="008D6D67">
        <w:t>EDM calibration and verification of GNSS/ emerging technologies</w:t>
      </w:r>
      <w:bookmarkEnd w:id="80"/>
    </w:p>
    <w:p w14:paraId="5AD435ED" w14:textId="77777777" w:rsidR="003F53D8" w:rsidRPr="00D9702A" w:rsidRDefault="003F53D8" w:rsidP="003F53D8">
      <w:pPr>
        <w:pStyle w:val="BodyText"/>
      </w:pPr>
      <w:r w:rsidRPr="00D9702A">
        <w:t>Adherence to measurement standards for boundary-related surveys is important in maintaining the integrity of Victoria’s cadastre and property boundary system, which supports land administration and registration.</w:t>
      </w:r>
    </w:p>
    <w:p w14:paraId="1A25A2FC" w14:textId="77777777" w:rsidR="003F53D8" w:rsidRPr="00D9702A" w:rsidRDefault="003F53D8" w:rsidP="003F53D8">
      <w:pPr>
        <w:pStyle w:val="BodyText"/>
      </w:pPr>
      <w:r w:rsidRPr="00D9702A">
        <w:t>Measurements are subject to errors inherent in surveying instruments and techniques. Observing ‘best practice’ surveying methods will minimise uncertainty that may be introduced to measurements. Also, instruments and equipment must be systematically tested for errors (calibrated) and standardised (compared to the national standard).</w:t>
      </w:r>
    </w:p>
    <w:p w14:paraId="5349FAF6" w14:textId="30EA67E1" w:rsidR="003F53D8" w:rsidRPr="001D7902" w:rsidRDefault="003F53D8" w:rsidP="003F53D8">
      <w:pPr>
        <w:pStyle w:val="GreyText"/>
      </w:pPr>
      <w:r>
        <w:t xml:space="preserve">The </w:t>
      </w:r>
      <w:r w:rsidRPr="016FA7BE">
        <w:rPr>
          <w:b/>
        </w:rPr>
        <w:t>Surveying (Cadastral Surveys) Regulations 2025</w:t>
      </w:r>
      <w:r>
        <w:t xml:space="preserve"> set minimum standards for surveying title boundaries, including calibration and standardisation of survey instruments and equipment.</w:t>
      </w:r>
    </w:p>
    <w:p w14:paraId="570EA625" w14:textId="0BD391A1" w:rsidR="008D6D67" w:rsidRPr="001D7902" w:rsidRDefault="008D6D67" w:rsidP="000F7B10">
      <w:pPr>
        <w:pStyle w:val="Heading2-Numbered"/>
        <w:numPr>
          <w:ilvl w:val="1"/>
          <w:numId w:val="53"/>
        </w:numPr>
      </w:pPr>
      <w:bookmarkStart w:id="81" w:name="_Toc215483392"/>
      <w:r w:rsidRPr="008D6D67">
        <w:t>Meeting EDM standards requirements</w:t>
      </w:r>
      <w:bookmarkEnd w:id="81"/>
    </w:p>
    <w:p w14:paraId="20D0340F" w14:textId="2AFFC02F" w:rsidR="003F53D8" w:rsidRPr="00D9702A" w:rsidRDefault="003F53D8" w:rsidP="003F53D8">
      <w:pPr>
        <w:pStyle w:val="BodyText"/>
      </w:pPr>
      <w:r w:rsidRPr="00D9702A">
        <w:t xml:space="preserve">Regulation 6(1), </w:t>
      </w:r>
      <w:r w:rsidRPr="193A18F8">
        <w:rPr>
          <w:b/>
        </w:rPr>
        <w:t>Surveying (Cadastral Surveys) Regulations 2025</w:t>
      </w:r>
      <w:r>
        <w:t xml:space="preserve"> r</w:t>
      </w:r>
      <w:r w:rsidRPr="00D9702A">
        <w:t>equires a licensed surveyor to:</w:t>
      </w:r>
    </w:p>
    <w:p w14:paraId="6E69E742" w14:textId="77777777" w:rsidR="003F53D8" w:rsidRDefault="003F53D8" w:rsidP="00CB55B7">
      <w:pPr>
        <w:pStyle w:val="ListAlpha"/>
        <w:numPr>
          <w:ilvl w:val="0"/>
          <w:numId w:val="38"/>
        </w:numPr>
      </w:pPr>
      <w:r>
        <w:t>use survey equipment that has been compared to a standard of measurement, and</w:t>
      </w:r>
    </w:p>
    <w:p w14:paraId="6FD9B793" w14:textId="7F21B469" w:rsidR="003F53D8" w:rsidRPr="00D9702A" w:rsidRDefault="003F53D8" w:rsidP="00CB55B7">
      <w:pPr>
        <w:pStyle w:val="ListAlpha"/>
        <w:numPr>
          <w:ilvl w:val="0"/>
          <w:numId w:val="38"/>
        </w:numPr>
      </w:pPr>
      <w:r>
        <w:t>ensure both the process and basis of comparison (with the standard) are adequate to obtain the accuracy required by the regulations.</w:t>
      </w:r>
    </w:p>
    <w:p w14:paraId="0E647220" w14:textId="77777777" w:rsidR="003F53D8" w:rsidRPr="00D9702A" w:rsidRDefault="003F53D8" w:rsidP="003F53D8">
      <w:pPr>
        <w:pStyle w:val="BodyText"/>
      </w:pPr>
      <w:r w:rsidRPr="00D9702A">
        <w:t xml:space="preserve">The Surveyor-General requires surveyors using </w:t>
      </w:r>
      <w:r>
        <w:t>EDM</w:t>
      </w:r>
      <w:r w:rsidRPr="00D9702A">
        <w:t xml:space="preserve"> devices to compare their instruments to a certified, calibrated EDM baseline at </w:t>
      </w:r>
      <w:r w:rsidRPr="00271974">
        <w:t>intervals not exceeding 12 months</w:t>
      </w:r>
      <w:r w:rsidRPr="00620A20">
        <w:t>.</w:t>
      </w:r>
      <w:r w:rsidRPr="00D9702A">
        <w:t xml:space="preserve"> Surveyors must exercise professional judgement to determine if more frequent comparisons are needed.</w:t>
      </w:r>
    </w:p>
    <w:p w14:paraId="3E7AE282" w14:textId="0795A09F" w:rsidR="003F53D8" w:rsidRPr="00D9702A" w:rsidRDefault="003F53D8" w:rsidP="003F53D8">
      <w:pPr>
        <w:pStyle w:val="BodyText"/>
      </w:pPr>
      <w:r w:rsidRPr="00D9702A">
        <w:t>The Surveyor-General provides EDM calibration baselines across Victoria for surveyors to comply with instrument calibration and standardisation requirements. The</w:t>
      </w:r>
      <w:r w:rsidR="000A3D5E">
        <w:t>re are</w:t>
      </w:r>
      <w:r w:rsidRPr="00D9702A">
        <w:t xml:space="preserve"> </w:t>
      </w:r>
      <w:r w:rsidRPr="00D9702A" w:rsidDel="0094303E">
        <w:t>six</w:t>
      </w:r>
      <w:r w:rsidRPr="00D9702A">
        <w:t xml:space="preserve"> EDM calibration baselines in Victoria </w:t>
      </w:r>
      <w:r w:rsidR="000A3D5E">
        <w:t>which are</w:t>
      </w:r>
      <w:r w:rsidRPr="00D9702A">
        <w:t xml:space="preserve"> located at Bendigo, Braeside, Cowwarr, Geelong, Hamilton and Mitcham. To assist surveyors to meet the regulations, the following information is freely available to download online</w:t>
      </w:r>
      <w:r>
        <w:t>:</w:t>
      </w:r>
    </w:p>
    <w:p w14:paraId="0B506780" w14:textId="77777777" w:rsidR="003F53D8" w:rsidRPr="002B5C3F" w:rsidRDefault="003F53D8" w:rsidP="00CB55B7">
      <w:pPr>
        <w:pStyle w:val="ListAlpha"/>
        <w:numPr>
          <w:ilvl w:val="0"/>
          <w:numId w:val="39"/>
        </w:numPr>
        <w:rPr>
          <w:rStyle w:val="Hyperlink"/>
          <w:b/>
        </w:rPr>
      </w:pPr>
      <w:r w:rsidRPr="36BD170C">
        <w:rPr>
          <w:b/>
        </w:rPr>
        <w:fldChar w:fldCharType="begin"/>
      </w:r>
      <w:r w:rsidRPr="36BD170C">
        <w:rPr>
          <w:b/>
        </w:rPr>
        <w:instrText xml:space="preserve"> HYPERLINK "https://www.land.vic.gov.au/surveying/services/equipment-calibration-services" </w:instrText>
      </w:r>
      <w:r w:rsidRPr="36BD170C">
        <w:rPr>
          <w:b/>
        </w:rPr>
      </w:r>
      <w:r w:rsidRPr="36BD170C">
        <w:rPr>
          <w:b/>
        </w:rPr>
        <w:fldChar w:fldCharType="separate"/>
      </w:r>
      <w:r w:rsidRPr="36BD170C">
        <w:rPr>
          <w:rStyle w:val="Hyperlink"/>
          <w:b/>
        </w:rPr>
        <w:t>EDM Calibration Handbook</w:t>
      </w:r>
    </w:p>
    <w:p w14:paraId="269F5DE9" w14:textId="77777777" w:rsidR="003F53D8" w:rsidRPr="002B5C3F" w:rsidRDefault="003F53D8" w:rsidP="00CB55B7">
      <w:pPr>
        <w:pStyle w:val="ListAlpha"/>
        <w:numPr>
          <w:ilvl w:val="0"/>
          <w:numId w:val="39"/>
        </w:numPr>
        <w:rPr>
          <w:rStyle w:val="Hyperlink"/>
          <w:b/>
        </w:rPr>
      </w:pPr>
      <w:r w:rsidRPr="36BD170C">
        <w:rPr>
          <w:b/>
        </w:rPr>
        <w:lastRenderedPageBreak/>
        <w:fldChar w:fldCharType="end"/>
      </w:r>
      <w:r w:rsidRPr="36BD170C">
        <w:rPr>
          <w:b/>
        </w:rPr>
        <w:fldChar w:fldCharType="begin"/>
      </w:r>
      <w:r w:rsidRPr="36BD170C">
        <w:rPr>
          <w:b/>
        </w:rPr>
        <w:instrText xml:space="preserve"> HYPERLINK "https://www.land.vic.gov.au/surveying/services/equipment-calibration-services" </w:instrText>
      </w:r>
      <w:r w:rsidRPr="36BD170C">
        <w:rPr>
          <w:b/>
        </w:rPr>
      </w:r>
      <w:r w:rsidRPr="36BD170C">
        <w:rPr>
          <w:b/>
        </w:rPr>
        <w:fldChar w:fldCharType="separate"/>
      </w:r>
      <w:r w:rsidRPr="36BD170C">
        <w:rPr>
          <w:rStyle w:val="Hyperlink"/>
          <w:b/>
        </w:rPr>
        <w:t>EDM Calibration Booking Sheet</w:t>
      </w:r>
    </w:p>
    <w:p w14:paraId="4AE28744" w14:textId="77777777" w:rsidR="003F53D8" w:rsidRPr="002B5C3F" w:rsidRDefault="003F53D8" w:rsidP="00CB55B7">
      <w:pPr>
        <w:pStyle w:val="ListAlpha"/>
        <w:numPr>
          <w:ilvl w:val="0"/>
          <w:numId w:val="39"/>
        </w:numPr>
        <w:rPr>
          <w:rStyle w:val="Hyperlink"/>
          <w:b/>
        </w:rPr>
      </w:pPr>
      <w:r w:rsidRPr="36BD170C">
        <w:rPr>
          <w:b/>
        </w:rPr>
        <w:fldChar w:fldCharType="end"/>
      </w:r>
      <w:r w:rsidRPr="36BD170C">
        <w:rPr>
          <w:b/>
        </w:rPr>
        <w:fldChar w:fldCharType="begin"/>
      </w:r>
      <w:r w:rsidRPr="36BD170C">
        <w:rPr>
          <w:b/>
        </w:rPr>
        <w:instrText xml:space="preserve"> HYPERLINK "https://www.land.vic.gov.au/surveying/services/equipment-calibration-services" </w:instrText>
      </w:r>
      <w:r w:rsidRPr="36BD170C">
        <w:rPr>
          <w:b/>
        </w:rPr>
      </w:r>
      <w:r w:rsidRPr="36BD170C">
        <w:rPr>
          <w:b/>
        </w:rPr>
        <w:fldChar w:fldCharType="separate"/>
      </w:r>
      <w:r w:rsidRPr="36BD170C">
        <w:rPr>
          <w:rStyle w:val="Hyperlink"/>
          <w:b/>
        </w:rPr>
        <w:t>‘Baseline’ EDM Calibration Software</w:t>
      </w:r>
    </w:p>
    <w:p w14:paraId="6F6C0A73" w14:textId="77777777" w:rsidR="003F53D8" w:rsidRPr="00D9702A" w:rsidRDefault="003F53D8" w:rsidP="00CB55B7">
      <w:pPr>
        <w:pStyle w:val="ListAlpha"/>
        <w:numPr>
          <w:ilvl w:val="0"/>
          <w:numId w:val="39"/>
        </w:numPr>
      </w:pPr>
      <w:r w:rsidRPr="36BD170C">
        <w:rPr>
          <w:b/>
        </w:rPr>
        <w:fldChar w:fldCharType="end"/>
      </w:r>
      <w:hyperlink r:id="rId64">
        <w:r w:rsidRPr="36BD170C">
          <w:rPr>
            <w:rStyle w:val="Hyperlink"/>
            <w:b/>
          </w:rPr>
          <w:t>Baseline booking facility</w:t>
        </w:r>
      </w:hyperlink>
      <w:r>
        <w:t xml:space="preserve"> and </w:t>
      </w:r>
      <w:hyperlink r:id="rId65">
        <w:r w:rsidRPr="36BD170C">
          <w:rPr>
            <w:rStyle w:val="Hyperlink"/>
            <w:b/>
          </w:rPr>
          <w:t>baseline location information</w:t>
        </w:r>
      </w:hyperlink>
      <w:r>
        <w:t>.</w:t>
      </w:r>
    </w:p>
    <w:p w14:paraId="32C092E5" w14:textId="499C0EF9" w:rsidR="003F53D8" w:rsidRDefault="00BE25A2" w:rsidP="008D6D67">
      <w:pPr>
        <w:pStyle w:val="GreyText"/>
        <w:rPr>
          <w:rStyle w:val="Hyperlink"/>
        </w:rPr>
      </w:pPr>
      <w:r>
        <w:t xml:space="preserve">To find go to: </w:t>
      </w:r>
      <w:hyperlink r:id="rId66">
        <w:r w:rsidR="00A06E28" w:rsidRPr="36BD170C">
          <w:rPr>
            <w:rStyle w:val="Hyperlink"/>
          </w:rPr>
          <w:t>www.land.vic.gov.au/surveying/services/equipment-calibration-services</w:t>
        </w:r>
      </w:hyperlink>
    </w:p>
    <w:p w14:paraId="25CA9167" w14:textId="4156F30B" w:rsidR="005B6BAA" w:rsidRPr="001D7902" w:rsidRDefault="005B6BAA" w:rsidP="000F7B10">
      <w:pPr>
        <w:pStyle w:val="Heading2-Numbered"/>
        <w:numPr>
          <w:ilvl w:val="1"/>
          <w:numId w:val="53"/>
        </w:numPr>
      </w:pPr>
      <w:bookmarkStart w:id="82" w:name="_Toc215483393"/>
      <w:r w:rsidRPr="005B6BAA">
        <w:t>Verification of GNSS</w:t>
      </w:r>
      <w:bookmarkEnd w:id="82"/>
    </w:p>
    <w:p w14:paraId="34B19B97" w14:textId="77777777" w:rsidR="000A3D5E" w:rsidRDefault="000A3D5E" w:rsidP="000A3D5E">
      <w:pPr>
        <w:pStyle w:val="BodyText"/>
      </w:pPr>
      <w:bookmarkStart w:id="83" w:name="_Hlk75518801"/>
      <w:r>
        <w:t>All MGA2020 coordinate and AHD height values derived from GNSS measurement must be verified by:</w:t>
      </w:r>
    </w:p>
    <w:p w14:paraId="73DCD9A8" w14:textId="77777777" w:rsidR="00667F30" w:rsidRDefault="00667F30" w:rsidP="5E5B69E4">
      <w:pPr>
        <w:pStyle w:val="ListBullet2"/>
      </w:pPr>
      <w:r>
        <w:t>For MGA2020 bearing datum – connecting to at least one SCN mark that is closest to the site of the cadastral survey and suitable for GNSS observation.</w:t>
      </w:r>
    </w:p>
    <w:p w14:paraId="2B696FE2" w14:textId="18F7AE7A" w:rsidR="00667F30" w:rsidRDefault="00667F30" w:rsidP="5E5B69E4">
      <w:pPr>
        <w:pStyle w:val="ListBullet2"/>
      </w:pPr>
      <w:r>
        <w:t>For AHD height – connecting to at least one levelled AHD mark that is closest to the site of the cadastral survey and suitable for GNSS observation.</w:t>
      </w:r>
    </w:p>
    <w:p w14:paraId="5AA46AE2" w14:textId="6AD4AE0C" w:rsidR="000A3D5E" w:rsidRDefault="000A3D5E" w:rsidP="000A3D5E">
      <w:pPr>
        <w:pStyle w:val="BodyText"/>
      </w:pPr>
      <w:r>
        <w:t>Verification comparisons to the values published in SMES must be reported on in the licensed surveyor’s report.</w:t>
      </w:r>
    </w:p>
    <w:bookmarkEnd w:id="83"/>
    <w:p w14:paraId="70A54C4C" w14:textId="77777777" w:rsidR="000A3D5E" w:rsidRDefault="000A3D5E" w:rsidP="000A3D5E">
      <w:pPr>
        <w:pStyle w:val="GreyText"/>
      </w:pPr>
      <w:r w:rsidRPr="00523764">
        <w:t>Refer to section 2.4.4 and section 5.4.2 of this document.</w:t>
      </w:r>
    </w:p>
    <w:p w14:paraId="1EF8033D" w14:textId="32BE1146" w:rsidR="005B6BAA" w:rsidRPr="001D7902" w:rsidRDefault="005B6BAA" w:rsidP="000F7B10">
      <w:pPr>
        <w:pStyle w:val="Heading2-Numbered"/>
        <w:numPr>
          <w:ilvl w:val="1"/>
          <w:numId w:val="53"/>
        </w:numPr>
      </w:pPr>
      <w:bookmarkStart w:id="84" w:name="_Toc215483394"/>
      <w:r w:rsidRPr="005B6BAA">
        <w:t>Verification of emerging technologies</w:t>
      </w:r>
      <w:bookmarkEnd w:id="84"/>
    </w:p>
    <w:p w14:paraId="22628F48" w14:textId="2A42FA87" w:rsidR="000A3D5E" w:rsidRPr="00523764" w:rsidRDefault="000A3D5E" w:rsidP="000A3D5E">
      <w:r>
        <w:t xml:space="preserve">Measurement technologies and techniques are evolving rapidly. It is the responsibility of the licensed surveyor to have a thorough understanding of the technology, its settings and limitations and the accuracies achievable. </w:t>
      </w:r>
      <w:r w:rsidRPr="00523764">
        <w:t xml:space="preserve">The licensed surveyor must use their professional judgement and report on measurement technologies used in the </w:t>
      </w:r>
      <w:r>
        <w:t>l</w:t>
      </w:r>
      <w:r w:rsidRPr="00523764">
        <w:t xml:space="preserve">icensed </w:t>
      </w:r>
      <w:r>
        <w:t>s</w:t>
      </w:r>
      <w:r w:rsidRPr="00523764">
        <w:t xml:space="preserve">urveyor’s </w:t>
      </w:r>
      <w:r>
        <w:t>r</w:t>
      </w:r>
      <w:r w:rsidRPr="00523764">
        <w:t>eport.</w:t>
      </w:r>
    </w:p>
    <w:p w14:paraId="3A1F90A1" w14:textId="77777777" w:rsidR="000A3D5E" w:rsidRDefault="000A3D5E" w:rsidP="000A3D5E">
      <w:pPr>
        <w:pStyle w:val="GreyText"/>
      </w:pPr>
      <w:r w:rsidRPr="00523764">
        <w:t>Refer to section 5.4.3 of this document</w:t>
      </w:r>
      <w:r>
        <w:t>.</w:t>
      </w:r>
    </w:p>
    <w:p w14:paraId="0B677E0F" w14:textId="5DF2251E" w:rsidR="005B6BAA" w:rsidRPr="00363CAA" w:rsidRDefault="005B6BAA" w:rsidP="000F7B10">
      <w:pPr>
        <w:pStyle w:val="Heading1-Numbered"/>
        <w:numPr>
          <w:ilvl w:val="0"/>
          <w:numId w:val="53"/>
        </w:numPr>
      </w:pPr>
      <w:bookmarkStart w:id="85" w:name="_Toc215483395"/>
      <w:r w:rsidRPr="005B6BAA">
        <w:t>Precision of dimensions on plans of cadastral surveys and abstracts of field records</w:t>
      </w:r>
      <w:bookmarkEnd w:id="85"/>
    </w:p>
    <w:p w14:paraId="2671F89E" w14:textId="63751A4F" w:rsidR="00BE25A2" w:rsidRDefault="00BE25A2" w:rsidP="00BE25A2">
      <w:r>
        <w:t xml:space="preserve">Every adopted length, bearing and area shown on an abstract of field records or a plan prepared from a cadastral survey shall be shown in accordance with the following table, which replaces Table 7.1, Part 2, </w:t>
      </w:r>
      <w:r w:rsidRPr="5668D84D">
        <w:rPr>
          <w:b/>
        </w:rPr>
        <w:t>Survey Practice Handbook – Victoria</w:t>
      </w:r>
      <w:r>
        <w:t>. An exception to the table exists for adopted lengths and traverse bearings on an abstract of field records, which may be shown to a greater precision if it is necessary for the purposes of the survey. For example, if the rotation to MGA2020 from a cadastral bearing datum is computed to 5” of arc, then the adopted bearings can be shown to that precision, where appropriate, on the abstract of field records.</w:t>
      </w:r>
    </w:p>
    <w:p w14:paraId="1665F17D" w14:textId="7D5B981E" w:rsidR="00E823B8" w:rsidRDefault="00BE25A2" w:rsidP="00BE25A2">
      <w:r>
        <w:t>The general notes on lengths, bearings and areas contained in Section 7.7, Part 2, Survey Practice Handbook – Victoria, are still applicable.</w:t>
      </w:r>
    </w:p>
    <w:tbl>
      <w:tblPr>
        <w:tblStyle w:val="TableGrid"/>
        <w:tblW w:w="0" w:type="auto"/>
        <w:tblLook w:val="04A0" w:firstRow="1" w:lastRow="0" w:firstColumn="1" w:lastColumn="0" w:noHBand="0" w:noVBand="1"/>
      </w:tblPr>
      <w:tblGrid>
        <w:gridCol w:w="3590"/>
        <w:gridCol w:w="2647"/>
        <w:gridCol w:w="4535"/>
      </w:tblGrid>
      <w:tr w:rsidR="001B1C2D" w14:paraId="64A3F64A" w14:textId="77777777" w:rsidTr="221A6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05D1B36D" w14:textId="4364A9E7" w:rsidR="001B1C2D" w:rsidRDefault="001B1C2D" w:rsidP="001B1C2D">
            <w:r>
              <w:t>Measurement</w:t>
            </w:r>
          </w:p>
        </w:tc>
        <w:tc>
          <w:tcPr>
            <w:tcW w:w="2647" w:type="dxa"/>
          </w:tcPr>
          <w:p w14:paraId="58DD0DAD" w14:textId="07D6C861" w:rsidR="001B1C2D" w:rsidRDefault="001B1C2D" w:rsidP="001B1C2D">
            <w:pPr>
              <w:cnfStyle w:val="100000000000" w:firstRow="1" w:lastRow="0" w:firstColumn="0" w:lastColumn="0" w:oddVBand="0" w:evenVBand="0" w:oddHBand="0" w:evenHBand="0" w:firstRowFirstColumn="0" w:firstRowLastColumn="0" w:lastRowFirstColumn="0" w:lastRowLastColumn="0"/>
            </w:pPr>
            <w:r>
              <w:t>Unit/s to be used</w:t>
            </w:r>
          </w:p>
        </w:tc>
        <w:tc>
          <w:tcPr>
            <w:tcW w:w="4535" w:type="dxa"/>
          </w:tcPr>
          <w:p w14:paraId="33627EB7" w14:textId="55D1F353" w:rsidR="001B1C2D" w:rsidRDefault="001B1C2D" w:rsidP="001B1C2D">
            <w:pPr>
              <w:cnfStyle w:val="100000000000" w:firstRow="1" w:lastRow="0" w:firstColumn="0" w:lastColumn="0" w:oddVBand="0" w:evenVBand="0" w:oddHBand="0" w:evenHBand="0" w:firstRowFirstColumn="0" w:firstRowLastColumn="0" w:lastRowFirstColumn="0" w:lastRowLastColumn="0"/>
            </w:pPr>
            <w:r>
              <w:t>Precision</w:t>
            </w:r>
          </w:p>
        </w:tc>
      </w:tr>
      <w:tr w:rsidR="001B1C2D" w14:paraId="11C010AA" w14:textId="77777777" w:rsidTr="221A6D92">
        <w:tc>
          <w:tcPr>
            <w:cnfStyle w:val="001000000000" w:firstRow="0" w:lastRow="0" w:firstColumn="1" w:lastColumn="0" w:oddVBand="0" w:evenVBand="0" w:oddHBand="0" w:evenHBand="0" w:firstRowFirstColumn="0" w:firstRowLastColumn="0" w:lastRowFirstColumn="0" w:lastRowLastColumn="0"/>
            <w:tcW w:w="3590" w:type="dxa"/>
          </w:tcPr>
          <w:p w14:paraId="012C5D7D" w14:textId="727098EE" w:rsidR="001B1C2D" w:rsidRPr="001B1C2D" w:rsidRDefault="001B1C2D" w:rsidP="001B1C2D">
            <w:r w:rsidRPr="001B1C2D">
              <w:t>Length</w:t>
            </w:r>
          </w:p>
        </w:tc>
        <w:tc>
          <w:tcPr>
            <w:tcW w:w="2647" w:type="dxa"/>
          </w:tcPr>
          <w:p w14:paraId="1E0B2767" w14:textId="77777777" w:rsidR="001B1C2D" w:rsidRDefault="001B1C2D" w:rsidP="001B1C2D">
            <w:pPr>
              <w:cnfStyle w:val="000000000000" w:firstRow="0" w:lastRow="0" w:firstColumn="0" w:lastColumn="0" w:oddVBand="0" w:evenVBand="0" w:oddHBand="0" w:evenHBand="0" w:firstRowFirstColumn="0" w:firstRowLastColumn="0" w:lastRowFirstColumn="0" w:lastRowLastColumn="0"/>
            </w:pPr>
          </w:p>
        </w:tc>
        <w:tc>
          <w:tcPr>
            <w:tcW w:w="4535" w:type="dxa"/>
          </w:tcPr>
          <w:p w14:paraId="2CF36D97" w14:textId="77777777" w:rsidR="001B1C2D" w:rsidRDefault="001B1C2D" w:rsidP="001B1C2D">
            <w:pPr>
              <w:cnfStyle w:val="000000000000" w:firstRow="0" w:lastRow="0" w:firstColumn="0" w:lastColumn="0" w:oddVBand="0" w:evenVBand="0" w:oddHBand="0" w:evenHBand="0" w:firstRowFirstColumn="0" w:firstRowLastColumn="0" w:lastRowFirstColumn="0" w:lastRowLastColumn="0"/>
            </w:pPr>
          </w:p>
        </w:tc>
      </w:tr>
      <w:tr w:rsidR="001B1C2D" w14:paraId="58DEEE89" w14:textId="77777777" w:rsidTr="221A6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104BFA94" w14:textId="64A7E43C" w:rsidR="001B1C2D" w:rsidRPr="001B1C2D" w:rsidRDefault="001B1C2D" w:rsidP="001B1C2D">
            <w:pPr>
              <w:rPr>
                <w:b w:val="0"/>
              </w:rPr>
            </w:pPr>
            <w:r w:rsidRPr="001B1C2D">
              <w:rPr>
                <w:b w:val="0"/>
              </w:rPr>
              <w:t>Less than 500 metres</w:t>
            </w:r>
          </w:p>
        </w:tc>
        <w:tc>
          <w:tcPr>
            <w:tcW w:w="2647" w:type="dxa"/>
          </w:tcPr>
          <w:p w14:paraId="4DD8AD0F" w14:textId="17EBC2B7" w:rsidR="001B1C2D" w:rsidRDefault="001B1C2D" w:rsidP="001B1C2D">
            <w:pPr>
              <w:cnfStyle w:val="000000010000" w:firstRow="0" w:lastRow="0" w:firstColumn="0" w:lastColumn="0" w:oddVBand="0" w:evenVBand="0" w:oddHBand="0" w:evenHBand="1" w:firstRowFirstColumn="0" w:firstRowLastColumn="0" w:lastRowFirstColumn="0" w:lastRowLastColumn="0"/>
            </w:pPr>
            <w:r>
              <w:t>Metre</w:t>
            </w:r>
          </w:p>
        </w:tc>
        <w:tc>
          <w:tcPr>
            <w:tcW w:w="4535" w:type="dxa"/>
          </w:tcPr>
          <w:p w14:paraId="0C73FDDE" w14:textId="4A99B60E" w:rsidR="001B1C2D" w:rsidRDefault="001B1C2D" w:rsidP="001B1C2D">
            <w:pPr>
              <w:cnfStyle w:val="000000010000" w:firstRow="0" w:lastRow="0" w:firstColumn="0" w:lastColumn="0" w:oddVBand="0" w:evenVBand="0" w:oddHBand="0" w:evenHBand="1" w:firstRowFirstColumn="0" w:firstRowLastColumn="0" w:lastRowFirstColumn="0" w:lastRowLastColumn="0"/>
            </w:pPr>
            <w:r>
              <w:t>Correct to the nearest 0.01 metre, except where circumstances require greater precision, then correct to the nearest 0.005 metre.</w:t>
            </w:r>
          </w:p>
        </w:tc>
      </w:tr>
      <w:tr w:rsidR="001B1C2D" w14:paraId="315490E0" w14:textId="77777777" w:rsidTr="221A6D92">
        <w:tc>
          <w:tcPr>
            <w:cnfStyle w:val="001000000000" w:firstRow="0" w:lastRow="0" w:firstColumn="1" w:lastColumn="0" w:oddVBand="0" w:evenVBand="0" w:oddHBand="0" w:evenHBand="0" w:firstRowFirstColumn="0" w:firstRowLastColumn="0" w:lastRowFirstColumn="0" w:lastRowLastColumn="0"/>
            <w:tcW w:w="3590" w:type="dxa"/>
          </w:tcPr>
          <w:p w14:paraId="7B71E325" w14:textId="42E66278" w:rsidR="001B1C2D" w:rsidRPr="001B1C2D" w:rsidRDefault="2EECB6D4" w:rsidP="001B1C2D">
            <w:pPr>
              <w:rPr>
                <w:b w:val="0"/>
              </w:rPr>
            </w:pPr>
            <w:r>
              <w:rPr>
                <w:b w:val="0"/>
              </w:rPr>
              <w:t>500 metres and up to 5</w:t>
            </w:r>
            <w:r w:rsidR="60C96B6C">
              <w:rPr>
                <w:b w:val="0"/>
              </w:rPr>
              <w:t>,</w:t>
            </w:r>
            <w:r>
              <w:rPr>
                <w:b w:val="0"/>
              </w:rPr>
              <w:t>000 metres</w:t>
            </w:r>
          </w:p>
        </w:tc>
        <w:tc>
          <w:tcPr>
            <w:tcW w:w="2647" w:type="dxa"/>
          </w:tcPr>
          <w:p w14:paraId="5B23F96D" w14:textId="7F086C3B" w:rsidR="001B1C2D" w:rsidRDefault="001B1C2D" w:rsidP="001B1C2D">
            <w:pPr>
              <w:cnfStyle w:val="000000000000" w:firstRow="0" w:lastRow="0" w:firstColumn="0" w:lastColumn="0" w:oddVBand="0" w:evenVBand="0" w:oddHBand="0" w:evenHBand="0" w:firstRowFirstColumn="0" w:firstRowLastColumn="0" w:lastRowFirstColumn="0" w:lastRowLastColumn="0"/>
            </w:pPr>
            <w:r>
              <w:t>Metre</w:t>
            </w:r>
          </w:p>
        </w:tc>
        <w:tc>
          <w:tcPr>
            <w:tcW w:w="4535" w:type="dxa"/>
          </w:tcPr>
          <w:p w14:paraId="012D216D" w14:textId="77777777" w:rsidR="001B1C2D" w:rsidRDefault="001B1C2D" w:rsidP="001B1C2D">
            <w:pPr>
              <w:pStyle w:val="TableTextLeft"/>
              <w:cnfStyle w:val="000000000000" w:firstRow="0" w:lastRow="0" w:firstColumn="0" w:lastColumn="0" w:oddVBand="0" w:evenVBand="0" w:oddHBand="0" w:evenHBand="0" w:firstRowFirstColumn="0" w:firstRowLastColumn="0" w:lastRowFirstColumn="0" w:lastRowLastColumn="0"/>
            </w:pPr>
            <w:r>
              <w:t>Correct to the nearest 0.01 metre</w:t>
            </w:r>
          </w:p>
          <w:p w14:paraId="0E24B586" w14:textId="77777777" w:rsidR="001B1C2D" w:rsidRDefault="001B1C2D" w:rsidP="001B1C2D">
            <w:pPr>
              <w:cnfStyle w:val="000000000000" w:firstRow="0" w:lastRow="0" w:firstColumn="0" w:lastColumn="0" w:oddVBand="0" w:evenVBand="0" w:oddHBand="0" w:evenHBand="0" w:firstRowFirstColumn="0" w:firstRowLastColumn="0" w:lastRowFirstColumn="0" w:lastRowLastColumn="0"/>
            </w:pPr>
          </w:p>
        </w:tc>
      </w:tr>
      <w:tr w:rsidR="001B1C2D" w14:paraId="0D3E0770" w14:textId="77777777" w:rsidTr="221A6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1446A7E3" w14:textId="0111D19E" w:rsidR="001B1C2D" w:rsidRPr="001B1C2D" w:rsidRDefault="2EECB6D4" w:rsidP="001B1C2D">
            <w:pPr>
              <w:rPr>
                <w:b w:val="0"/>
              </w:rPr>
            </w:pPr>
            <w:r>
              <w:rPr>
                <w:b w:val="0"/>
              </w:rPr>
              <w:lastRenderedPageBreak/>
              <w:t>Over 5</w:t>
            </w:r>
            <w:r w:rsidR="60C96B6C">
              <w:rPr>
                <w:b w:val="0"/>
              </w:rPr>
              <w:t>,</w:t>
            </w:r>
            <w:r>
              <w:rPr>
                <w:b w:val="0"/>
              </w:rPr>
              <w:t>000 metres</w:t>
            </w:r>
          </w:p>
        </w:tc>
        <w:tc>
          <w:tcPr>
            <w:tcW w:w="2647" w:type="dxa"/>
          </w:tcPr>
          <w:p w14:paraId="75A36004" w14:textId="21F44A9C" w:rsidR="001B1C2D" w:rsidRDefault="001B1C2D" w:rsidP="001B1C2D">
            <w:pPr>
              <w:cnfStyle w:val="000000010000" w:firstRow="0" w:lastRow="0" w:firstColumn="0" w:lastColumn="0" w:oddVBand="0" w:evenVBand="0" w:oddHBand="0" w:evenHBand="1" w:firstRowFirstColumn="0" w:firstRowLastColumn="0" w:lastRowFirstColumn="0" w:lastRowLastColumn="0"/>
            </w:pPr>
            <w:r>
              <w:t>Metre</w:t>
            </w:r>
          </w:p>
        </w:tc>
        <w:tc>
          <w:tcPr>
            <w:tcW w:w="4535" w:type="dxa"/>
          </w:tcPr>
          <w:p w14:paraId="17A76E45" w14:textId="33DF1073" w:rsidR="001B1C2D" w:rsidRDefault="001B1C2D" w:rsidP="001B1C2D">
            <w:pPr>
              <w:cnfStyle w:val="000000010000" w:firstRow="0" w:lastRow="0" w:firstColumn="0" w:lastColumn="0" w:oddVBand="0" w:evenVBand="0" w:oddHBand="0" w:evenHBand="1" w:firstRowFirstColumn="0" w:firstRowLastColumn="0" w:lastRowFirstColumn="0" w:lastRowLastColumn="0"/>
            </w:pPr>
            <w:r>
              <w:t>Correct to the nearest 0.1 metre</w:t>
            </w:r>
          </w:p>
        </w:tc>
      </w:tr>
      <w:tr w:rsidR="001B1C2D" w14:paraId="6C03BD3B" w14:textId="77777777" w:rsidTr="221A6D92">
        <w:tc>
          <w:tcPr>
            <w:cnfStyle w:val="001000000000" w:firstRow="0" w:lastRow="0" w:firstColumn="1" w:lastColumn="0" w:oddVBand="0" w:evenVBand="0" w:oddHBand="0" w:evenHBand="0" w:firstRowFirstColumn="0" w:firstRowLastColumn="0" w:lastRowFirstColumn="0" w:lastRowLastColumn="0"/>
            <w:tcW w:w="3590" w:type="dxa"/>
          </w:tcPr>
          <w:p w14:paraId="2C9EAA2F" w14:textId="67DD935C" w:rsidR="001B1C2D" w:rsidRPr="001B1C2D" w:rsidRDefault="001B1C2D" w:rsidP="001B1C2D">
            <w:pPr>
              <w:rPr>
                <w:b w:val="0"/>
              </w:rPr>
            </w:pPr>
            <w:r w:rsidRPr="007E57F6">
              <w:t>Bearings of Lengths</w:t>
            </w:r>
          </w:p>
        </w:tc>
        <w:tc>
          <w:tcPr>
            <w:tcW w:w="2647" w:type="dxa"/>
          </w:tcPr>
          <w:p w14:paraId="5DF39767" w14:textId="51662DC8" w:rsidR="001B1C2D" w:rsidRDefault="001B1C2D" w:rsidP="001B1C2D">
            <w:pPr>
              <w:cnfStyle w:val="000000000000" w:firstRow="0" w:lastRow="0" w:firstColumn="0" w:lastColumn="0" w:oddVBand="0" w:evenVBand="0" w:oddHBand="0" w:evenHBand="0" w:firstRowFirstColumn="0" w:firstRowLastColumn="0" w:lastRowFirstColumn="0" w:lastRowLastColumn="0"/>
            </w:pPr>
          </w:p>
        </w:tc>
        <w:tc>
          <w:tcPr>
            <w:tcW w:w="4535" w:type="dxa"/>
          </w:tcPr>
          <w:p w14:paraId="65042B73" w14:textId="26CAE955" w:rsidR="001B1C2D" w:rsidRDefault="001B1C2D" w:rsidP="001B1C2D">
            <w:pPr>
              <w:cnfStyle w:val="000000000000" w:firstRow="0" w:lastRow="0" w:firstColumn="0" w:lastColumn="0" w:oddVBand="0" w:evenVBand="0" w:oddHBand="0" w:evenHBand="0" w:firstRowFirstColumn="0" w:firstRowLastColumn="0" w:lastRowFirstColumn="0" w:lastRowLastColumn="0"/>
            </w:pPr>
          </w:p>
        </w:tc>
      </w:tr>
      <w:tr w:rsidR="001B1C2D" w14:paraId="47957A35" w14:textId="77777777" w:rsidTr="221A6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22572583" w14:textId="3A6B0D69" w:rsidR="001B1C2D" w:rsidRPr="001B1C2D" w:rsidRDefault="001B1C2D" w:rsidP="001B1C2D">
            <w:pPr>
              <w:rPr>
                <w:b w:val="0"/>
              </w:rPr>
            </w:pPr>
            <w:r w:rsidRPr="001B1C2D">
              <w:rPr>
                <w:b w:val="0"/>
              </w:rPr>
              <w:t>Less than 30 metres</w:t>
            </w:r>
          </w:p>
        </w:tc>
        <w:tc>
          <w:tcPr>
            <w:tcW w:w="2647" w:type="dxa"/>
          </w:tcPr>
          <w:p w14:paraId="0446E64A" w14:textId="37EE3895" w:rsidR="001B1C2D" w:rsidRDefault="001B1C2D" w:rsidP="001B1C2D">
            <w:pPr>
              <w:cnfStyle w:val="000000010000" w:firstRow="0" w:lastRow="0" w:firstColumn="0" w:lastColumn="0" w:oddVBand="0" w:evenVBand="0" w:oddHBand="0" w:evenHBand="1" w:firstRowFirstColumn="0" w:firstRowLastColumn="0" w:lastRowFirstColumn="0" w:lastRowLastColumn="0"/>
            </w:pPr>
            <w:r>
              <w:t>Degrees (°) and minutes (‘) of arc</w:t>
            </w:r>
          </w:p>
        </w:tc>
        <w:tc>
          <w:tcPr>
            <w:tcW w:w="4535" w:type="dxa"/>
          </w:tcPr>
          <w:p w14:paraId="2EFD543D" w14:textId="48FD71E3" w:rsidR="001B1C2D" w:rsidRDefault="001B1C2D" w:rsidP="001B1C2D">
            <w:pPr>
              <w:cnfStyle w:val="000000010000" w:firstRow="0" w:lastRow="0" w:firstColumn="0" w:lastColumn="0" w:oddVBand="0" w:evenVBand="0" w:oddHBand="0" w:evenHBand="1" w:firstRowFirstColumn="0" w:firstRowLastColumn="0" w:lastRowFirstColumn="0" w:lastRowLastColumn="0"/>
            </w:pPr>
            <w:r>
              <w:t>Correct to the nearest minute of arc</w:t>
            </w:r>
          </w:p>
        </w:tc>
      </w:tr>
      <w:tr w:rsidR="001B1C2D" w14:paraId="22D81321" w14:textId="77777777" w:rsidTr="221A6D92">
        <w:tc>
          <w:tcPr>
            <w:cnfStyle w:val="001000000000" w:firstRow="0" w:lastRow="0" w:firstColumn="1" w:lastColumn="0" w:oddVBand="0" w:evenVBand="0" w:oddHBand="0" w:evenHBand="0" w:firstRowFirstColumn="0" w:firstRowLastColumn="0" w:lastRowFirstColumn="0" w:lastRowLastColumn="0"/>
            <w:tcW w:w="3590" w:type="dxa"/>
          </w:tcPr>
          <w:p w14:paraId="1FB01A46" w14:textId="55A9EDAB" w:rsidR="001B1C2D" w:rsidRPr="001B1C2D" w:rsidRDefault="000A3D5E" w:rsidP="001B1C2D">
            <w:pPr>
              <w:rPr>
                <w:b w:val="0"/>
              </w:rPr>
            </w:pPr>
            <w:r>
              <w:rPr>
                <w:b w:val="0"/>
              </w:rPr>
              <w:t>Less than 30m but forming part of</w:t>
            </w:r>
            <w:r w:rsidR="001B1C2D" w:rsidRPr="001B1C2D">
              <w:rPr>
                <w:b w:val="0"/>
              </w:rPr>
              <w:t xml:space="preserve"> a longer line</w:t>
            </w:r>
          </w:p>
        </w:tc>
        <w:tc>
          <w:tcPr>
            <w:tcW w:w="2647" w:type="dxa"/>
          </w:tcPr>
          <w:p w14:paraId="41ECA6F4" w14:textId="6B4EA31A" w:rsidR="001B1C2D" w:rsidRDefault="001B1C2D" w:rsidP="001B1C2D">
            <w:pPr>
              <w:cnfStyle w:val="000000000000" w:firstRow="0" w:lastRow="0" w:firstColumn="0" w:lastColumn="0" w:oddVBand="0" w:evenVBand="0" w:oddHBand="0" w:evenHBand="0" w:firstRowFirstColumn="0" w:firstRowLastColumn="0" w:lastRowFirstColumn="0" w:lastRowLastColumn="0"/>
            </w:pPr>
            <w:r>
              <w:t>Degrees, minutes and seconds (“) of arc</w:t>
            </w:r>
          </w:p>
        </w:tc>
        <w:tc>
          <w:tcPr>
            <w:tcW w:w="4535" w:type="dxa"/>
          </w:tcPr>
          <w:p w14:paraId="2ECDA8F9" w14:textId="42D3FF47" w:rsidR="001B1C2D" w:rsidRDefault="001B1C2D" w:rsidP="001B1C2D">
            <w:pPr>
              <w:cnfStyle w:val="000000000000" w:firstRow="0" w:lastRow="0" w:firstColumn="0" w:lastColumn="0" w:oddVBand="0" w:evenVBand="0" w:oddHBand="0" w:evenHBand="0" w:firstRowFirstColumn="0" w:firstRowLastColumn="0" w:lastRowFirstColumn="0" w:lastRowLastColumn="0"/>
            </w:pPr>
            <w:r>
              <w:t>Correct to the nearest 10 seconds of arc</w:t>
            </w:r>
          </w:p>
        </w:tc>
      </w:tr>
      <w:tr w:rsidR="001B1C2D" w14:paraId="4116D209" w14:textId="77777777" w:rsidTr="221A6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7356B37A" w14:textId="59F510BF" w:rsidR="001B1C2D" w:rsidRPr="001B1C2D" w:rsidRDefault="001B1C2D" w:rsidP="001B1C2D">
            <w:pPr>
              <w:rPr>
                <w:b w:val="0"/>
              </w:rPr>
            </w:pPr>
            <w:r w:rsidRPr="001B1C2D">
              <w:rPr>
                <w:b w:val="0"/>
              </w:rPr>
              <w:t xml:space="preserve">Over 30 metres </w:t>
            </w:r>
          </w:p>
        </w:tc>
        <w:tc>
          <w:tcPr>
            <w:tcW w:w="2647" w:type="dxa"/>
          </w:tcPr>
          <w:p w14:paraId="60303200" w14:textId="299053F1" w:rsidR="001B1C2D" w:rsidRDefault="001B1C2D" w:rsidP="001B1C2D">
            <w:pPr>
              <w:cnfStyle w:val="000000010000" w:firstRow="0" w:lastRow="0" w:firstColumn="0" w:lastColumn="0" w:oddVBand="0" w:evenVBand="0" w:oddHBand="0" w:evenHBand="1" w:firstRowFirstColumn="0" w:firstRowLastColumn="0" w:lastRowFirstColumn="0" w:lastRowLastColumn="0"/>
            </w:pPr>
            <w:r>
              <w:t>Degrees, minutes and seconds (“) of arc</w:t>
            </w:r>
          </w:p>
        </w:tc>
        <w:tc>
          <w:tcPr>
            <w:tcW w:w="4535" w:type="dxa"/>
          </w:tcPr>
          <w:p w14:paraId="33FB0C62" w14:textId="20F11540" w:rsidR="001B1C2D" w:rsidRDefault="001B1C2D" w:rsidP="001B1C2D">
            <w:pPr>
              <w:cnfStyle w:val="000000010000" w:firstRow="0" w:lastRow="0" w:firstColumn="0" w:lastColumn="0" w:oddVBand="0" w:evenVBand="0" w:oddHBand="0" w:evenHBand="1" w:firstRowFirstColumn="0" w:firstRowLastColumn="0" w:lastRowFirstColumn="0" w:lastRowLastColumn="0"/>
            </w:pPr>
            <w:r>
              <w:t>Correct to the nearest 10 seconds of arc</w:t>
            </w:r>
          </w:p>
        </w:tc>
      </w:tr>
      <w:tr w:rsidR="001B1C2D" w14:paraId="676BF94E" w14:textId="77777777" w:rsidTr="221A6D92">
        <w:tc>
          <w:tcPr>
            <w:cnfStyle w:val="001000000000" w:firstRow="0" w:lastRow="0" w:firstColumn="1" w:lastColumn="0" w:oddVBand="0" w:evenVBand="0" w:oddHBand="0" w:evenHBand="0" w:firstRowFirstColumn="0" w:firstRowLastColumn="0" w:lastRowFirstColumn="0" w:lastRowLastColumn="0"/>
            <w:tcW w:w="3590" w:type="dxa"/>
          </w:tcPr>
          <w:p w14:paraId="68D8C07C" w14:textId="5BC903C7" w:rsidR="001B1C2D" w:rsidRDefault="001B1C2D" w:rsidP="001B1C2D">
            <w:r>
              <w:t>Area</w:t>
            </w:r>
          </w:p>
        </w:tc>
        <w:tc>
          <w:tcPr>
            <w:tcW w:w="2647" w:type="dxa"/>
          </w:tcPr>
          <w:p w14:paraId="5E5D37CD" w14:textId="77777777" w:rsidR="001B1C2D" w:rsidRDefault="001B1C2D" w:rsidP="001B1C2D">
            <w:pPr>
              <w:cnfStyle w:val="000000000000" w:firstRow="0" w:lastRow="0" w:firstColumn="0" w:lastColumn="0" w:oddVBand="0" w:evenVBand="0" w:oddHBand="0" w:evenHBand="0" w:firstRowFirstColumn="0" w:firstRowLastColumn="0" w:lastRowFirstColumn="0" w:lastRowLastColumn="0"/>
            </w:pPr>
          </w:p>
        </w:tc>
        <w:tc>
          <w:tcPr>
            <w:tcW w:w="4535" w:type="dxa"/>
          </w:tcPr>
          <w:p w14:paraId="3932A836" w14:textId="77777777" w:rsidR="001B1C2D" w:rsidRDefault="001B1C2D" w:rsidP="001B1C2D">
            <w:pPr>
              <w:cnfStyle w:val="000000000000" w:firstRow="0" w:lastRow="0" w:firstColumn="0" w:lastColumn="0" w:oddVBand="0" w:evenVBand="0" w:oddHBand="0" w:evenHBand="0" w:firstRowFirstColumn="0" w:firstRowLastColumn="0" w:lastRowFirstColumn="0" w:lastRowLastColumn="0"/>
            </w:pPr>
          </w:p>
        </w:tc>
      </w:tr>
      <w:tr w:rsidR="001B1C2D" w14:paraId="6E632A2C" w14:textId="77777777" w:rsidTr="221A6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43E966A0" w14:textId="250D2392" w:rsidR="001B1C2D" w:rsidRPr="001B1C2D" w:rsidRDefault="001B1C2D" w:rsidP="001B1C2D">
            <w:pPr>
              <w:rPr>
                <w:b w:val="0"/>
              </w:rPr>
            </w:pPr>
            <w:r w:rsidRPr="001B1C2D">
              <w:rPr>
                <w:b w:val="0"/>
              </w:rPr>
              <w:t>Less than 100 square metres</w:t>
            </w:r>
          </w:p>
        </w:tc>
        <w:tc>
          <w:tcPr>
            <w:tcW w:w="2647" w:type="dxa"/>
          </w:tcPr>
          <w:p w14:paraId="6C12DB98" w14:textId="041A4BF8" w:rsidR="001B1C2D" w:rsidRDefault="001B1C2D" w:rsidP="001B1C2D">
            <w:pPr>
              <w:cnfStyle w:val="000000010000" w:firstRow="0" w:lastRow="0" w:firstColumn="0" w:lastColumn="0" w:oddVBand="0" w:evenVBand="0" w:oddHBand="0" w:evenHBand="1" w:firstRowFirstColumn="0" w:firstRowLastColumn="0" w:lastRowFirstColumn="0" w:lastRowLastColumn="0"/>
            </w:pPr>
            <w:r>
              <w:t>Square metre</w:t>
            </w:r>
          </w:p>
        </w:tc>
        <w:tc>
          <w:tcPr>
            <w:tcW w:w="4535" w:type="dxa"/>
          </w:tcPr>
          <w:p w14:paraId="2A7F3D66" w14:textId="7FE117D8" w:rsidR="001B1C2D" w:rsidRDefault="001B1C2D" w:rsidP="001B1C2D">
            <w:pPr>
              <w:cnfStyle w:val="000000010000" w:firstRow="0" w:lastRow="0" w:firstColumn="0" w:lastColumn="0" w:oddVBand="0" w:evenVBand="0" w:oddHBand="0" w:evenHBand="1" w:firstRowFirstColumn="0" w:firstRowLastColumn="0" w:lastRowFirstColumn="0" w:lastRowLastColumn="0"/>
            </w:pPr>
            <w:r>
              <w:t>Correct to the nearest 0.1 square metre</w:t>
            </w:r>
          </w:p>
        </w:tc>
      </w:tr>
      <w:tr w:rsidR="001B1C2D" w14:paraId="13153739" w14:textId="77777777" w:rsidTr="221A6D92">
        <w:tc>
          <w:tcPr>
            <w:cnfStyle w:val="001000000000" w:firstRow="0" w:lastRow="0" w:firstColumn="1" w:lastColumn="0" w:oddVBand="0" w:evenVBand="0" w:oddHBand="0" w:evenHBand="0" w:firstRowFirstColumn="0" w:firstRowLastColumn="0" w:lastRowFirstColumn="0" w:lastRowLastColumn="0"/>
            <w:tcW w:w="3590" w:type="dxa"/>
          </w:tcPr>
          <w:p w14:paraId="0DA11DA1" w14:textId="795CC6DB" w:rsidR="001B1C2D" w:rsidRPr="001B1C2D" w:rsidRDefault="001B1C2D" w:rsidP="001B1C2D">
            <w:pPr>
              <w:rPr>
                <w:b w:val="0"/>
              </w:rPr>
            </w:pPr>
            <w:r w:rsidRPr="001B1C2D">
              <w:rPr>
                <w:b w:val="0"/>
              </w:rPr>
              <w:t>100 square metres and less than 1 ha</w:t>
            </w:r>
          </w:p>
        </w:tc>
        <w:tc>
          <w:tcPr>
            <w:tcW w:w="2647" w:type="dxa"/>
          </w:tcPr>
          <w:p w14:paraId="78FA69B3" w14:textId="7745B677" w:rsidR="001B1C2D" w:rsidRDefault="001B1C2D" w:rsidP="001B1C2D">
            <w:pPr>
              <w:cnfStyle w:val="000000000000" w:firstRow="0" w:lastRow="0" w:firstColumn="0" w:lastColumn="0" w:oddVBand="0" w:evenVBand="0" w:oddHBand="0" w:evenHBand="0" w:firstRowFirstColumn="0" w:firstRowLastColumn="0" w:lastRowFirstColumn="0" w:lastRowLastColumn="0"/>
            </w:pPr>
            <w:r>
              <w:t>Square metre</w:t>
            </w:r>
          </w:p>
        </w:tc>
        <w:tc>
          <w:tcPr>
            <w:tcW w:w="4535" w:type="dxa"/>
          </w:tcPr>
          <w:p w14:paraId="39B5EB6B" w14:textId="4875FD9F" w:rsidR="001B1C2D" w:rsidRDefault="001B1C2D" w:rsidP="001B1C2D">
            <w:pPr>
              <w:cnfStyle w:val="000000000000" w:firstRow="0" w:lastRow="0" w:firstColumn="0" w:lastColumn="0" w:oddVBand="0" w:evenVBand="0" w:oddHBand="0" w:evenHBand="0" w:firstRowFirstColumn="0" w:firstRowLastColumn="0" w:lastRowFirstColumn="0" w:lastRowLastColumn="0"/>
            </w:pPr>
            <w:r>
              <w:t>Correct to the nearest square metre</w:t>
            </w:r>
          </w:p>
        </w:tc>
      </w:tr>
      <w:tr w:rsidR="001B1C2D" w14:paraId="09276529" w14:textId="77777777" w:rsidTr="221A6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54B75B7A" w14:textId="2A707FC3" w:rsidR="001B1C2D" w:rsidRPr="001B1C2D" w:rsidRDefault="001B1C2D" w:rsidP="001B1C2D">
            <w:pPr>
              <w:rPr>
                <w:b w:val="0"/>
              </w:rPr>
            </w:pPr>
            <w:r>
              <w:rPr>
                <w:b w:val="0"/>
              </w:rPr>
              <w:t>1 hectare and up to 10</w:t>
            </w:r>
            <w:r w:rsidR="00870C36">
              <w:rPr>
                <w:b w:val="0"/>
              </w:rPr>
              <w:t>,</w:t>
            </w:r>
            <w:r>
              <w:rPr>
                <w:b w:val="0"/>
              </w:rPr>
              <w:t>000 hectares</w:t>
            </w:r>
          </w:p>
        </w:tc>
        <w:tc>
          <w:tcPr>
            <w:tcW w:w="2647" w:type="dxa"/>
          </w:tcPr>
          <w:p w14:paraId="193D4C83" w14:textId="2F65C307" w:rsidR="001B1C2D" w:rsidRDefault="001B1C2D" w:rsidP="001B1C2D">
            <w:pPr>
              <w:cnfStyle w:val="000000010000" w:firstRow="0" w:lastRow="0" w:firstColumn="0" w:lastColumn="0" w:oddVBand="0" w:evenVBand="0" w:oddHBand="0" w:evenHBand="1" w:firstRowFirstColumn="0" w:firstRowLastColumn="0" w:lastRowFirstColumn="0" w:lastRowLastColumn="0"/>
            </w:pPr>
            <w:r>
              <w:t>Hectare</w:t>
            </w:r>
          </w:p>
        </w:tc>
        <w:tc>
          <w:tcPr>
            <w:tcW w:w="4535" w:type="dxa"/>
          </w:tcPr>
          <w:p w14:paraId="5FACF45C" w14:textId="7B77109E" w:rsidR="001B1C2D" w:rsidRDefault="001B1C2D" w:rsidP="001B1C2D">
            <w:pPr>
              <w:cnfStyle w:val="000000010000" w:firstRow="0" w:lastRow="0" w:firstColumn="0" w:lastColumn="0" w:oddVBand="0" w:evenVBand="0" w:oddHBand="0" w:evenHBand="1" w:firstRowFirstColumn="0" w:firstRowLastColumn="0" w:lastRowFirstColumn="0" w:lastRowLastColumn="0"/>
            </w:pPr>
            <w:r>
              <w:t xml:space="preserve">Correct to four significant figures </w:t>
            </w:r>
            <w:r>
              <w:br/>
              <w:t>(e.g. 1.234 ha)</w:t>
            </w:r>
          </w:p>
        </w:tc>
      </w:tr>
      <w:tr w:rsidR="001B1C2D" w14:paraId="17E768C3" w14:textId="77777777" w:rsidTr="221A6D92">
        <w:tc>
          <w:tcPr>
            <w:cnfStyle w:val="001000000000" w:firstRow="0" w:lastRow="0" w:firstColumn="1" w:lastColumn="0" w:oddVBand="0" w:evenVBand="0" w:oddHBand="0" w:evenHBand="0" w:firstRowFirstColumn="0" w:firstRowLastColumn="0" w:lastRowFirstColumn="0" w:lastRowLastColumn="0"/>
            <w:tcW w:w="3590" w:type="dxa"/>
          </w:tcPr>
          <w:p w14:paraId="562C1A2D" w14:textId="0DC3E91C" w:rsidR="001B1C2D" w:rsidRPr="001B1C2D" w:rsidRDefault="001B1C2D" w:rsidP="001B1C2D">
            <w:pPr>
              <w:rPr>
                <w:b w:val="0"/>
              </w:rPr>
            </w:pPr>
            <w:r>
              <w:rPr>
                <w:b w:val="0"/>
              </w:rPr>
              <w:t>Over 10</w:t>
            </w:r>
            <w:r w:rsidR="00870C36">
              <w:rPr>
                <w:b w:val="0"/>
              </w:rPr>
              <w:t>,</w:t>
            </w:r>
            <w:r>
              <w:rPr>
                <w:b w:val="0"/>
              </w:rPr>
              <w:t>000 hectares</w:t>
            </w:r>
          </w:p>
        </w:tc>
        <w:tc>
          <w:tcPr>
            <w:tcW w:w="2647" w:type="dxa"/>
          </w:tcPr>
          <w:p w14:paraId="74F526E2" w14:textId="0F470D59" w:rsidR="001B1C2D" w:rsidRDefault="001B1C2D" w:rsidP="001B1C2D">
            <w:pPr>
              <w:cnfStyle w:val="000000000000" w:firstRow="0" w:lastRow="0" w:firstColumn="0" w:lastColumn="0" w:oddVBand="0" w:evenVBand="0" w:oddHBand="0" w:evenHBand="0" w:firstRowFirstColumn="0" w:firstRowLastColumn="0" w:lastRowFirstColumn="0" w:lastRowLastColumn="0"/>
            </w:pPr>
            <w:r>
              <w:t>Square kilometre</w:t>
            </w:r>
          </w:p>
        </w:tc>
        <w:tc>
          <w:tcPr>
            <w:tcW w:w="4535" w:type="dxa"/>
          </w:tcPr>
          <w:p w14:paraId="7BE19393" w14:textId="1C66D313" w:rsidR="001B1C2D" w:rsidRDefault="001B1C2D" w:rsidP="001B1C2D">
            <w:pPr>
              <w:cnfStyle w:val="000000000000" w:firstRow="0" w:lastRow="0" w:firstColumn="0" w:lastColumn="0" w:oddVBand="0" w:evenVBand="0" w:oddHBand="0" w:evenHBand="0" w:firstRowFirstColumn="0" w:firstRowLastColumn="0" w:lastRowFirstColumn="0" w:lastRowLastColumn="0"/>
            </w:pPr>
            <w:r>
              <w:t xml:space="preserve">Correct to four significant figures </w:t>
            </w:r>
            <w:r>
              <w:br/>
              <w:t>(e.g. 1.234 km²)</w:t>
            </w:r>
          </w:p>
        </w:tc>
      </w:tr>
      <w:tr w:rsidR="001B1C2D" w14:paraId="2F3D3A6C" w14:textId="77777777" w:rsidTr="221A6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037A114C" w14:textId="757386B9" w:rsidR="001B1C2D" w:rsidRDefault="001B1C2D" w:rsidP="001B1C2D">
            <w:r w:rsidRPr="002650E5">
              <w:t>Height</w:t>
            </w:r>
          </w:p>
        </w:tc>
        <w:tc>
          <w:tcPr>
            <w:tcW w:w="2647" w:type="dxa"/>
          </w:tcPr>
          <w:p w14:paraId="7CF63E76" w14:textId="77777777" w:rsidR="001B1C2D" w:rsidRDefault="001B1C2D" w:rsidP="001B1C2D">
            <w:pPr>
              <w:cnfStyle w:val="000000010000" w:firstRow="0" w:lastRow="0" w:firstColumn="0" w:lastColumn="0" w:oddVBand="0" w:evenVBand="0" w:oddHBand="0" w:evenHBand="1" w:firstRowFirstColumn="0" w:firstRowLastColumn="0" w:lastRowFirstColumn="0" w:lastRowLastColumn="0"/>
            </w:pPr>
          </w:p>
        </w:tc>
        <w:tc>
          <w:tcPr>
            <w:tcW w:w="4535" w:type="dxa"/>
          </w:tcPr>
          <w:p w14:paraId="0DC73B5E" w14:textId="77777777" w:rsidR="001B1C2D" w:rsidRDefault="001B1C2D" w:rsidP="001B1C2D">
            <w:pPr>
              <w:cnfStyle w:val="000000010000" w:firstRow="0" w:lastRow="0" w:firstColumn="0" w:lastColumn="0" w:oddVBand="0" w:evenVBand="0" w:oddHBand="0" w:evenHBand="1" w:firstRowFirstColumn="0" w:firstRowLastColumn="0" w:lastRowFirstColumn="0" w:lastRowLastColumn="0"/>
            </w:pPr>
          </w:p>
        </w:tc>
      </w:tr>
      <w:tr w:rsidR="001B1C2D" w14:paraId="6BCC0D89" w14:textId="77777777" w:rsidTr="221A6D92">
        <w:tc>
          <w:tcPr>
            <w:cnfStyle w:val="001000000000" w:firstRow="0" w:lastRow="0" w:firstColumn="1" w:lastColumn="0" w:oddVBand="0" w:evenVBand="0" w:oddHBand="0" w:evenHBand="0" w:firstRowFirstColumn="0" w:firstRowLastColumn="0" w:lastRowFirstColumn="0" w:lastRowLastColumn="0"/>
            <w:tcW w:w="3590" w:type="dxa"/>
          </w:tcPr>
          <w:p w14:paraId="2FD75F93" w14:textId="6C046CE0" w:rsidR="001B1C2D" w:rsidRPr="001B1C2D" w:rsidRDefault="001B1C2D" w:rsidP="001B1C2D">
            <w:pPr>
              <w:rPr>
                <w:b w:val="0"/>
              </w:rPr>
            </w:pPr>
            <w:r w:rsidRPr="001B1C2D">
              <w:rPr>
                <w:b w:val="0"/>
              </w:rPr>
              <w:t>Reduced Level</w:t>
            </w:r>
          </w:p>
        </w:tc>
        <w:tc>
          <w:tcPr>
            <w:tcW w:w="2647" w:type="dxa"/>
          </w:tcPr>
          <w:p w14:paraId="747A48E4" w14:textId="00D1CF61" w:rsidR="001B1C2D" w:rsidRDefault="001B1C2D" w:rsidP="001B1C2D">
            <w:pPr>
              <w:cnfStyle w:val="000000000000" w:firstRow="0" w:lastRow="0" w:firstColumn="0" w:lastColumn="0" w:oddVBand="0" w:evenVBand="0" w:oddHBand="0" w:evenHBand="0" w:firstRowFirstColumn="0" w:firstRowLastColumn="0" w:lastRowFirstColumn="0" w:lastRowLastColumn="0"/>
            </w:pPr>
            <w:r>
              <w:t>Metre</w:t>
            </w:r>
          </w:p>
        </w:tc>
        <w:tc>
          <w:tcPr>
            <w:tcW w:w="4535" w:type="dxa"/>
          </w:tcPr>
          <w:p w14:paraId="124B3F67" w14:textId="0C0D7569" w:rsidR="001B1C2D" w:rsidRDefault="001B1C2D" w:rsidP="001B1C2D">
            <w:pPr>
              <w:cnfStyle w:val="000000000000" w:firstRow="0" w:lastRow="0" w:firstColumn="0" w:lastColumn="0" w:oddVBand="0" w:evenVBand="0" w:oddHBand="0" w:evenHBand="0" w:firstRowFirstColumn="0" w:firstRowLastColumn="0" w:lastRowFirstColumn="0" w:lastRowLastColumn="0"/>
            </w:pPr>
            <w:r>
              <w:t>Correct to the nearest 0.01 metre</w:t>
            </w:r>
          </w:p>
        </w:tc>
      </w:tr>
    </w:tbl>
    <w:p w14:paraId="4B51BDB1" w14:textId="77777777" w:rsidR="00E823B8" w:rsidRDefault="00E823B8"/>
    <w:p w14:paraId="7C06A943" w14:textId="2E08572C" w:rsidR="005B6BAA" w:rsidRPr="00363CAA" w:rsidRDefault="005B6BAA" w:rsidP="000F7B10">
      <w:pPr>
        <w:pStyle w:val="Heading1-Numbered"/>
        <w:numPr>
          <w:ilvl w:val="0"/>
          <w:numId w:val="53"/>
        </w:numPr>
      </w:pPr>
      <w:bookmarkStart w:id="86" w:name="_Toc215483396"/>
      <w:r>
        <w:t>General advice</w:t>
      </w:r>
      <w:bookmarkEnd w:id="86"/>
    </w:p>
    <w:p w14:paraId="3F5B2C12" w14:textId="32276E81" w:rsidR="005B6BAA" w:rsidRPr="001D7902" w:rsidRDefault="005B6BAA" w:rsidP="000F7B10">
      <w:pPr>
        <w:pStyle w:val="Heading2-Numbered"/>
        <w:numPr>
          <w:ilvl w:val="1"/>
          <w:numId w:val="53"/>
        </w:numPr>
      </w:pPr>
      <w:bookmarkStart w:id="87" w:name="_Toc215483397"/>
      <w:r w:rsidRPr="005B6BAA">
        <w:t>Surveyor-General consent to Crown land boundary determinations</w:t>
      </w:r>
      <w:bookmarkEnd w:id="87"/>
    </w:p>
    <w:p w14:paraId="549A8C66" w14:textId="77777777" w:rsidR="00F34081" w:rsidRPr="00561506" w:rsidRDefault="00F34081" w:rsidP="00F34081">
      <w:pPr>
        <w:pStyle w:val="BodyText"/>
      </w:pPr>
      <w:r w:rsidRPr="00561506">
        <w:t>A role of the Surveyor</w:t>
      </w:r>
      <w:r>
        <w:t>-General, set out in Section 42 of the</w:t>
      </w:r>
      <w:r w:rsidRPr="00561506">
        <w:t xml:space="preserve"> </w:t>
      </w:r>
      <w:r w:rsidRPr="00561506">
        <w:rPr>
          <w:i/>
        </w:rPr>
        <w:t>Surveying Act 2004</w:t>
      </w:r>
      <w:r w:rsidRPr="00561506">
        <w:t>, is the formal determination of government road alignments and/or Crown land boundaries. The Surveyor-General’s consent is primarily sought when insufficient land exists to maintain widths of government roads; when differences exist within parcels such that title dimensions cannot be maintained to adjoining Crown land; or, when parcel boundaries are defined by a relationship to a water feature such as a river, lake or the sea.</w:t>
      </w:r>
    </w:p>
    <w:p w14:paraId="061A0713" w14:textId="2B08AC3A" w:rsidR="00F34081" w:rsidRDefault="00F34081" w:rsidP="00F34081">
      <w:pPr>
        <w:pStyle w:val="GreyText"/>
      </w:pPr>
      <w:r w:rsidRPr="00561506">
        <w:t xml:space="preserve">Surveyors are advised to seek consent to the position of the alignments of government roads and other Crown land boundaries prior to plans being lodged with </w:t>
      </w:r>
      <w:r>
        <w:t>LUV</w:t>
      </w:r>
      <w:r w:rsidRPr="00561506">
        <w:t xml:space="preserve"> for registration. The Surveyor-General will not provide consent without receiving a formal request from the surveyor accompanied by supporting documentary evidence such as a worksheet or abstract of field records, licensed surveyor’s report and photos of the Crown land boundaries. </w:t>
      </w:r>
      <w:r>
        <w:t xml:space="preserve">The request, and supporting documents, must be supplied by email to </w:t>
      </w:r>
      <w:hyperlink r:id="rId67" w:history="1">
        <w:r w:rsidR="000A3D5E" w:rsidRPr="00A02905">
          <w:rPr>
            <w:rStyle w:val="Hyperlink"/>
            <w:b/>
            <w:bCs/>
          </w:rPr>
          <w:t>surveyor.general@transport.vic.gov.au</w:t>
        </w:r>
      </w:hyperlink>
      <w:r>
        <w:t xml:space="preserve"> and are typically processed within 45 days.</w:t>
      </w:r>
    </w:p>
    <w:p w14:paraId="25F7E67E" w14:textId="7362A242" w:rsidR="005B6BAA" w:rsidRPr="001D7902" w:rsidRDefault="005B6BAA" w:rsidP="000F7B10">
      <w:pPr>
        <w:pStyle w:val="Heading2-Numbered"/>
        <w:numPr>
          <w:ilvl w:val="1"/>
          <w:numId w:val="53"/>
        </w:numPr>
      </w:pPr>
      <w:bookmarkStart w:id="88" w:name="_Toc215483398"/>
      <w:r w:rsidRPr="005B6BAA">
        <w:lastRenderedPageBreak/>
        <w:t>State border determinations</w:t>
      </w:r>
      <w:bookmarkEnd w:id="88"/>
    </w:p>
    <w:p w14:paraId="44E7E3CD" w14:textId="0B35ECD8" w:rsidR="00F34081" w:rsidRPr="00561506" w:rsidRDefault="00F34081" w:rsidP="00F34081">
      <w:pPr>
        <w:pStyle w:val="BodyText"/>
      </w:pPr>
      <w:r w:rsidRPr="00561506">
        <w:t xml:space="preserve">The Surveyor-General is responsible for advising on the position of state borders. Surveyors who determine land boundaries that form part of the state border must present the results of their survey to the respective Surveyors-General for agreement. </w:t>
      </w:r>
      <w:r>
        <w:t>SGV</w:t>
      </w:r>
      <w:r w:rsidRPr="00561506">
        <w:t xml:space="preserve"> should be contacted in the preliminary stages of performing such a survey to identify the procedure, type of survey evidence and the format of the plan to be presented for agreement by the Surveyors-General.</w:t>
      </w:r>
    </w:p>
    <w:p w14:paraId="5EFA7B2E" w14:textId="0A892585" w:rsidR="00004BA5" w:rsidRPr="002B5C3F" w:rsidRDefault="00F34081" w:rsidP="00A02905">
      <w:pPr>
        <w:pStyle w:val="BodyText"/>
        <w:rPr>
          <w:b/>
          <w:bCs/>
        </w:rPr>
      </w:pPr>
      <w:r w:rsidRPr="00561506">
        <w:t xml:space="preserve">Specific advice on the determination of the state border between New South Wales and Victoria along the Murray River </w:t>
      </w:r>
      <w:r>
        <w:t xml:space="preserve">is provided in the publication </w:t>
      </w:r>
      <w:hyperlink r:id="rId68" w:history="1">
        <w:r w:rsidRPr="00A02905">
          <w:rPr>
            <w:rStyle w:val="Hyperlink"/>
            <w:b/>
            <w:bCs/>
          </w:rPr>
          <w:t>NSW-VIC Border Determination</w:t>
        </w:r>
      </w:hyperlink>
      <w:r>
        <w:t xml:space="preserve"> available at: </w:t>
      </w:r>
      <w:hyperlink r:id="rId69" w:history="1">
        <w:r w:rsidR="00621CC7" w:rsidRPr="002B5C3F">
          <w:rPr>
            <w:rStyle w:val="Hyperlink"/>
            <w:b/>
            <w:bCs/>
          </w:rPr>
          <w:t>www.land.vic.gov.au/surveying/professional-resources/ambulatory-boundaries</w:t>
        </w:r>
      </w:hyperlink>
    </w:p>
    <w:p w14:paraId="3FA613E0" w14:textId="1EADF078" w:rsidR="00004BA5" w:rsidRDefault="00004BA5" w:rsidP="000F7B10">
      <w:pPr>
        <w:pStyle w:val="Heading2-Numbered"/>
        <w:numPr>
          <w:ilvl w:val="1"/>
          <w:numId w:val="53"/>
        </w:numPr>
      </w:pPr>
      <w:bookmarkStart w:id="89" w:name="_Toc215483399"/>
      <w:r>
        <w:t>Ad Medium Filum Aquae</w:t>
      </w:r>
      <w:bookmarkEnd w:id="89"/>
    </w:p>
    <w:p w14:paraId="4832E39B" w14:textId="77777777" w:rsidR="000A3D5E" w:rsidRDefault="000A3D5E" w:rsidP="000A3D5E">
      <w:r>
        <w:t>There has been an increase in NSW Ad Medium Filum Aquae applications along the Murray River which require a determination of the State Border to determine the centreline of the river.</w:t>
      </w:r>
    </w:p>
    <w:p w14:paraId="6352902A" w14:textId="77777777" w:rsidR="000A3D5E" w:rsidRDefault="000A3D5E" w:rsidP="000A3D5E">
      <w:r>
        <w:t>A Deposited Plan (DP) and Administration Sheet are to be prepared, with the DP Administration Sheet containing a section that allows for both Surveyors-General to provide their consent to the position of the State Border.</w:t>
      </w:r>
    </w:p>
    <w:p w14:paraId="717199CF" w14:textId="4E241DCD" w:rsidR="000A3D5E" w:rsidRPr="00004BA5" w:rsidRDefault="000A3D5E" w:rsidP="000A3D5E">
      <w:pPr>
        <w:rPr>
          <w:rStyle w:val="Hyperlink"/>
          <w:color w:val="000000" w:themeColor="text1"/>
          <w:u w:val="none"/>
        </w:rPr>
      </w:pPr>
      <w:r>
        <w:t>The NSW Land Registry is aware that any Ad Medium Filum Aquae applications for the Murray River must be referred to the NSW Surveyor-General’s Department to investigate the determination of the State Border and consent to its adoption. Once they are satisfied with the State Border determination, all the information including the Administration Sheet is forwarded to the Surveyor-General of Victoria to consent to the State Border determination. The signed Administration Sheet is subsequently returned to NSW Surveyor-General who then forwards it to the NSW Land Registry for them to continue to process the application.</w:t>
      </w:r>
    </w:p>
    <w:p w14:paraId="39108381" w14:textId="352014BF" w:rsidR="005B6BAA" w:rsidRPr="001D7902" w:rsidRDefault="005B6BAA" w:rsidP="000F7B10">
      <w:pPr>
        <w:pStyle w:val="Heading2-Numbered"/>
        <w:numPr>
          <w:ilvl w:val="1"/>
          <w:numId w:val="53"/>
        </w:numPr>
      </w:pPr>
      <w:bookmarkStart w:id="90" w:name="_Toc215483400"/>
      <w:r w:rsidRPr="005B6BAA">
        <w:t>Consideration of the width of road</w:t>
      </w:r>
      <w:r>
        <w:t>s</w:t>
      </w:r>
      <w:bookmarkEnd w:id="90"/>
    </w:p>
    <w:p w14:paraId="02CDCCF2" w14:textId="77777777" w:rsidR="00F34081" w:rsidRPr="00561506" w:rsidRDefault="00F34081" w:rsidP="00F34081">
      <w:pPr>
        <w:pStyle w:val="BodyText"/>
      </w:pPr>
      <w:r w:rsidRPr="00561506">
        <w:t>From time to time, surveyors adopt alignments without consideration to, or awareness of, the impact of their decisions on the land within the road ‘reserve’. It appears this situation arises when surveyors fail to survey an area of sufficient extent or measure the widths of roads.</w:t>
      </w:r>
    </w:p>
    <w:p w14:paraId="2C3C0AD9" w14:textId="77777777" w:rsidR="00F34081" w:rsidRPr="00561506" w:rsidRDefault="00F34081" w:rsidP="00F34081">
      <w:pPr>
        <w:pStyle w:val="BodyText"/>
      </w:pPr>
      <w:r w:rsidRPr="00561506">
        <w:t xml:space="preserve">The </w:t>
      </w:r>
      <w:r w:rsidRPr="00561506">
        <w:rPr>
          <w:i/>
        </w:rPr>
        <w:t>Road Management Act 2004</w:t>
      </w:r>
      <w:r w:rsidRPr="00561506">
        <w:t xml:space="preserve"> and associated administrative processes highlight the need for surveyors to measure, record and give due consideration to occupation across and along streets and roads throughout Victoria when determining street and road alignments.</w:t>
      </w:r>
    </w:p>
    <w:p w14:paraId="6E74FC45" w14:textId="167903C0" w:rsidR="00F34081" w:rsidRDefault="00F34081" w:rsidP="00F34081">
      <w:pPr>
        <w:pStyle w:val="GreyText"/>
      </w:pPr>
      <w:r w:rsidRPr="00561506">
        <w:t xml:space="preserve">Sections 7.4, 7.8 and 7.9, </w:t>
      </w:r>
      <w:r>
        <w:t xml:space="preserve">Part 2, </w:t>
      </w:r>
      <w:hyperlink r:id="rId70" w:history="1">
        <w:r w:rsidRPr="5791EC15">
          <w:rPr>
            <w:rStyle w:val="Hyperlink"/>
            <w:b/>
            <w:bCs/>
          </w:rPr>
          <w:t>Survey Practice Handbook – Victoria</w:t>
        </w:r>
      </w:hyperlink>
      <w:r w:rsidRPr="5791EC15">
        <w:rPr>
          <w:i/>
          <w:iCs/>
        </w:rPr>
        <w:t xml:space="preserve"> </w:t>
      </w:r>
      <w:r w:rsidRPr="00561506">
        <w:t>refer to the requirements to measure and record aspects relating to road widths.</w:t>
      </w:r>
    </w:p>
    <w:p w14:paraId="771B4A6A" w14:textId="284D4700" w:rsidR="005B6BAA" w:rsidRPr="001D7902" w:rsidRDefault="00B22BDF" w:rsidP="000F7B10">
      <w:pPr>
        <w:pStyle w:val="Heading2-Numbered"/>
        <w:numPr>
          <w:ilvl w:val="1"/>
          <w:numId w:val="53"/>
        </w:numPr>
      </w:pPr>
      <w:r>
        <w:t xml:space="preserve"> </w:t>
      </w:r>
      <w:bookmarkStart w:id="91" w:name="_Toc215483401"/>
      <w:r w:rsidR="005B6BAA" w:rsidRPr="005B6BAA">
        <w:t>Mean High Water Mark determinations</w:t>
      </w:r>
      <w:bookmarkEnd w:id="91"/>
    </w:p>
    <w:p w14:paraId="419DA12A" w14:textId="2124B3AC" w:rsidR="000A3D5E" w:rsidRPr="003E7CF4" w:rsidRDefault="000A3D5E" w:rsidP="000A3D5E">
      <w:r w:rsidRPr="003E7CF4">
        <w:t xml:space="preserve">From a survey point of view, the mean </w:t>
      </w:r>
      <w:r>
        <w:t>high water mark (</w:t>
      </w:r>
      <w:r w:rsidRPr="003E7CF4">
        <w:t>HWM</w:t>
      </w:r>
      <w:r>
        <w:t>)</w:t>
      </w:r>
      <w:r w:rsidRPr="003E7CF4">
        <w:t xml:space="preserve"> is the average high water mark between the neap and spring tides, with the neap tide being HWM soon after the 1st and 3rd quarters of the moon and the spring tide being soon after the new and full moon. It is therefore recommended that a series of measurements to high water mark be taken over at least a 30 day period from which a mean HWM can be determined.</w:t>
      </w:r>
    </w:p>
    <w:p w14:paraId="573CAD7C" w14:textId="2C1158C8" w:rsidR="000A3D5E" w:rsidRPr="003E7CF4" w:rsidRDefault="000A3D5E" w:rsidP="000A3D5E">
      <w:r>
        <w:t>If the position of mean HWM is to be adopted, the licensed surveyor must state in their report that, in their opinion, the movement of the boundary has been gradual and imperceptible and a result of natural processes in accordance with the Doctrine of Accretion and Erosion. Where the adopted position is significantly different to title, evidence in the form of a Statutory Declaration or a report from a suitable expert (e.g. coastal engineer) should also be sought and provided.</w:t>
      </w:r>
    </w:p>
    <w:p w14:paraId="4DD85719" w14:textId="77777777" w:rsidR="000A3D5E" w:rsidRDefault="000A3D5E" w:rsidP="000A3D5E">
      <w:pPr>
        <w:pStyle w:val="GreyText"/>
      </w:pPr>
      <w:r w:rsidRPr="003E7CF4">
        <w:lastRenderedPageBreak/>
        <w:t>It</w:t>
      </w:r>
      <w:r>
        <w:t xml:space="preserve"> is advised that</w:t>
      </w:r>
      <w:r w:rsidRPr="003E7CF4">
        <w:t xml:space="preserve"> </w:t>
      </w:r>
      <w:r>
        <w:t xml:space="preserve">the </w:t>
      </w:r>
      <w:r w:rsidRPr="003E7CF4">
        <w:t xml:space="preserve">Surveyor-General's consent to </w:t>
      </w:r>
      <w:r>
        <w:t>a</w:t>
      </w:r>
      <w:r w:rsidRPr="003E7CF4">
        <w:t xml:space="preserve"> mean HWM boundary adopt</w:t>
      </w:r>
      <w:r>
        <w:t>ion is sought</w:t>
      </w:r>
      <w:r w:rsidRPr="003E7CF4">
        <w:t xml:space="preserve"> prior to lodging </w:t>
      </w:r>
      <w:r>
        <w:t xml:space="preserve">the </w:t>
      </w:r>
      <w:r w:rsidRPr="003E7CF4">
        <w:t xml:space="preserve">survey documents </w:t>
      </w:r>
      <w:r>
        <w:t xml:space="preserve">with </w:t>
      </w:r>
      <w:r w:rsidRPr="003E7CF4">
        <w:t>Land Use Victoria.</w:t>
      </w:r>
    </w:p>
    <w:p w14:paraId="16E22C29" w14:textId="2ACC8439" w:rsidR="00F34081" w:rsidRPr="00F34081" w:rsidRDefault="00F34081" w:rsidP="000F7B10">
      <w:pPr>
        <w:pStyle w:val="Heading2-Numbered"/>
        <w:numPr>
          <w:ilvl w:val="1"/>
          <w:numId w:val="53"/>
        </w:numPr>
      </w:pPr>
      <w:bookmarkStart w:id="92" w:name="_Toc215483402"/>
      <w:r w:rsidRPr="00F34081">
        <w:t>Converting natural boundaries to Metes and Bounds</w:t>
      </w:r>
      <w:bookmarkEnd w:id="92"/>
    </w:p>
    <w:p w14:paraId="40896B15" w14:textId="77777777" w:rsidR="000A3D5E" w:rsidRPr="00A755D9" w:rsidRDefault="000A3D5E" w:rsidP="000A3D5E">
      <w:pPr>
        <w:pStyle w:val="BodyText"/>
        <w:rPr>
          <w:iCs/>
        </w:rPr>
      </w:pPr>
      <w:r w:rsidRPr="00A755D9">
        <w:rPr>
          <w:iCs/>
        </w:rPr>
        <w:t>Where a freehold boundary is defined by a reserve boundary</w:t>
      </w:r>
      <w:r>
        <w:rPr>
          <w:iCs/>
        </w:rPr>
        <w:t xml:space="preserve"> which is offset</w:t>
      </w:r>
      <w:r w:rsidRPr="00A755D9">
        <w:rPr>
          <w:iCs/>
        </w:rPr>
        <w:t xml:space="preserve"> from a river, lake or high</w:t>
      </w:r>
      <w:r>
        <w:rPr>
          <w:iCs/>
        </w:rPr>
        <w:t xml:space="preserve"> </w:t>
      </w:r>
      <w:r w:rsidRPr="00A755D9">
        <w:rPr>
          <w:iCs/>
        </w:rPr>
        <w:t>water mark</w:t>
      </w:r>
      <w:r>
        <w:rPr>
          <w:iCs/>
        </w:rPr>
        <w:t xml:space="preserve"> by a nominated distance</w:t>
      </w:r>
      <w:r w:rsidRPr="00A755D9">
        <w:rPr>
          <w:iCs/>
        </w:rPr>
        <w:t xml:space="preserve">, it is </w:t>
      </w:r>
      <w:r>
        <w:rPr>
          <w:iCs/>
        </w:rPr>
        <w:t>recommended</w:t>
      </w:r>
      <w:r w:rsidRPr="00A755D9">
        <w:rPr>
          <w:iCs/>
        </w:rPr>
        <w:t xml:space="preserve"> to </w:t>
      </w:r>
      <w:r>
        <w:rPr>
          <w:iCs/>
        </w:rPr>
        <w:t>convert</w:t>
      </w:r>
      <w:r w:rsidRPr="00A755D9">
        <w:rPr>
          <w:iCs/>
        </w:rPr>
        <w:t xml:space="preserve"> this boundary </w:t>
      </w:r>
      <w:r>
        <w:rPr>
          <w:iCs/>
        </w:rPr>
        <w:t>to</w:t>
      </w:r>
      <w:r w:rsidRPr="00A755D9">
        <w:rPr>
          <w:iCs/>
        </w:rPr>
        <w:t xml:space="preserve"> a series of straight </w:t>
      </w:r>
      <w:r>
        <w:rPr>
          <w:iCs/>
        </w:rPr>
        <w:t xml:space="preserve">dimensioned </w:t>
      </w:r>
      <w:r w:rsidRPr="00A755D9">
        <w:rPr>
          <w:iCs/>
        </w:rPr>
        <w:t xml:space="preserve">lines. </w:t>
      </w:r>
    </w:p>
    <w:p w14:paraId="72DDEAFA" w14:textId="77777777" w:rsidR="000A3D5E" w:rsidRPr="00741AB8" w:rsidRDefault="000A3D5E" w:rsidP="000A3D5E">
      <w:pPr>
        <w:rPr>
          <w:iCs/>
        </w:rPr>
      </w:pPr>
      <w:r w:rsidRPr="00A755D9">
        <w:rPr>
          <w:iCs/>
        </w:rPr>
        <w:t>Where a survey is creating straight</w:t>
      </w:r>
      <w:r>
        <w:rPr>
          <w:iCs/>
        </w:rPr>
        <w:t xml:space="preserve"> dimensioned</w:t>
      </w:r>
      <w:r w:rsidRPr="00A755D9">
        <w:rPr>
          <w:iCs/>
        </w:rPr>
        <w:t xml:space="preserve"> lines for this </w:t>
      </w:r>
      <w:r>
        <w:rPr>
          <w:iCs/>
        </w:rPr>
        <w:t xml:space="preserve">type of </w:t>
      </w:r>
      <w:r w:rsidRPr="00A755D9">
        <w:rPr>
          <w:iCs/>
        </w:rPr>
        <w:t xml:space="preserve">Crown boundary </w:t>
      </w:r>
      <w:r w:rsidRPr="00523764">
        <w:rPr>
          <w:iCs/>
        </w:rPr>
        <w:t xml:space="preserve">and it is to be registered with Land Registry Services, the </w:t>
      </w:r>
      <w:r>
        <w:rPr>
          <w:iCs/>
        </w:rPr>
        <w:t>L</w:t>
      </w:r>
      <w:r w:rsidRPr="00523764">
        <w:rPr>
          <w:iCs/>
        </w:rPr>
        <w:t xml:space="preserve">icensed surveyor should seek approval (consent) from the </w:t>
      </w:r>
      <w:r>
        <w:rPr>
          <w:iCs/>
        </w:rPr>
        <w:t>Surveyor-General</w:t>
      </w:r>
      <w:r w:rsidRPr="00523764">
        <w:rPr>
          <w:iCs/>
        </w:rPr>
        <w:t>. See section 9.1 for further</w:t>
      </w:r>
      <w:r w:rsidRPr="00A755D9">
        <w:rPr>
          <w:iCs/>
        </w:rPr>
        <w:t xml:space="preserve"> details.</w:t>
      </w:r>
    </w:p>
    <w:p w14:paraId="04B46A4D" w14:textId="7E3DB81F" w:rsidR="00F34081" w:rsidRDefault="00F34081" w:rsidP="000F7B10">
      <w:pPr>
        <w:pStyle w:val="Heading2-Numbered"/>
        <w:numPr>
          <w:ilvl w:val="1"/>
          <w:numId w:val="53"/>
        </w:numPr>
      </w:pPr>
      <w:bookmarkStart w:id="93" w:name="_Toc215483403"/>
      <w:r w:rsidRPr="00F34081">
        <w:t>Adopting</w:t>
      </w:r>
      <w:r w:rsidR="00741AB8">
        <w:t xml:space="preserve"> occupation as a</w:t>
      </w:r>
      <w:r w:rsidRPr="00F34081">
        <w:t xml:space="preserve"> Crown boundar</w:t>
      </w:r>
      <w:r w:rsidR="00741AB8">
        <w:t xml:space="preserve">y </w:t>
      </w:r>
      <w:r w:rsidRPr="00F34081">
        <w:t>under Section 271</w:t>
      </w:r>
      <w:r w:rsidR="00741AB8">
        <w:t xml:space="preserve">, </w:t>
      </w:r>
      <w:r w:rsidR="00741AB8" w:rsidRPr="002B5C3F">
        <w:rPr>
          <w:i/>
        </w:rPr>
        <w:t>Property Law Act 1958</w:t>
      </w:r>
      <w:bookmarkEnd w:id="93"/>
    </w:p>
    <w:p w14:paraId="19D9C065" w14:textId="77777777" w:rsidR="000A3D5E" w:rsidRDefault="000A3D5E" w:rsidP="000A3D5E">
      <w:r w:rsidRPr="00741AB8">
        <w:t>When adopting occupation as prima facie evidence of the most likely position of the original Crown Survey boundary marks</w:t>
      </w:r>
      <w:r>
        <w:t>,</w:t>
      </w:r>
      <w:r w:rsidRPr="00741AB8">
        <w:t xml:space="preserve"> a </w:t>
      </w:r>
      <w:r>
        <w:t>l</w:t>
      </w:r>
      <w:r w:rsidRPr="00741AB8">
        <w:t xml:space="preserve">icenced </w:t>
      </w:r>
      <w:r>
        <w:t>s</w:t>
      </w:r>
      <w:r w:rsidRPr="00741AB8">
        <w:t xml:space="preserve">urveyor should endeavour to maintain the intention of the original Crown Boundary. For example, maintaining a straight line as per </w:t>
      </w:r>
      <w:r>
        <w:t xml:space="preserve">the </w:t>
      </w:r>
      <w:r w:rsidRPr="00741AB8">
        <w:t xml:space="preserve">original Crown Survey or </w:t>
      </w:r>
      <w:r>
        <w:t xml:space="preserve">Crown </w:t>
      </w:r>
      <w:r w:rsidRPr="00741AB8">
        <w:t>grant.</w:t>
      </w:r>
    </w:p>
    <w:p w14:paraId="51B6A321" w14:textId="087E8C53" w:rsidR="000A3D5E" w:rsidRDefault="000A3D5E" w:rsidP="000A3D5E">
      <w:r>
        <w:t xml:space="preserve">That said, at times it may be appropriate for minor bends to be introduced into longer </w:t>
      </w:r>
      <w:r w:rsidR="00EA3F11">
        <w:t>‘</w:t>
      </w:r>
      <w:r>
        <w:t>straight</w:t>
      </w:r>
      <w:r w:rsidR="00EA3F11">
        <w:t>’</w:t>
      </w:r>
      <w:r>
        <w:t xml:space="preserve"> boundaries under the provisions of section 271(b) and 271(c) of the </w:t>
      </w:r>
      <w:r w:rsidRPr="002B5C3F">
        <w:rPr>
          <w:i/>
          <w:iCs/>
        </w:rPr>
        <w:t>Property Law Act 1958</w:t>
      </w:r>
      <w:r>
        <w:t xml:space="preserve">, provided that the licenced surveyor considers that it is </w:t>
      </w:r>
      <w:r w:rsidR="00EA3F11">
        <w:t>‘</w:t>
      </w:r>
      <w:r>
        <w:t>reasonable</w:t>
      </w:r>
      <w:r w:rsidR="00EA3F11">
        <w:t>’</w:t>
      </w:r>
      <w:r>
        <w:t xml:space="preserve"> for the adjoining occupiers to have accepted that the occupation agrees with the position of the original boundary marks. Consideration should be given to the age of the original survey, length of the boundary, the terrain, any natural obstacles along the boundary, the extent of deviation from a straight line and history of land tenure when determining if the occupiers could have </w:t>
      </w:r>
      <w:r w:rsidR="00EA3F11">
        <w:t>‘</w:t>
      </w:r>
      <w:r>
        <w:t>reasonably</w:t>
      </w:r>
      <w:r w:rsidR="00EA3F11">
        <w:t>’</w:t>
      </w:r>
      <w:r>
        <w:t xml:space="preserve"> accepted that the occupation accords with the original boundary marks. Refer to Guidance Note 5 – Principles of Re-establishment for further details.</w:t>
      </w:r>
    </w:p>
    <w:p w14:paraId="669D0AEB" w14:textId="77777777" w:rsidR="000A3D5E" w:rsidRPr="00741AB8" w:rsidRDefault="000A3D5E" w:rsidP="000A3D5E">
      <w:r w:rsidRPr="00741AB8">
        <w:t xml:space="preserve">If introducing bends into </w:t>
      </w:r>
      <w:r>
        <w:t xml:space="preserve">what was originally intended to be </w:t>
      </w:r>
      <w:r w:rsidRPr="00741AB8">
        <w:t>a straight Crown Boundary</w:t>
      </w:r>
      <w:r>
        <w:t>,</w:t>
      </w:r>
      <w:r w:rsidRPr="00741AB8">
        <w:t xml:space="preserve"> a surveyor should introduce the minimum number of minor bends required to ensure that the adopted boundary practically accords with the occupation being adopted as prima facie evidence of the original boundary marks.</w:t>
      </w:r>
    </w:p>
    <w:p w14:paraId="1B58E682" w14:textId="02FC8280" w:rsidR="005E0FFD" w:rsidRPr="005E0FFD" w:rsidRDefault="00741AB8" w:rsidP="005E0FFD">
      <w:pPr>
        <w:pStyle w:val="Heading2-Numbered"/>
        <w:numPr>
          <w:ilvl w:val="0"/>
          <w:numId w:val="0"/>
        </w:numPr>
        <w:rPr>
          <w:rFonts w:asciiTheme="minorHAnsi" w:eastAsiaTheme="minorHAnsi" w:hAnsiTheme="minorHAnsi" w:cstheme="minorBidi"/>
          <w:b w:val="0"/>
          <w:iCs/>
          <w:sz w:val="20"/>
          <w:szCs w:val="20"/>
        </w:rPr>
      </w:pPr>
      <w:bookmarkStart w:id="94" w:name="_Toc215483404"/>
      <w:r>
        <w:t>9.</w:t>
      </w:r>
      <w:r w:rsidR="00004BA5">
        <w:t>8</w:t>
      </w:r>
      <w:r w:rsidR="0026587C">
        <w:tab/>
      </w:r>
      <w:r>
        <w:t>Crown</w:t>
      </w:r>
      <w:r w:rsidR="000A3D5E">
        <w:t xml:space="preserve"> Cadastral</w:t>
      </w:r>
      <w:r w:rsidR="00F34081">
        <w:t xml:space="preserve"> Surveys</w:t>
      </w:r>
      <w:bookmarkEnd w:id="94"/>
    </w:p>
    <w:p w14:paraId="7949CE4C" w14:textId="77777777" w:rsidR="005E0FFD" w:rsidRDefault="005E0FFD" w:rsidP="005E0FFD">
      <w:pPr>
        <w:rPr>
          <w:rFonts w:ascii="Cambria" w:hAnsi="Cambria" w:cs="Cambria"/>
        </w:rPr>
      </w:pPr>
      <w:r w:rsidRPr="005E0FFD">
        <w:t>The process for the preparation, lodgement and certification of Crown survey documentation differs to that for freehold land.</w:t>
      </w:r>
      <w:r w:rsidRPr="005E0FFD">
        <w:rPr>
          <w:rFonts w:ascii="Cambria" w:hAnsi="Cambria" w:cs="Cambria"/>
        </w:rPr>
        <w:t> </w:t>
      </w:r>
    </w:p>
    <w:p w14:paraId="4776B53E" w14:textId="77777777" w:rsidR="00DE7941" w:rsidRDefault="00DE7941" w:rsidP="00DE7941">
      <w:r>
        <w:t>If a licensed surveyor is undertaking a Crown cadastral survey without being engaged through the Surveying Services Panel, they should contact Surveyor-General Victoria prior to commencing the works to confirm the survey requirements and the plan and survey documents to be produced.</w:t>
      </w:r>
    </w:p>
    <w:p w14:paraId="0AC890A0" w14:textId="77777777" w:rsidR="00E823B8" w:rsidRDefault="00E823B8"/>
    <w:p w14:paraId="635DE992" w14:textId="77777777" w:rsidR="00E823B8" w:rsidRDefault="00E823B8"/>
    <w:p w14:paraId="53C0B784" w14:textId="3E0313E3" w:rsidR="00B368C9" w:rsidRDefault="00B368C9">
      <w:r>
        <w:br w:type="page"/>
      </w:r>
    </w:p>
    <w:p w14:paraId="39CD12FE" w14:textId="33859FDB" w:rsidR="005B6BAA" w:rsidRPr="00363CAA" w:rsidRDefault="005B6BAA" w:rsidP="005B6BAA">
      <w:pPr>
        <w:pStyle w:val="Heading1"/>
      </w:pPr>
      <w:bookmarkStart w:id="95" w:name="_Toc215483405"/>
      <w:r>
        <w:lastRenderedPageBreak/>
        <w:t xml:space="preserve">Appendix A </w:t>
      </w:r>
      <w:r w:rsidRPr="005B6BAA">
        <w:t>Survey documents required when lodging a plan of subdivision or consolidation</w:t>
      </w:r>
      <w:bookmarkEnd w:id="95"/>
    </w:p>
    <w:p w14:paraId="3596836D" w14:textId="77777777" w:rsidR="00DE7941" w:rsidRDefault="00DE7941" w:rsidP="00DE7941">
      <w:pPr>
        <w:pStyle w:val="BodyText"/>
      </w:pPr>
      <w:r>
        <w:t>The practice of permitting some plans of subdivision and consolidation to be submitted without survey (i.e. not supported by an abstract of field records) is supported by the surveying profession which agrees that plans lodged at LUV accompanied by complete and thorough survey documentation enhance the cadastre’s integrity and provide greater assurance that the Registrar issues ‘good title’.</w:t>
      </w:r>
    </w:p>
    <w:p w14:paraId="6A3CCAEE" w14:textId="5A6D8884" w:rsidR="00DE7941" w:rsidRDefault="00DE7941" w:rsidP="00DE7941">
      <w:pPr>
        <w:pStyle w:val="BodyText"/>
      </w:pPr>
      <w:r>
        <w:t xml:space="preserve">It is important to note that Regulation 18 of the Subdivision (Registrar’s Requirements) Regulations 2021 requires licensed surveyors to provide a licensed surveyor’s report and abstract of field records when a plan is lodged. There is no legislative authority that permits the lodgement and registration of plans without a current survey. </w:t>
      </w:r>
    </w:p>
    <w:p w14:paraId="3942009A" w14:textId="77777777" w:rsidR="00DE7941" w:rsidRPr="001D7902" w:rsidRDefault="00DE7941" w:rsidP="00DE7941">
      <w:pPr>
        <w:pStyle w:val="GreyText"/>
      </w:pPr>
      <w:r>
        <w:t>Since 1 July 2016, all plans signed by a licensed surveyor are to be supported by an abstract of field records unless one of the exemptions below applies.</w:t>
      </w:r>
    </w:p>
    <w:p w14:paraId="3FB663EF" w14:textId="5E20624E" w:rsidR="005B6BAA" w:rsidRPr="001D7902" w:rsidRDefault="005B6BAA" w:rsidP="005B6BAA">
      <w:pPr>
        <w:pStyle w:val="Heading2"/>
      </w:pPr>
      <w:bookmarkStart w:id="96" w:name="_Toc215483406"/>
      <w:r w:rsidRPr="005B6BAA">
        <w:t>Exemptions to providing an abstract of field records</w:t>
      </w:r>
      <w:bookmarkEnd w:id="96"/>
    </w:p>
    <w:p w14:paraId="7FD3429D" w14:textId="77777777" w:rsidR="00866800" w:rsidRDefault="00866800" w:rsidP="00866800">
      <w:pPr>
        <w:pStyle w:val="BodyText"/>
      </w:pPr>
      <w:r>
        <w:t>Plans that satisfy the exemptions detailed below must still be lodged with an extensive licensed surveyor's report prepared in accordance with these practice directives:</w:t>
      </w:r>
    </w:p>
    <w:p w14:paraId="66AF85BB" w14:textId="77777777" w:rsidR="00866800" w:rsidRDefault="00866800" w:rsidP="5791EC15">
      <w:pPr>
        <w:pStyle w:val="ListBullet2"/>
      </w:pPr>
      <w:r>
        <w:t>plans based on a current survey of the property by the same surveyor or surveying firm (i.e. a survey contained in a prior plan or application), or</w:t>
      </w:r>
    </w:p>
    <w:p w14:paraId="76AA4B25" w14:textId="77777777" w:rsidR="00866800" w:rsidRDefault="00866800" w:rsidP="5791EC15">
      <w:pPr>
        <w:pStyle w:val="ListBullet2"/>
      </w:pPr>
      <w:r>
        <w:t>plans of subdivision that do not create any new boundaries, or</w:t>
      </w:r>
    </w:p>
    <w:p w14:paraId="7E11C013" w14:textId="77777777" w:rsidR="00866800" w:rsidRPr="00170CFE" w:rsidRDefault="00866800" w:rsidP="5791EC15">
      <w:pPr>
        <w:pStyle w:val="ListBullet2"/>
        <w:rPr>
          <w:u w:val="single"/>
          <w:lang w:val="en"/>
        </w:rPr>
      </w:pPr>
      <w:r>
        <w:t xml:space="preserve">plans prepared under Section 32 of the </w:t>
      </w:r>
      <w:r w:rsidRPr="5791EC15">
        <w:rPr>
          <w:i/>
          <w:iCs/>
        </w:rPr>
        <w:t>Subdivision Act 1988</w:t>
      </w:r>
      <w:r>
        <w:t xml:space="preserve"> re-subdividing multi-storey buildings that only create new boundaries fully contained within the existing building, or</w:t>
      </w:r>
    </w:p>
    <w:p w14:paraId="0A02A000" w14:textId="77777777" w:rsidR="00866800" w:rsidRDefault="00866800" w:rsidP="5791EC15">
      <w:pPr>
        <w:pStyle w:val="ListBullet2"/>
      </w:pPr>
      <w:r>
        <w:t>plans of consolidation prepared from titles that have a clear common mathematical origin and there is no change to title dimensions. In this case, the licensed surveyor will still need to provide justification within the licensed surveyor’s report for how the titles fit together.</w:t>
      </w:r>
    </w:p>
    <w:p w14:paraId="0CED1F37" w14:textId="21C0E6A9" w:rsidR="00866800" w:rsidRDefault="00866800" w:rsidP="00866800">
      <w:pPr>
        <w:pStyle w:val="GreyText"/>
      </w:pPr>
      <w:r>
        <w:rPr>
          <w:b/>
          <w:bCs/>
        </w:rPr>
        <w:t>N</w:t>
      </w:r>
      <w:r w:rsidRPr="00C7168F">
        <w:rPr>
          <w:b/>
          <w:bCs/>
        </w:rPr>
        <w:t>ote:</w:t>
      </w:r>
      <w:r>
        <w:t xml:space="preserve"> LUV may request survey at any time.</w:t>
      </w:r>
    </w:p>
    <w:p w14:paraId="111EC37E" w14:textId="23059F5F" w:rsidR="005B6BAA" w:rsidRPr="001D7902" w:rsidRDefault="005B6BAA" w:rsidP="005B6BAA">
      <w:pPr>
        <w:pStyle w:val="Heading2"/>
      </w:pPr>
      <w:bookmarkStart w:id="97" w:name="_Toc215483407"/>
      <w:r w:rsidRPr="005B6BAA">
        <w:t>Partial surveys</w:t>
      </w:r>
      <w:bookmarkEnd w:id="97"/>
    </w:p>
    <w:p w14:paraId="788ACD4D" w14:textId="77777777" w:rsidR="00866800" w:rsidRDefault="00866800" w:rsidP="00866800">
      <w:pPr>
        <w:pStyle w:val="BodyText"/>
        <w:rPr>
          <w:rFonts w:eastAsiaTheme="minorEastAsia"/>
        </w:rPr>
      </w:pPr>
      <w:r w:rsidRPr="00734775">
        <w:rPr>
          <w:rFonts w:eastAsiaTheme="minorEastAsia"/>
        </w:rPr>
        <w:t>Partial surveys</w:t>
      </w:r>
      <w:r w:rsidRPr="606B1D1D">
        <w:rPr>
          <w:rFonts w:eastAsiaTheme="minorEastAsia"/>
        </w:rPr>
        <w:t xml:space="preserve"> are typical to rural areas and may be accepted when:</w:t>
      </w:r>
    </w:p>
    <w:p w14:paraId="7FF2F5D6" w14:textId="77777777" w:rsidR="00866800" w:rsidRPr="00866800" w:rsidRDefault="00866800" w:rsidP="5791EC15">
      <w:pPr>
        <w:pStyle w:val="ListBullet2"/>
      </w:pPr>
      <w:r>
        <w:t>creating one or more small lots from a significantly larger parcel, or</w:t>
      </w:r>
    </w:p>
    <w:p w14:paraId="26CDFE1E" w14:textId="1E50016C" w:rsidR="00866800" w:rsidRPr="00866800" w:rsidRDefault="00866800" w:rsidP="5791EC15">
      <w:pPr>
        <w:pStyle w:val="ListBullet2"/>
      </w:pPr>
      <w:r>
        <w:t xml:space="preserve">subdividing a significantly large rural parcel into two lots </w:t>
      </w:r>
    </w:p>
    <w:p w14:paraId="479A839D" w14:textId="77777777" w:rsidR="00866800" w:rsidRDefault="00866800" w:rsidP="00866800">
      <w:pPr>
        <w:pStyle w:val="BodyText"/>
        <w:rPr>
          <w:rFonts w:eastAsiaTheme="minorEastAsia"/>
        </w:rPr>
      </w:pPr>
      <w:r w:rsidRPr="606B1D1D">
        <w:rPr>
          <w:rFonts w:eastAsiaTheme="minorEastAsia"/>
        </w:rPr>
        <w:t>Provided that:</w:t>
      </w:r>
    </w:p>
    <w:p w14:paraId="0DB7F927" w14:textId="77777777" w:rsidR="00866800" w:rsidRDefault="00866800" w:rsidP="5791EC15">
      <w:pPr>
        <w:pStyle w:val="ListBullet2"/>
      </w:pPr>
      <w:r>
        <w:t>the lot(s) subject to the partial survey are fully surveyed, and</w:t>
      </w:r>
    </w:p>
    <w:p w14:paraId="65DDFBD9" w14:textId="77777777" w:rsidR="00866800" w:rsidRDefault="00866800" w:rsidP="5791EC15">
      <w:pPr>
        <w:pStyle w:val="ListBullet2"/>
      </w:pPr>
      <w:r>
        <w:t>only one balance lot remains, which is not subject to full survey.</w:t>
      </w:r>
    </w:p>
    <w:p w14:paraId="101393E5" w14:textId="1F9F7916" w:rsidR="00866800" w:rsidRDefault="00866800" w:rsidP="00866800">
      <w:pPr>
        <w:pStyle w:val="BodyText"/>
        <w:rPr>
          <w:rFonts w:eastAsia="Arial"/>
        </w:rPr>
      </w:pPr>
      <w:r w:rsidRPr="67FF7035">
        <w:rPr>
          <w:rFonts w:eastAsiaTheme="minorEastAsia"/>
        </w:rPr>
        <w:t>It is not acceptable to undertake a partial survey in an urban or peri urban area.</w:t>
      </w:r>
      <w:r>
        <w:rPr>
          <w:rFonts w:eastAsiaTheme="minorEastAsia"/>
        </w:rPr>
        <w:t xml:space="preserve"> </w:t>
      </w:r>
      <w:r w:rsidRPr="003C321E">
        <w:rPr>
          <w:rFonts w:eastAsia="Arial"/>
        </w:rPr>
        <w:t>All new boundaries of the lot subject to survey must be shown on the abstract of field records, together with sufficient information to adequately re-establish the title boundaries in which the new boundaries intersect.</w:t>
      </w:r>
    </w:p>
    <w:p w14:paraId="4B00CB79" w14:textId="14330288" w:rsidR="00866800" w:rsidRDefault="00866800" w:rsidP="00866800">
      <w:pPr>
        <w:pStyle w:val="GreyText"/>
      </w:pPr>
      <w:r>
        <w:rPr>
          <w:rFonts w:eastAsia="Arial"/>
        </w:rPr>
        <w:t>An acquisition by an acquiring authority is not considered a partial survey in accordance with these parameters. When undertaking an acquisition survey, the land being acquired must be fully surveyed and connected sufficiently to the cadastre.</w:t>
      </w:r>
    </w:p>
    <w:p w14:paraId="25896772" w14:textId="59A53D08" w:rsidR="005B6BAA" w:rsidRPr="001D7902" w:rsidRDefault="005B6BAA" w:rsidP="005B6BAA">
      <w:pPr>
        <w:pStyle w:val="Heading2"/>
      </w:pPr>
      <w:bookmarkStart w:id="98" w:name="_Toc215483408"/>
      <w:r w:rsidRPr="005B6BAA">
        <w:lastRenderedPageBreak/>
        <w:t xml:space="preserve">Non-survey guidelines for plans lodged under Section 32, </w:t>
      </w:r>
      <w:r w:rsidRPr="00944B51">
        <w:rPr>
          <w:i/>
        </w:rPr>
        <w:t>Subdivision Act 1988</w:t>
      </w:r>
      <w:bookmarkEnd w:id="98"/>
    </w:p>
    <w:p w14:paraId="6FF582D2" w14:textId="77777777" w:rsidR="00866800" w:rsidRDefault="00866800" w:rsidP="00866800">
      <w:pPr>
        <w:pStyle w:val="BodyText"/>
      </w:pPr>
      <w:r>
        <w:t>An ‘addendum’ abstract of field records and licensed surveyor’s report will normally be required to support Section 32 plans, especially when a new survey was required to compute or mark new boundaries at ground level.</w:t>
      </w:r>
    </w:p>
    <w:p w14:paraId="38A8AD19" w14:textId="77777777" w:rsidR="00866800" w:rsidRDefault="00866800" w:rsidP="00866800">
      <w:pPr>
        <w:pStyle w:val="BodyText"/>
      </w:pPr>
      <w:r>
        <w:t>However, plans may be accepted without an abstract of field records if:</w:t>
      </w:r>
    </w:p>
    <w:p w14:paraId="3A0566D5" w14:textId="5112B060" w:rsidR="00866800" w:rsidRPr="00866800" w:rsidRDefault="00866800" w:rsidP="00CB55B7">
      <w:pPr>
        <w:pStyle w:val="ListAlpha"/>
        <w:numPr>
          <w:ilvl w:val="0"/>
          <w:numId w:val="40"/>
        </w:numPr>
        <w:rPr>
          <w:lang w:val="en"/>
        </w:rPr>
      </w:pPr>
      <w:r>
        <w:t xml:space="preserve">the original survey was carried out by the same surveyor or survey company within the last </w:t>
      </w:r>
      <w:r w:rsidR="0094303E">
        <w:t>5</w:t>
      </w:r>
      <w:r>
        <w:t xml:space="preserve"> years, and no additional land has been included in the plan, and</w:t>
      </w:r>
    </w:p>
    <w:p w14:paraId="3BD2AD95" w14:textId="666D42A8" w:rsidR="00866800" w:rsidRPr="00866800" w:rsidRDefault="00866800" w:rsidP="00CB55B7">
      <w:pPr>
        <w:pStyle w:val="ListAlpha"/>
        <w:numPr>
          <w:ilvl w:val="0"/>
          <w:numId w:val="40"/>
        </w:numPr>
        <w:rPr>
          <w:lang w:val="en"/>
        </w:rPr>
      </w:pPr>
      <w:r>
        <w:t>the new boundaries can be derived from existing information on the plan or abstract of field records without the need for further survey, or</w:t>
      </w:r>
    </w:p>
    <w:p w14:paraId="4395035A" w14:textId="5D6F17FA" w:rsidR="00866800" w:rsidRPr="00866800" w:rsidRDefault="00866800" w:rsidP="00CB55B7">
      <w:pPr>
        <w:pStyle w:val="ListAlpha"/>
        <w:numPr>
          <w:ilvl w:val="0"/>
          <w:numId w:val="40"/>
        </w:numPr>
        <w:rPr>
          <w:lang w:val="en"/>
        </w:rPr>
      </w:pPr>
      <w:r>
        <w:t>the new boundaries are defined by, attached to, or contained within original buildings, and are not required to be marked at ground level.</w:t>
      </w:r>
    </w:p>
    <w:p w14:paraId="46AE7746" w14:textId="77777777" w:rsidR="00866800" w:rsidRPr="00170CFE" w:rsidRDefault="00866800" w:rsidP="00866800">
      <w:pPr>
        <w:pStyle w:val="BodyText"/>
      </w:pPr>
      <w:r>
        <w:t>In cases where it is doubtful if a plan will be accepted without an abstract of field records, surveyors should contact LUV for advice. It is possible that an ‘addendum’ licensed surveyor’s report could be required, which on its own may adequately satisfy the requirements of LUV.</w:t>
      </w:r>
    </w:p>
    <w:p w14:paraId="2E22A1A1" w14:textId="77777777" w:rsidR="00866800" w:rsidRDefault="00866800" w:rsidP="00866800">
      <w:pPr>
        <w:pStyle w:val="BodyText"/>
      </w:pPr>
      <w:r>
        <w:t>Where an ‘addendum’ abstract of field records and licensed surveyor’s report are supplied, they should:</w:t>
      </w:r>
    </w:p>
    <w:p w14:paraId="019F783B" w14:textId="01E6A24E" w:rsidR="00866800" w:rsidRDefault="00866800" w:rsidP="00CB55B7">
      <w:pPr>
        <w:pStyle w:val="ListAlpha"/>
        <w:numPr>
          <w:ilvl w:val="0"/>
          <w:numId w:val="41"/>
        </w:numPr>
      </w:pPr>
      <w:r>
        <w:t>satisfy the Surveying (Cadastral Surveys) Regulations 2025</w:t>
      </w:r>
    </w:p>
    <w:p w14:paraId="75C1F167" w14:textId="0CAD0A3D" w:rsidR="00866800" w:rsidRDefault="00866800" w:rsidP="00CB55B7">
      <w:pPr>
        <w:pStyle w:val="ListAlpha"/>
        <w:numPr>
          <w:ilvl w:val="0"/>
          <w:numId w:val="41"/>
        </w:numPr>
      </w:pPr>
      <w:r>
        <w:t>re-establish the datum of the original survey – partial surveys may be accepted, and</w:t>
      </w:r>
    </w:p>
    <w:p w14:paraId="2E1B3884" w14:textId="278983F5" w:rsidR="00866800" w:rsidRPr="00F90FEF" w:rsidRDefault="00866800" w:rsidP="00CB55B7">
      <w:pPr>
        <w:pStyle w:val="ListAlpha"/>
        <w:numPr>
          <w:ilvl w:val="0"/>
          <w:numId w:val="41"/>
        </w:numPr>
      </w:pPr>
      <w:r>
        <w:t>retain the bearing datum of the original plan/folio if that datum is not MGA2020, i.e. the original plan/folio was not based on a survey that included a connection to marks with MGA2020 coordinates.</w:t>
      </w:r>
    </w:p>
    <w:p w14:paraId="6B1717B6" w14:textId="6553FE23" w:rsidR="00866800" w:rsidRDefault="00866800" w:rsidP="00866800">
      <w:pPr>
        <w:pStyle w:val="GreyText"/>
      </w:pPr>
      <w:r>
        <w:t>If a connection to MGA2020 is observed in the new survey, an appropriate notation should be shown on the addendum abstract of field records describing the relationship to MGA2020 datum.</w:t>
      </w:r>
    </w:p>
    <w:p w14:paraId="7744452D" w14:textId="77777777" w:rsidR="005B6BAA" w:rsidRDefault="005B6BAA" w:rsidP="005B6BAA">
      <w:pPr>
        <w:pStyle w:val="GreyText"/>
      </w:pPr>
    </w:p>
    <w:p w14:paraId="4C949584" w14:textId="77777777" w:rsidR="005B6BAA" w:rsidRDefault="005B6BAA" w:rsidP="005B6BAA">
      <w:pPr>
        <w:pStyle w:val="GreyText"/>
      </w:pPr>
    </w:p>
    <w:p w14:paraId="5EA9A746" w14:textId="2D8300EC" w:rsidR="00F00E4E" w:rsidRDefault="00F00E4E">
      <w:pPr>
        <w:rPr>
          <w:color w:val="36383D" w:themeColor="accent6"/>
        </w:rPr>
      </w:pPr>
      <w:r>
        <w:br w:type="page"/>
      </w:r>
    </w:p>
    <w:p w14:paraId="5B14E768" w14:textId="0579F14F" w:rsidR="005B6BAA" w:rsidRPr="00363CAA" w:rsidRDefault="005B6BAA" w:rsidP="005B6BAA">
      <w:pPr>
        <w:pStyle w:val="Heading1"/>
      </w:pPr>
      <w:bookmarkStart w:id="99" w:name="_Toc215483409"/>
      <w:r>
        <w:lastRenderedPageBreak/>
        <w:t xml:space="preserve">Appendix B </w:t>
      </w:r>
      <w:r w:rsidRPr="005B6BAA">
        <w:t>LUV guidelines for estate subdivisions</w:t>
      </w:r>
      <w:bookmarkEnd w:id="99"/>
    </w:p>
    <w:p w14:paraId="13E052CB" w14:textId="77777777" w:rsidR="00F00E4E" w:rsidRDefault="00F00E4E" w:rsidP="00F00E4E">
      <w:pPr>
        <w:pStyle w:val="BodyText"/>
      </w:pPr>
      <w:r>
        <w:t>LUV, in conjunction with Consulting Surveyors Victoria, has developed guidelines for licensed surveyors undertaking Estate Subdivisions (i.e. Section 37 stage plans, super-lot and large balance-lot style subdivisions). The aim of the guidelines is to:</w:t>
      </w:r>
    </w:p>
    <w:p w14:paraId="1FD5009A" w14:textId="77777777" w:rsidR="00F00E4E" w:rsidRDefault="00F00E4E" w:rsidP="5791EC15">
      <w:pPr>
        <w:pStyle w:val="ListBullet2"/>
      </w:pPr>
      <w:r>
        <w:t>address deficiencies in survey documentation lodged for subsequent stages of an estate subdivision</w:t>
      </w:r>
    </w:p>
    <w:p w14:paraId="4984D907" w14:textId="77777777" w:rsidR="00F00E4E" w:rsidRDefault="00F00E4E" w:rsidP="5791EC15">
      <w:pPr>
        <w:pStyle w:val="ListBullet2"/>
      </w:pPr>
      <w:r>
        <w:t>remove the need for a re-survey of the balance land of an estate once the original survey has reached 5 years of age</w:t>
      </w:r>
    </w:p>
    <w:p w14:paraId="0886CD85" w14:textId="77777777" w:rsidR="00F00E4E" w:rsidRDefault="00F00E4E" w:rsidP="5791EC15">
      <w:pPr>
        <w:pStyle w:val="ListBullet2"/>
      </w:pPr>
      <w:r>
        <w:t>place priority on the timely provision of supplementary abstracts of field records that will become the key survey information underpinning the estate’s cadastre into the future.</w:t>
      </w:r>
    </w:p>
    <w:p w14:paraId="368710FA" w14:textId="77777777" w:rsidR="00F00E4E" w:rsidRDefault="00F00E4E" w:rsidP="00F00E4E">
      <w:pPr>
        <w:pStyle w:val="BodyText"/>
      </w:pPr>
      <w:r>
        <w:t>This will be achieved by:</w:t>
      </w:r>
    </w:p>
    <w:p w14:paraId="76A3205B" w14:textId="77777777" w:rsidR="00F00E4E" w:rsidRDefault="00F00E4E" w:rsidP="5791EC15">
      <w:pPr>
        <w:pStyle w:val="ListBullet2"/>
      </w:pPr>
      <w:r>
        <w:t>the inclusion of more detailed information within licensed surveyor’s reports, and</w:t>
      </w:r>
    </w:p>
    <w:p w14:paraId="6B1D4595" w14:textId="77777777" w:rsidR="00F00E4E" w:rsidRDefault="00F00E4E" w:rsidP="5791EC15">
      <w:pPr>
        <w:pStyle w:val="ListBullet2"/>
      </w:pPr>
      <w:r>
        <w:t>the provision of ‘Plan Linking Diagrams’, and</w:t>
      </w:r>
    </w:p>
    <w:p w14:paraId="5D034F27" w14:textId="77777777" w:rsidR="00F00E4E" w:rsidRDefault="00F00E4E" w:rsidP="5791EC15">
      <w:pPr>
        <w:pStyle w:val="ListBullet2"/>
      </w:pPr>
      <w:r>
        <w:t>the lodgement of supplementary abstracts of field records on a stage-by-stage basis.</w:t>
      </w:r>
    </w:p>
    <w:p w14:paraId="630065E8" w14:textId="7BAD863E" w:rsidR="00F00E4E" w:rsidRDefault="00F00E4E" w:rsidP="00F00E4E">
      <w:pPr>
        <w:pStyle w:val="BodyText"/>
      </w:pPr>
      <w:r>
        <w:t xml:space="preserve">Subject to the ‘currency conditions’ (see </w:t>
      </w:r>
      <w:r w:rsidR="00DE7941">
        <w:t xml:space="preserve">section </w:t>
      </w:r>
      <w:r>
        <w:t>6.1.2) of a survey being met, LUV may accept enhanced survey information for estate-type subdivisions provided that:</w:t>
      </w:r>
    </w:p>
    <w:p w14:paraId="21524DD9" w14:textId="77777777" w:rsidR="00F00E4E" w:rsidRDefault="00F00E4E" w:rsidP="5791EC15">
      <w:pPr>
        <w:pStyle w:val="ListBullet2"/>
      </w:pPr>
      <w:r>
        <w:t>the location of the subject lot/stage is identified within the estate, and</w:t>
      </w:r>
    </w:p>
    <w:p w14:paraId="6D814C21" w14:textId="77777777" w:rsidR="00F00E4E" w:rsidRDefault="00F00E4E" w:rsidP="5791EC15">
      <w:pPr>
        <w:pStyle w:val="ListBullet2"/>
      </w:pPr>
      <w:r>
        <w:t>the survey link to the original survey is clearly defined, and</w:t>
      </w:r>
    </w:p>
    <w:p w14:paraId="14528713" w14:textId="77777777" w:rsidR="00F00E4E" w:rsidRDefault="00F00E4E" w:rsidP="5791EC15">
      <w:pPr>
        <w:pStyle w:val="ListBullet2"/>
      </w:pPr>
      <w:r>
        <w:t>the abutting supplementary abstracts of field records, where applicable, have been accepted by LUV and identified in the documentation.</w:t>
      </w:r>
    </w:p>
    <w:p w14:paraId="3D14ABC2" w14:textId="77777777" w:rsidR="00F00E4E" w:rsidRDefault="00F00E4E" w:rsidP="00F00E4E">
      <w:pPr>
        <w:pStyle w:val="BodyText"/>
      </w:pPr>
      <w:r>
        <w:t>This process will only apply to the same surveyor and survey company that attained council certification of the original plan or to a different surveyor from the same company as the originating surveyor.</w:t>
      </w:r>
    </w:p>
    <w:p w14:paraId="5A7B5456" w14:textId="3D427F4C" w:rsidR="00F00E4E" w:rsidRPr="001D7902" w:rsidRDefault="00F00E4E" w:rsidP="005B6BAA">
      <w:pPr>
        <w:pStyle w:val="GreyText"/>
      </w:pPr>
      <w:r>
        <w:t>A licensed surveyor may also at any time deem a new abstract of field records necessary to support a plan of subdivision of a super-lot or stage within an estate. In such cases the survey would need to be performed and documented in accordance with the current regulations and directives for cadastral surveys.</w:t>
      </w:r>
    </w:p>
    <w:p w14:paraId="78C1CD9A" w14:textId="6AA66B87" w:rsidR="005B6BAA" w:rsidRPr="001D7902" w:rsidRDefault="005B6BAA" w:rsidP="005B6BAA">
      <w:pPr>
        <w:pStyle w:val="Heading2"/>
      </w:pPr>
      <w:bookmarkStart w:id="100" w:name="_Toc215483410"/>
      <w:r w:rsidRPr="005B6BAA">
        <w:t>Supplementary abstract of field records</w:t>
      </w:r>
      <w:bookmarkEnd w:id="100"/>
    </w:p>
    <w:p w14:paraId="09D982C9" w14:textId="49C8190F" w:rsidR="00F00E4E" w:rsidRDefault="00F00E4E" w:rsidP="00F00E4E">
      <w:pPr>
        <w:pStyle w:val="BodyText"/>
      </w:pPr>
      <w:r>
        <w:t>Supplementary abstracts of field records are to be completed on a stage-by-stage basis following the completion of works in accordance with Regulation 11(5) of the Surveying (Cadastral Surveys) Regulations 2025, and must be forwarded to LUV for processing</w:t>
      </w:r>
      <w:r w:rsidR="00DE7941">
        <w:t xml:space="preserve"> within the required time period</w:t>
      </w:r>
      <w:r>
        <w:t>. They will be stored with the survey information for the associated plan of subdivision once accepted by LUV.</w:t>
      </w:r>
    </w:p>
    <w:p w14:paraId="787B1B7A" w14:textId="14EB13FF" w:rsidR="00F00E4E" w:rsidRDefault="00F00E4E" w:rsidP="00F00E4E">
      <w:pPr>
        <w:pStyle w:val="BodyText"/>
      </w:pPr>
      <w:r>
        <w:t>Supplementary abstracts of field records must show connections to at least three marks from the original survey or a subsequent survey that can be linked to the original survey.</w:t>
      </w:r>
    </w:p>
    <w:p w14:paraId="25DA1BF2" w14:textId="77777777" w:rsidR="00F00E4E" w:rsidRDefault="00F00E4E" w:rsidP="00F00E4E">
      <w:pPr>
        <w:pStyle w:val="BodyText"/>
        <w:ind w:left="851" w:hanging="851"/>
        <w:rPr>
          <w:lang w:val="en"/>
        </w:rPr>
      </w:pPr>
      <w:r>
        <w:rPr>
          <w:lang w:val="en"/>
        </w:rPr>
        <w:t xml:space="preserve">An example of a </w:t>
      </w:r>
      <w:hyperlink r:id="rId71" w:history="1">
        <w:r w:rsidRPr="5791EC15">
          <w:rPr>
            <w:rStyle w:val="Hyperlink"/>
            <w:b/>
            <w:bCs/>
            <w:lang w:val="en"/>
          </w:rPr>
          <w:t>supplementary abstract of field records</w:t>
        </w:r>
      </w:hyperlink>
      <w:r w:rsidRPr="00290D4D">
        <w:rPr>
          <w:lang w:val="en"/>
        </w:rPr>
        <w:t xml:space="preserve"> </w:t>
      </w:r>
      <w:r>
        <w:rPr>
          <w:lang w:val="en"/>
        </w:rPr>
        <w:t>is available at:</w:t>
      </w:r>
    </w:p>
    <w:p w14:paraId="48268C19" w14:textId="0922A2DF" w:rsidR="00F00E4E" w:rsidRDefault="00063382" w:rsidP="5791EC15">
      <w:pPr>
        <w:pStyle w:val="GreyText"/>
        <w:rPr>
          <w:rStyle w:val="Hyperlink"/>
        </w:rPr>
      </w:pPr>
      <w:hyperlink r:id="rId72">
        <w:r w:rsidRPr="5791EC15">
          <w:rPr>
            <w:rStyle w:val="Hyperlink"/>
          </w:rPr>
          <w:t>www.land.vic.gov.au/surveying/cadastral-survey/practice-directives</w:t>
        </w:r>
      </w:hyperlink>
    </w:p>
    <w:p w14:paraId="28A60831" w14:textId="47164316" w:rsidR="005B6BAA" w:rsidRPr="001D7902" w:rsidRDefault="005B6BAA" w:rsidP="005B6BAA">
      <w:pPr>
        <w:pStyle w:val="Heading2"/>
      </w:pPr>
      <w:bookmarkStart w:id="101" w:name="_Toc215483411"/>
      <w:r w:rsidRPr="005B6BAA">
        <w:t>Licensed surveyor’s report</w:t>
      </w:r>
      <w:bookmarkEnd w:id="101"/>
    </w:p>
    <w:p w14:paraId="1AD88D12" w14:textId="77777777" w:rsidR="00F00E4E" w:rsidRDefault="00F00E4E" w:rsidP="00F00E4E">
      <w:pPr>
        <w:pStyle w:val="BodyText"/>
      </w:pPr>
      <w:r>
        <w:t>Licensed surveyor’s reports for stages of an estate subdivision must provide information that:</w:t>
      </w:r>
    </w:p>
    <w:p w14:paraId="00A8A2EA" w14:textId="77777777" w:rsidR="00F00E4E" w:rsidRDefault="00F00E4E" w:rsidP="00CB55B7">
      <w:pPr>
        <w:pStyle w:val="ListAlpha"/>
        <w:numPr>
          <w:ilvl w:val="0"/>
          <w:numId w:val="42"/>
        </w:numPr>
      </w:pPr>
      <w:r>
        <w:t>Identifies the location of the subject stage within the estate, and</w:t>
      </w:r>
    </w:p>
    <w:p w14:paraId="607EA766" w14:textId="77777777" w:rsidR="00F00E4E" w:rsidRDefault="00F00E4E" w:rsidP="00CB55B7">
      <w:pPr>
        <w:pStyle w:val="ListAlpha"/>
        <w:numPr>
          <w:ilvl w:val="0"/>
          <w:numId w:val="42"/>
        </w:numPr>
      </w:pPr>
      <w:r>
        <w:t>Identifies the survey link between the original survey of the site and the survey of the subject stage, and</w:t>
      </w:r>
    </w:p>
    <w:p w14:paraId="75E8DD54" w14:textId="77777777" w:rsidR="00F00E4E" w:rsidRDefault="00F00E4E" w:rsidP="00CB55B7">
      <w:pPr>
        <w:pStyle w:val="ListAlpha"/>
        <w:numPr>
          <w:ilvl w:val="0"/>
          <w:numId w:val="42"/>
        </w:numPr>
      </w:pPr>
      <w:r>
        <w:t>Identifies the location of abutting supplementary abstracts of field records that have been completed and accepted by LUV.</w:t>
      </w:r>
    </w:p>
    <w:p w14:paraId="75DC2DDE" w14:textId="017FCCB1" w:rsidR="00F00E4E" w:rsidRDefault="00F00E4E" w:rsidP="00F00E4E">
      <w:pPr>
        <w:pStyle w:val="GreyText"/>
      </w:pPr>
      <w:r>
        <w:lastRenderedPageBreak/>
        <w:t>Depending on the particular circumstance of a stage, the licensed surveyor’s report may be accompanied by ‘Plan Linking Diagrams’ to show the location of the stage in relation to the overall estate and/or the identification of abutting stages where supplementary abstracts of field records have been accepted by LUV.</w:t>
      </w:r>
    </w:p>
    <w:p w14:paraId="6616E4FB" w14:textId="33BA1866" w:rsidR="005B6BAA" w:rsidRPr="001D7902" w:rsidRDefault="005B6BAA" w:rsidP="005B6BAA">
      <w:pPr>
        <w:pStyle w:val="Heading2"/>
      </w:pPr>
      <w:bookmarkStart w:id="102" w:name="_Toc215483412"/>
      <w:r w:rsidRPr="005B6BAA">
        <w:t>Examples of licensed surveyor’s reports</w:t>
      </w:r>
      <w:bookmarkEnd w:id="102"/>
    </w:p>
    <w:p w14:paraId="0F2E2094" w14:textId="10915DCF" w:rsidR="00F00E4E" w:rsidRDefault="00F00E4E" w:rsidP="00F00E4E">
      <w:pPr>
        <w:pStyle w:val="BodyText"/>
      </w:pPr>
      <w:r>
        <w:t>The following links are provided as examples of the information that is to be supplied with licensed surveyor’s reports that accompany plans of subdivision for stages of an estate</w:t>
      </w:r>
      <w:r w:rsidR="00A671CB">
        <w:t>:</w:t>
      </w:r>
    </w:p>
    <w:p w14:paraId="77A48DD4" w14:textId="77777777" w:rsidR="00F00E4E" w:rsidRDefault="00F00E4E" w:rsidP="00F00E4E">
      <w:pPr>
        <w:pStyle w:val="BodyText"/>
      </w:pPr>
      <w:hyperlink r:id="rId73" w:history="1">
        <w:r w:rsidRPr="00290D4D">
          <w:rPr>
            <w:rStyle w:val="Hyperlink"/>
          </w:rPr>
          <w:t>Example 1</w:t>
        </w:r>
      </w:hyperlink>
      <w:r w:rsidRPr="00290D4D">
        <w:t xml:space="preserve"> </w:t>
      </w:r>
      <w:r>
        <w:t>– to be used for the first stage or super-lot subdivision within an estate. Only an enhanced licensed surveyor’s report is required in this instance.</w:t>
      </w:r>
    </w:p>
    <w:p w14:paraId="7EE1E377" w14:textId="77777777" w:rsidR="00F00E4E" w:rsidRDefault="00F00E4E" w:rsidP="00F00E4E">
      <w:pPr>
        <w:pStyle w:val="BodyText"/>
      </w:pPr>
      <w:hyperlink r:id="rId74">
        <w:r w:rsidRPr="115A30A1">
          <w:rPr>
            <w:rStyle w:val="Hyperlink"/>
          </w:rPr>
          <w:t>Example 2</w:t>
        </w:r>
      </w:hyperlink>
      <w:r>
        <w:t xml:space="preserve"> – to be used where there are adjoining stages within an estate. An enhanced licensed surveyor’s report and Plan Linking Diagrams 1 and 2 are to be supplied.</w:t>
      </w:r>
    </w:p>
    <w:p w14:paraId="3AE04A56" w14:textId="77777777" w:rsidR="00F00E4E" w:rsidRPr="00D53454" w:rsidRDefault="00F00E4E" w:rsidP="00F00E4E">
      <w:pPr>
        <w:pStyle w:val="BodyText"/>
        <w:rPr>
          <w:lang w:val="en"/>
        </w:rPr>
      </w:pPr>
      <w:hyperlink r:id="rId75" w:history="1">
        <w:r w:rsidRPr="00290D4D">
          <w:rPr>
            <w:rStyle w:val="Hyperlink"/>
          </w:rPr>
          <w:t>Example 3</w:t>
        </w:r>
      </w:hyperlink>
      <w:r w:rsidRPr="00290D4D">
        <w:t xml:space="preserve"> </w:t>
      </w:r>
      <w:r w:rsidRPr="00980E70">
        <w:t>– to be used for a stage remote from other stages within the estate. An enhanced licensed surveyor’s report and Plan Linking Diagram 1 are to be supplied</w:t>
      </w:r>
      <w:r>
        <w:t>.</w:t>
      </w:r>
    </w:p>
    <w:p w14:paraId="5037E115" w14:textId="6F406AF5" w:rsidR="00546EB9" w:rsidRDefault="00F00E4E" w:rsidP="00F00E4E">
      <w:pPr>
        <w:pStyle w:val="BodyText"/>
      </w:pPr>
      <w:r>
        <w:t xml:space="preserve">All examples are available at: </w:t>
      </w:r>
      <w:hyperlink r:id="rId76">
        <w:r w:rsidR="00D91690" w:rsidRPr="5791EC15">
          <w:rPr>
            <w:rStyle w:val="Hyperlink"/>
          </w:rPr>
          <w:t>www.land.vic.gov.au/surveying/cadastral-survey/practice-directives</w:t>
        </w:r>
      </w:hyperlink>
      <w:r w:rsidR="00D91690">
        <w:t>.</w:t>
      </w:r>
    </w:p>
    <w:p w14:paraId="6F1AD2DA" w14:textId="77777777" w:rsidR="00546EB9" w:rsidRDefault="00546EB9" w:rsidP="00F00E4E">
      <w:pPr>
        <w:pStyle w:val="BodyText"/>
      </w:pPr>
    </w:p>
    <w:p w14:paraId="79A9B650" w14:textId="77777777" w:rsidR="00546EB9" w:rsidRDefault="00546EB9" w:rsidP="00F00E4E">
      <w:pPr>
        <w:pStyle w:val="BodyText"/>
      </w:pPr>
    </w:p>
    <w:p w14:paraId="42CFE30A" w14:textId="77777777" w:rsidR="00546EB9" w:rsidRDefault="00546EB9" w:rsidP="00F00E4E">
      <w:pPr>
        <w:pStyle w:val="BodyText"/>
      </w:pPr>
    </w:p>
    <w:p w14:paraId="5C19921D" w14:textId="77777777" w:rsidR="00546EB9" w:rsidRDefault="00546EB9" w:rsidP="00F00E4E">
      <w:pPr>
        <w:pStyle w:val="BodyText"/>
      </w:pPr>
    </w:p>
    <w:p w14:paraId="499093B1" w14:textId="3C45C815" w:rsidR="00F00E4E" w:rsidRDefault="00F00E4E" w:rsidP="00F00E4E">
      <w:pPr>
        <w:pStyle w:val="BodyText"/>
      </w:pPr>
      <w:r>
        <w:rPr>
          <w:highlight w:val="yellow"/>
        </w:rPr>
        <w:br w:type="page"/>
      </w:r>
    </w:p>
    <w:p w14:paraId="061D9E01" w14:textId="70E78FCF" w:rsidR="005B6BAA" w:rsidRPr="00363CAA" w:rsidRDefault="005B6BAA" w:rsidP="005B6BAA">
      <w:pPr>
        <w:pStyle w:val="Heading1"/>
      </w:pPr>
      <w:bookmarkStart w:id="103" w:name="_Toc215483413"/>
      <w:r>
        <w:lastRenderedPageBreak/>
        <w:t xml:space="preserve">Appendix C </w:t>
      </w:r>
      <w:r w:rsidRPr="005B6BAA">
        <w:t>Abbreviations used in this document</w:t>
      </w:r>
      <w:bookmarkEnd w:id="103"/>
    </w:p>
    <w:p w14:paraId="29976FA2" w14:textId="63573594" w:rsidR="00546EB9" w:rsidRDefault="00546EB9" w:rsidP="005B6BAA">
      <w:pPr>
        <w:pStyle w:val="GreyText"/>
      </w:pPr>
    </w:p>
    <w:tbl>
      <w:tblPr>
        <w:tblStyle w:val="TableGrid"/>
        <w:tblW w:w="0" w:type="auto"/>
        <w:tblLook w:val="0480" w:firstRow="0" w:lastRow="0" w:firstColumn="1" w:lastColumn="0" w:noHBand="0" w:noVBand="1"/>
      </w:tblPr>
      <w:tblGrid>
        <w:gridCol w:w="2694"/>
        <w:gridCol w:w="8078"/>
      </w:tblGrid>
      <w:tr w:rsidR="00546EB9" w14:paraId="0FDD08FB"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43AA60E7" w14:textId="771E6D35" w:rsidR="00546EB9" w:rsidRDefault="00546EB9" w:rsidP="00546EB9">
            <w:pPr>
              <w:pStyle w:val="BodyText"/>
            </w:pPr>
            <w:r>
              <w:t>AHD</w:t>
            </w:r>
          </w:p>
        </w:tc>
        <w:tc>
          <w:tcPr>
            <w:tcW w:w="8078" w:type="dxa"/>
          </w:tcPr>
          <w:p w14:paraId="7A54520F" w14:textId="53B86B60" w:rsidR="00546EB9" w:rsidRDefault="00546EB9" w:rsidP="00546EB9">
            <w:pPr>
              <w:pStyle w:val="GreyText"/>
              <w:cnfStyle w:val="000000000000" w:firstRow="0" w:lastRow="0" w:firstColumn="0" w:lastColumn="0" w:oddVBand="0" w:evenVBand="0" w:oddHBand="0" w:evenHBand="0" w:firstRowFirstColumn="0" w:firstRowLastColumn="0" w:lastRowFirstColumn="0" w:lastRowLastColumn="0"/>
            </w:pPr>
            <w:r>
              <w:t>Australian Height Datum</w:t>
            </w:r>
            <w:r w:rsidR="00836D2B">
              <w:t xml:space="preserve"> 1971</w:t>
            </w:r>
          </w:p>
        </w:tc>
      </w:tr>
      <w:tr w:rsidR="00546EB9" w14:paraId="5C8BE5D1"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AE3EA8" w14:textId="78A81078" w:rsidR="00546EB9" w:rsidRPr="00546EB9" w:rsidRDefault="00546EB9" w:rsidP="00546EB9">
            <w:pPr>
              <w:pStyle w:val="GreyText"/>
            </w:pPr>
            <w:r>
              <w:t>DCM</w:t>
            </w:r>
          </w:p>
        </w:tc>
        <w:tc>
          <w:tcPr>
            <w:tcW w:w="8078" w:type="dxa"/>
          </w:tcPr>
          <w:p w14:paraId="10A672B9" w14:textId="1F7BA3EB" w:rsidR="00546EB9" w:rsidRDefault="00546EB9" w:rsidP="00546EB9">
            <w:pPr>
              <w:pStyle w:val="BodyText"/>
              <w:cnfStyle w:val="000000010000" w:firstRow="0" w:lastRow="0" w:firstColumn="0" w:lastColumn="0" w:oddVBand="0" w:evenVBand="0" w:oddHBand="0" w:evenHBand="1" w:firstRowFirstColumn="0" w:firstRowLastColumn="0" w:lastRowFirstColumn="0" w:lastRowLastColumn="0"/>
            </w:pPr>
            <w:r>
              <w:t>Digital Cadastre Modernisation</w:t>
            </w:r>
          </w:p>
        </w:tc>
      </w:tr>
      <w:tr w:rsidR="00546EB9" w14:paraId="72801EBC"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422BCCFA" w14:textId="5CFEBA81" w:rsidR="00546EB9" w:rsidRDefault="005E3F09" w:rsidP="00546EB9">
            <w:pPr>
              <w:pStyle w:val="GreyText"/>
            </w:pPr>
            <w:r>
              <w:t>EDM</w:t>
            </w:r>
          </w:p>
        </w:tc>
        <w:tc>
          <w:tcPr>
            <w:tcW w:w="8078" w:type="dxa"/>
          </w:tcPr>
          <w:p w14:paraId="25636E03" w14:textId="78D63AB7" w:rsidR="00546EB9" w:rsidRDefault="005E3F09" w:rsidP="005E3F09">
            <w:pPr>
              <w:pStyle w:val="BodyText"/>
              <w:cnfStyle w:val="000000000000" w:firstRow="0" w:lastRow="0" w:firstColumn="0" w:lastColumn="0" w:oddVBand="0" w:evenVBand="0" w:oddHBand="0" w:evenHBand="0" w:firstRowFirstColumn="0" w:firstRowLastColumn="0" w:lastRowFirstColumn="0" w:lastRowLastColumn="0"/>
            </w:pPr>
            <w:r>
              <w:t>Electronic Distance Measurement</w:t>
            </w:r>
          </w:p>
        </w:tc>
      </w:tr>
      <w:tr w:rsidR="00546EB9" w14:paraId="602A082E"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8281499" w14:textId="03D60D0D" w:rsidR="00546EB9" w:rsidRDefault="005E3F09" w:rsidP="00546EB9">
            <w:pPr>
              <w:pStyle w:val="GreyText"/>
            </w:pPr>
            <w:r>
              <w:t>GDA94</w:t>
            </w:r>
          </w:p>
        </w:tc>
        <w:tc>
          <w:tcPr>
            <w:tcW w:w="8078" w:type="dxa"/>
          </w:tcPr>
          <w:p w14:paraId="74AB069F" w14:textId="12D76FEC" w:rsidR="00546EB9" w:rsidRDefault="005E3F09" w:rsidP="005E3F09">
            <w:pPr>
              <w:pStyle w:val="BodyText"/>
              <w:cnfStyle w:val="000000010000" w:firstRow="0" w:lastRow="0" w:firstColumn="0" w:lastColumn="0" w:oddVBand="0" w:evenVBand="0" w:oddHBand="0" w:evenHBand="1" w:firstRowFirstColumn="0" w:firstRowLastColumn="0" w:lastRowFirstColumn="0" w:lastRowLastColumn="0"/>
            </w:pPr>
            <w:r>
              <w:t>Geocentric Datum of Australia 1994</w:t>
            </w:r>
          </w:p>
        </w:tc>
      </w:tr>
      <w:tr w:rsidR="00546EB9" w14:paraId="29681209"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4788C7D1" w14:textId="46AB66EC" w:rsidR="00546EB9" w:rsidRDefault="005E3F09" w:rsidP="00546EB9">
            <w:pPr>
              <w:pStyle w:val="GreyText"/>
            </w:pPr>
            <w:r>
              <w:t>GDA2020</w:t>
            </w:r>
          </w:p>
        </w:tc>
        <w:tc>
          <w:tcPr>
            <w:tcW w:w="8078" w:type="dxa"/>
          </w:tcPr>
          <w:p w14:paraId="65668779" w14:textId="424AD137" w:rsidR="00546EB9" w:rsidRDefault="005E3F09" w:rsidP="005E3F09">
            <w:pPr>
              <w:pStyle w:val="BodyText"/>
              <w:cnfStyle w:val="000000000000" w:firstRow="0" w:lastRow="0" w:firstColumn="0" w:lastColumn="0" w:oddVBand="0" w:evenVBand="0" w:oddHBand="0" w:evenHBand="0" w:firstRowFirstColumn="0" w:firstRowLastColumn="0" w:lastRowFirstColumn="0" w:lastRowLastColumn="0"/>
            </w:pPr>
            <w:r>
              <w:t>Geocentric Datum of Australia 2020</w:t>
            </w:r>
          </w:p>
        </w:tc>
      </w:tr>
      <w:tr w:rsidR="00546EB9" w14:paraId="576FD11F"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D411073" w14:textId="23BC7475" w:rsidR="00546EB9" w:rsidRDefault="005E3F09" w:rsidP="00546EB9">
            <w:pPr>
              <w:pStyle w:val="GreyText"/>
            </w:pPr>
            <w:r>
              <w:t>GIS</w:t>
            </w:r>
          </w:p>
        </w:tc>
        <w:tc>
          <w:tcPr>
            <w:tcW w:w="8078" w:type="dxa"/>
          </w:tcPr>
          <w:p w14:paraId="6420BFED" w14:textId="44E648C2" w:rsidR="00546EB9" w:rsidRDefault="005E3F09" w:rsidP="005E3F09">
            <w:pPr>
              <w:pStyle w:val="BodyText"/>
              <w:cnfStyle w:val="000000010000" w:firstRow="0" w:lastRow="0" w:firstColumn="0" w:lastColumn="0" w:oddVBand="0" w:evenVBand="0" w:oddHBand="0" w:evenHBand="1" w:firstRowFirstColumn="0" w:firstRowLastColumn="0" w:lastRowFirstColumn="0" w:lastRowLastColumn="0"/>
            </w:pPr>
            <w:r>
              <w:t>Geographic Information System</w:t>
            </w:r>
          </w:p>
        </w:tc>
      </w:tr>
      <w:tr w:rsidR="00546EB9" w14:paraId="2CEE1F31"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5A32E1F8" w14:textId="166180D2" w:rsidR="00546EB9" w:rsidRDefault="005E3F09" w:rsidP="00546EB9">
            <w:pPr>
              <w:pStyle w:val="GreyText"/>
            </w:pPr>
            <w:r>
              <w:t>GNSS</w:t>
            </w:r>
          </w:p>
        </w:tc>
        <w:tc>
          <w:tcPr>
            <w:tcW w:w="8078" w:type="dxa"/>
          </w:tcPr>
          <w:p w14:paraId="6D13D563" w14:textId="3ACC7759" w:rsidR="00546EB9" w:rsidRDefault="005E3F09" w:rsidP="005E3F09">
            <w:pPr>
              <w:pStyle w:val="BodyText"/>
              <w:cnfStyle w:val="000000000000" w:firstRow="0" w:lastRow="0" w:firstColumn="0" w:lastColumn="0" w:oddVBand="0" w:evenVBand="0" w:oddHBand="0" w:evenHBand="0" w:firstRowFirstColumn="0" w:firstRowLastColumn="0" w:lastRowFirstColumn="0" w:lastRowLastColumn="0"/>
            </w:pPr>
            <w:r>
              <w:t>Global Navigation Satellite System</w:t>
            </w:r>
          </w:p>
        </w:tc>
      </w:tr>
      <w:tr w:rsidR="00546EB9" w14:paraId="1CE9FCD6"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5C698CD" w14:textId="1AD5A024" w:rsidR="00546EB9" w:rsidRDefault="005E3F09" w:rsidP="00546EB9">
            <w:pPr>
              <w:pStyle w:val="GreyText"/>
            </w:pPr>
            <w:r>
              <w:t>ICSM</w:t>
            </w:r>
          </w:p>
        </w:tc>
        <w:tc>
          <w:tcPr>
            <w:tcW w:w="8078" w:type="dxa"/>
          </w:tcPr>
          <w:p w14:paraId="4EE0B0C3" w14:textId="135BE38A" w:rsidR="00546EB9" w:rsidRDefault="005E3F09" w:rsidP="005E3F09">
            <w:pPr>
              <w:pStyle w:val="BodyText"/>
              <w:cnfStyle w:val="000000010000" w:firstRow="0" w:lastRow="0" w:firstColumn="0" w:lastColumn="0" w:oddVBand="0" w:evenVBand="0" w:oddHBand="0" w:evenHBand="1" w:firstRowFirstColumn="0" w:firstRowLastColumn="0" w:lastRowFirstColumn="0" w:lastRowLastColumn="0"/>
            </w:pPr>
            <w:r>
              <w:t>Intergovernmental Committee on Surveying and Mapping</w:t>
            </w:r>
          </w:p>
        </w:tc>
      </w:tr>
      <w:tr w:rsidR="00546EB9" w14:paraId="5421FD3B"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61413B40" w14:textId="35D7493D" w:rsidR="00546EB9" w:rsidRDefault="005E3F09" w:rsidP="00546EB9">
            <w:pPr>
              <w:pStyle w:val="GreyText"/>
            </w:pPr>
            <w:r>
              <w:t>LASSI</w:t>
            </w:r>
          </w:p>
        </w:tc>
        <w:tc>
          <w:tcPr>
            <w:tcW w:w="8078" w:type="dxa"/>
          </w:tcPr>
          <w:p w14:paraId="1E8AF692" w14:textId="2A859992" w:rsidR="00546EB9" w:rsidRDefault="005E3F09" w:rsidP="005E3F09">
            <w:pPr>
              <w:pStyle w:val="BodyText"/>
              <w:cnfStyle w:val="000000000000" w:firstRow="0" w:lastRow="0" w:firstColumn="0" w:lastColumn="0" w:oddVBand="0" w:evenVBand="0" w:oddHBand="0" w:evenHBand="0" w:firstRowFirstColumn="0" w:firstRowLastColumn="0" w:lastRowFirstColumn="0" w:lastRowLastColumn="0"/>
            </w:pPr>
            <w:r>
              <w:t>Land and Survey Spatial Information</w:t>
            </w:r>
          </w:p>
        </w:tc>
      </w:tr>
      <w:tr w:rsidR="00546EB9" w14:paraId="4DD37F81"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A3109B6" w14:textId="66D3A116" w:rsidR="00546EB9" w:rsidRDefault="005E3F09" w:rsidP="00546EB9">
            <w:pPr>
              <w:pStyle w:val="GreyText"/>
            </w:pPr>
            <w:r>
              <w:t>LRS</w:t>
            </w:r>
          </w:p>
        </w:tc>
        <w:tc>
          <w:tcPr>
            <w:tcW w:w="8078" w:type="dxa"/>
          </w:tcPr>
          <w:p w14:paraId="464E8866" w14:textId="46CA045F" w:rsidR="00546EB9" w:rsidRDefault="005E3F09" w:rsidP="005E3F09">
            <w:pPr>
              <w:pStyle w:val="BodyText"/>
              <w:cnfStyle w:val="000000010000" w:firstRow="0" w:lastRow="0" w:firstColumn="0" w:lastColumn="0" w:oddVBand="0" w:evenVBand="0" w:oddHBand="0" w:evenHBand="1" w:firstRowFirstColumn="0" w:firstRowLastColumn="0" w:lastRowFirstColumn="0" w:lastRowLastColumn="0"/>
            </w:pPr>
            <w:r>
              <w:t>Land Registry Services</w:t>
            </w:r>
          </w:p>
        </w:tc>
      </w:tr>
      <w:tr w:rsidR="00546EB9" w14:paraId="4DD064FE"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23417213" w14:textId="4BA73992" w:rsidR="00546EB9" w:rsidRDefault="005E3F09" w:rsidP="00546EB9">
            <w:pPr>
              <w:pStyle w:val="GreyText"/>
            </w:pPr>
            <w:r>
              <w:t>LUV</w:t>
            </w:r>
          </w:p>
        </w:tc>
        <w:tc>
          <w:tcPr>
            <w:tcW w:w="8078" w:type="dxa"/>
          </w:tcPr>
          <w:p w14:paraId="20C201EB" w14:textId="2FD1C457" w:rsidR="00546EB9" w:rsidRDefault="005E3F09" w:rsidP="005E3F09">
            <w:pPr>
              <w:pStyle w:val="BodyText"/>
              <w:cnfStyle w:val="000000000000" w:firstRow="0" w:lastRow="0" w:firstColumn="0" w:lastColumn="0" w:oddVBand="0" w:evenVBand="0" w:oddHBand="0" w:evenHBand="0" w:firstRowFirstColumn="0" w:firstRowLastColumn="0" w:lastRowFirstColumn="0" w:lastRowLastColumn="0"/>
            </w:pPr>
            <w:r>
              <w:t>Land Use Victoria</w:t>
            </w:r>
          </w:p>
        </w:tc>
      </w:tr>
      <w:tr w:rsidR="00546EB9" w14:paraId="637B6C8C"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4FD650" w14:textId="5E5DAE00" w:rsidR="00546EB9" w:rsidRDefault="005E3F09" w:rsidP="00546EB9">
            <w:pPr>
              <w:pStyle w:val="GreyText"/>
            </w:pPr>
            <w:r>
              <w:t>MGA94</w:t>
            </w:r>
          </w:p>
        </w:tc>
        <w:tc>
          <w:tcPr>
            <w:tcW w:w="8078" w:type="dxa"/>
          </w:tcPr>
          <w:p w14:paraId="0EDD8672" w14:textId="3E5EC997" w:rsidR="00546EB9" w:rsidRDefault="005E3F09" w:rsidP="005E3F09">
            <w:pPr>
              <w:pStyle w:val="BodyText"/>
              <w:cnfStyle w:val="000000010000" w:firstRow="0" w:lastRow="0" w:firstColumn="0" w:lastColumn="0" w:oddVBand="0" w:evenVBand="0" w:oddHBand="0" w:evenHBand="1" w:firstRowFirstColumn="0" w:firstRowLastColumn="0" w:lastRowFirstColumn="0" w:lastRowLastColumn="0"/>
            </w:pPr>
            <w:r>
              <w:t>Map Grid of Australia 1994</w:t>
            </w:r>
          </w:p>
        </w:tc>
      </w:tr>
      <w:tr w:rsidR="00546EB9" w14:paraId="63B89751"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291A5835" w14:textId="4F624813" w:rsidR="00546EB9" w:rsidRDefault="005E3F09" w:rsidP="00546EB9">
            <w:pPr>
              <w:pStyle w:val="GreyText"/>
            </w:pPr>
            <w:r>
              <w:t>MGA2020</w:t>
            </w:r>
          </w:p>
        </w:tc>
        <w:tc>
          <w:tcPr>
            <w:tcW w:w="8078" w:type="dxa"/>
          </w:tcPr>
          <w:p w14:paraId="72B6A3D8" w14:textId="55687654" w:rsidR="00546EB9" w:rsidRDefault="005E3F09" w:rsidP="005E3F09">
            <w:pPr>
              <w:pStyle w:val="BodyText"/>
              <w:cnfStyle w:val="000000000000" w:firstRow="0" w:lastRow="0" w:firstColumn="0" w:lastColumn="0" w:oddVBand="0" w:evenVBand="0" w:oddHBand="0" w:evenHBand="0" w:firstRowFirstColumn="0" w:firstRowLastColumn="0" w:lastRowFirstColumn="0" w:lastRowLastColumn="0"/>
            </w:pPr>
            <w:r>
              <w:t>Map Grid of Australia 2020</w:t>
            </w:r>
          </w:p>
        </w:tc>
      </w:tr>
      <w:tr w:rsidR="005E7152" w14:paraId="3722E95C"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800127F" w14:textId="21023BD8" w:rsidR="005E7152" w:rsidRDefault="005E7152" w:rsidP="00546EB9">
            <w:pPr>
              <w:pStyle w:val="GreyText"/>
            </w:pPr>
            <w:r>
              <w:t>HWM</w:t>
            </w:r>
          </w:p>
        </w:tc>
        <w:tc>
          <w:tcPr>
            <w:tcW w:w="8078" w:type="dxa"/>
          </w:tcPr>
          <w:p w14:paraId="45D27D6F" w14:textId="440B9BEB" w:rsidR="005E7152" w:rsidRDefault="005E7152" w:rsidP="005E3F09">
            <w:pPr>
              <w:pStyle w:val="BodyText"/>
              <w:cnfStyle w:val="000000010000" w:firstRow="0" w:lastRow="0" w:firstColumn="0" w:lastColumn="0" w:oddVBand="0" w:evenVBand="0" w:oddHBand="0" w:evenHBand="1" w:firstRowFirstColumn="0" w:firstRowLastColumn="0" w:lastRowFirstColumn="0" w:lastRowLastColumn="0"/>
            </w:pPr>
            <w:r>
              <w:t>High Water Mark</w:t>
            </w:r>
          </w:p>
        </w:tc>
      </w:tr>
      <w:tr w:rsidR="00546EB9" w14:paraId="10076250"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0BE48D15" w14:textId="1D7F5C34" w:rsidR="00546EB9" w:rsidRDefault="005E3F09" w:rsidP="00546EB9">
            <w:pPr>
              <w:pStyle w:val="GreyText"/>
            </w:pPr>
            <w:r>
              <w:t>SGV</w:t>
            </w:r>
          </w:p>
        </w:tc>
        <w:tc>
          <w:tcPr>
            <w:tcW w:w="8078" w:type="dxa"/>
          </w:tcPr>
          <w:p w14:paraId="5A05151A" w14:textId="7293854C" w:rsidR="00546EB9" w:rsidRDefault="005E3F09" w:rsidP="005E3F09">
            <w:pPr>
              <w:pStyle w:val="BodyText"/>
              <w:cnfStyle w:val="000000000000" w:firstRow="0" w:lastRow="0" w:firstColumn="0" w:lastColumn="0" w:oddVBand="0" w:evenVBand="0" w:oddHBand="0" w:evenHBand="0" w:firstRowFirstColumn="0" w:firstRowLastColumn="0" w:lastRowFirstColumn="0" w:lastRowLastColumn="0"/>
            </w:pPr>
            <w:r>
              <w:t>Surveyor-General Victoria</w:t>
            </w:r>
          </w:p>
        </w:tc>
      </w:tr>
      <w:tr w:rsidR="00546EB9" w14:paraId="6B12FF66"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708638E" w14:textId="00948D80" w:rsidR="00546EB9" w:rsidRDefault="005E3F09" w:rsidP="00546EB9">
            <w:pPr>
              <w:pStyle w:val="GreyText"/>
            </w:pPr>
            <w:r>
              <w:t>PCM</w:t>
            </w:r>
          </w:p>
        </w:tc>
        <w:tc>
          <w:tcPr>
            <w:tcW w:w="8078" w:type="dxa"/>
          </w:tcPr>
          <w:p w14:paraId="77E01859" w14:textId="28BC03F8" w:rsidR="00546EB9" w:rsidRDefault="005E3F09" w:rsidP="005E3F09">
            <w:pPr>
              <w:pStyle w:val="BodyText"/>
              <w:cnfStyle w:val="000000010000" w:firstRow="0" w:lastRow="0" w:firstColumn="0" w:lastColumn="0" w:oddVBand="0" w:evenVBand="0" w:oddHBand="0" w:evenHBand="1" w:firstRowFirstColumn="0" w:firstRowLastColumn="0" w:lastRowFirstColumn="0" w:lastRowLastColumn="0"/>
            </w:pPr>
            <w:r>
              <w:t>Primary Cadastral Mark</w:t>
            </w:r>
          </w:p>
        </w:tc>
      </w:tr>
      <w:tr w:rsidR="00546EB9" w14:paraId="3398464F"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08499CCF" w14:textId="2AA952B2" w:rsidR="00546EB9" w:rsidRDefault="005E3F09" w:rsidP="00546EB9">
            <w:pPr>
              <w:pStyle w:val="GreyText"/>
            </w:pPr>
            <w:r>
              <w:t>PM</w:t>
            </w:r>
          </w:p>
        </w:tc>
        <w:tc>
          <w:tcPr>
            <w:tcW w:w="8078" w:type="dxa"/>
          </w:tcPr>
          <w:p w14:paraId="0B115937" w14:textId="6F66B736" w:rsidR="00546EB9" w:rsidRDefault="005E3F09" w:rsidP="005E3F09">
            <w:pPr>
              <w:pStyle w:val="BodyText"/>
              <w:cnfStyle w:val="000000000000" w:firstRow="0" w:lastRow="0" w:firstColumn="0" w:lastColumn="0" w:oddVBand="0" w:evenVBand="0" w:oddHBand="0" w:evenHBand="0" w:firstRowFirstColumn="0" w:firstRowLastColumn="0" w:lastRowFirstColumn="0" w:lastRowLastColumn="0"/>
            </w:pPr>
            <w:r>
              <w:t>Permanent Mark</w:t>
            </w:r>
          </w:p>
        </w:tc>
      </w:tr>
      <w:tr w:rsidR="00546EB9" w14:paraId="58849821"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7D896CB" w14:textId="4E8423D0" w:rsidR="00546EB9" w:rsidRDefault="005E3F09" w:rsidP="00546EB9">
            <w:pPr>
              <w:pStyle w:val="GreyText"/>
            </w:pPr>
            <w:r>
              <w:t>NRTK</w:t>
            </w:r>
          </w:p>
        </w:tc>
        <w:tc>
          <w:tcPr>
            <w:tcW w:w="8078" w:type="dxa"/>
          </w:tcPr>
          <w:p w14:paraId="1B1D925C" w14:textId="64A7E602" w:rsidR="00546EB9" w:rsidRDefault="005E3F09" w:rsidP="005E3F09">
            <w:pPr>
              <w:pStyle w:val="BodyText"/>
              <w:cnfStyle w:val="000000010000" w:firstRow="0" w:lastRow="0" w:firstColumn="0" w:lastColumn="0" w:oddVBand="0" w:evenVBand="0" w:oddHBand="0" w:evenHBand="1" w:firstRowFirstColumn="0" w:firstRowLastColumn="0" w:lastRowFirstColumn="0" w:lastRowLastColumn="0"/>
            </w:pPr>
            <w:r>
              <w:t>Network Real Time Kinematic</w:t>
            </w:r>
          </w:p>
        </w:tc>
      </w:tr>
      <w:tr w:rsidR="00546EB9" w14:paraId="5571308A"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12D77A1B" w14:textId="62284649" w:rsidR="00546EB9" w:rsidRDefault="005E3F09" w:rsidP="00546EB9">
            <w:pPr>
              <w:pStyle w:val="GreyText"/>
            </w:pPr>
            <w:r>
              <w:t>SCFF</w:t>
            </w:r>
          </w:p>
        </w:tc>
        <w:tc>
          <w:tcPr>
            <w:tcW w:w="8078" w:type="dxa"/>
          </w:tcPr>
          <w:p w14:paraId="6F74230A" w14:textId="4CE98F9E" w:rsidR="00546EB9" w:rsidRDefault="005E3F09" w:rsidP="00621ED6">
            <w:pPr>
              <w:pStyle w:val="BodyText"/>
              <w:cnfStyle w:val="000000000000" w:firstRow="0" w:lastRow="0" w:firstColumn="0" w:lastColumn="0" w:oddVBand="0" w:evenVBand="0" w:oddHBand="0" w:evenHBand="0" w:firstRowFirstColumn="0" w:firstRowLastColumn="0" w:lastRowFirstColumn="0" w:lastRowLastColumn="0"/>
            </w:pPr>
            <w:r>
              <w:t>Single CAD Format File</w:t>
            </w:r>
          </w:p>
        </w:tc>
      </w:tr>
      <w:tr w:rsidR="00546EB9" w14:paraId="429F16E6"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5784B74" w14:textId="756ABD2F" w:rsidR="00546EB9" w:rsidRDefault="005E3F09" w:rsidP="00546EB9">
            <w:pPr>
              <w:pStyle w:val="GreyText"/>
            </w:pPr>
            <w:r>
              <w:t>SCN</w:t>
            </w:r>
          </w:p>
        </w:tc>
        <w:tc>
          <w:tcPr>
            <w:tcW w:w="8078" w:type="dxa"/>
          </w:tcPr>
          <w:p w14:paraId="32F380C0" w14:textId="6D362F81" w:rsidR="00546EB9" w:rsidRDefault="005E3F09" w:rsidP="005E3F09">
            <w:pPr>
              <w:pStyle w:val="BodyText"/>
              <w:tabs>
                <w:tab w:val="left" w:pos="284"/>
                <w:tab w:val="left" w:pos="568"/>
                <w:tab w:val="left" w:pos="852"/>
                <w:tab w:val="left" w:pos="1136"/>
                <w:tab w:val="left" w:pos="1420"/>
                <w:tab w:val="left" w:pos="1704"/>
                <w:tab w:val="left" w:pos="1988"/>
                <w:tab w:val="left" w:pos="2272"/>
                <w:tab w:val="left" w:pos="2556"/>
                <w:tab w:val="left" w:pos="2840"/>
                <w:tab w:val="left" w:pos="3124"/>
                <w:tab w:val="center" w:pos="3931"/>
              </w:tabs>
              <w:cnfStyle w:val="000000010000" w:firstRow="0" w:lastRow="0" w:firstColumn="0" w:lastColumn="0" w:oddVBand="0" w:evenVBand="0" w:oddHBand="0" w:evenHBand="1" w:firstRowFirstColumn="0" w:firstRowLastColumn="0" w:lastRowFirstColumn="0" w:lastRowLastColumn="0"/>
            </w:pPr>
            <w:r>
              <w:t>Survey Control Network</w:t>
            </w:r>
            <w:r>
              <w:tab/>
            </w:r>
          </w:p>
        </w:tc>
      </w:tr>
      <w:tr w:rsidR="00C540E3" w14:paraId="59EC1027" w14:textId="77777777" w:rsidTr="5791EC15">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1FC8F48D" w14:textId="584AE7DA" w:rsidR="00C540E3" w:rsidRDefault="1C4A4540" w:rsidP="00546EB9">
            <w:pPr>
              <w:pStyle w:val="GreyText"/>
            </w:pPr>
            <w:r>
              <w:t>SGV</w:t>
            </w:r>
          </w:p>
        </w:tc>
        <w:tc>
          <w:tcPr>
            <w:tcW w:w="8078" w:type="dxa"/>
          </w:tcPr>
          <w:p w14:paraId="7B5A7FF7" w14:textId="763DB59C" w:rsidR="00C540E3" w:rsidRDefault="1C4A4540" w:rsidP="005E3F09">
            <w:pPr>
              <w:pStyle w:val="BodyText"/>
              <w:tabs>
                <w:tab w:val="left" w:pos="284"/>
                <w:tab w:val="left" w:pos="568"/>
                <w:tab w:val="left" w:pos="852"/>
                <w:tab w:val="left" w:pos="1136"/>
                <w:tab w:val="left" w:pos="1420"/>
                <w:tab w:val="left" w:pos="1704"/>
                <w:tab w:val="left" w:pos="1988"/>
                <w:tab w:val="left" w:pos="2272"/>
                <w:tab w:val="left" w:pos="2556"/>
                <w:tab w:val="left" w:pos="2840"/>
                <w:tab w:val="left" w:pos="3124"/>
                <w:tab w:val="center" w:pos="3931"/>
              </w:tabs>
              <w:cnfStyle w:val="000000000000" w:firstRow="0" w:lastRow="0" w:firstColumn="0" w:lastColumn="0" w:oddVBand="0" w:evenVBand="0" w:oddHBand="0" w:evenHBand="0" w:firstRowFirstColumn="0" w:firstRowLastColumn="0" w:lastRowFirstColumn="0" w:lastRowLastColumn="0"/>
            </w:pPr>
            <w:r>
              <w:t>Surveyor</w:t>
            </w:r>
            <w:r w:rsidR="73B651D5">
              <w:t>-General Victoria</w:t>
            </w:r>
          </w:p>
        </w:tc>
      </w:tr>
      <w:tr w:rsidR="00546EB9" w14:paraId="5118A3EE"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05B8258" w14:textId="47F15CE1" w:rsidR="00546EB9" w:rsidRDefault="005E3F09" w:rsidP="00546EB9">
            <w:pPr>
              <w:pStyle w:val="GreyText"/>
            </w:pPr>
            <w:r>
              <w:t>SMES</w:t>
            </w:r>
          </w:p>
        </w:tc>
        <w:tc>
          <w:tcPr>
            <w:tcW w:w="8078" w:type="dxa"/>
          </w:tcPr>
          <w:p w14:paraId="41A4247D" w14:textId="120958C1" w:rsidR="00546EB9" w:rsidRDefault="005E3F09" w:rsidP="005E3F09">
            <w:pPr>
              <w:pStyle w:val="BodyText"/>
              <w:cnfStyle w:val="000000010000" w:firstRow="0" w:lastRow="0" w:firstColumn="0" w:lastColumn="0" w:oddVBand="0" w:evenVBand="0" w:oddHBand="0" w:evenHBand="1" w:firstRowFirstColumn="0" w:firstRowLastColumn="0" w:lastRowFirstColumn="0" w:lastRowLastColumn="0"/>
            </w:pPr>
            <w:r>
              <w:t>Survey Marks Enquiry Service</w:t>
            </w:r>
          </w:p>
        </w:tc>
      </w:tr>
      <w:tr w:rsidR="00546EB9" w14:paraId="7930B0DF"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684B2C28" w14:textId="2134E40C" w:rsidR="00546EB9" w:rsidRDefault="005E3F09" w:rsidP="00546EB9">
            <w:pPr>
              <w:pStyle w:val="GreyText"/>
            </w:pPr>
            <w:r>
              <w:t>SPEAR</w:t>
            </w:r>
          </w:p>
        </w:tc>
        <w:tc>
          <w:tcPr>
            <w:tcW w:w="8078" w:type="dxa"/>
          </w:tcPr>
          <w:p w14:paraId="26E9FA36" w14:textId="0221920D" w:rsidR="00546EB9" w:rsidRDefault="005E3F09" w:rsidP="005E3F09">
            <w:pPr>
              <w:pStyle w:val="BodyText"/>
              <w:cnfStyle w:val="000000000000" w:firstRow="0" w:lastRow="0" w:firstColumn="0" w:lastColumn="0" w:oddVBand="0" w:evenVBand="0" w:oddHBand="0" w:evenHBand="0" w:firstRowFirstColumn="0" w:firstRowLastColumn="0" w:lastRowFirstColumn="0" w:lastRowLastColumn="0"/>
            </w:pPr>
            <w:r>
              <w:t>S</w:t>
            </w:r>
            <w:r w:rsidRPr="004B51B8">
              <w:t>urveying and Planning through Electronic Applications and Referrals</w:t>
            </w:r>
          </w:p>
        </w:tc>
      </w:tr>
      <w:tr w:rsidR="00546EB9" w14:paraId="431E2999" w14:textId="77777777" w:rsidTr="5791E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6459A9" w14:textId="531724BF" w:rsidR="00546EB9" w:rsidRDefault="005E3F09" w:rsidP="00546EB9">
            <w:pPr>
              <w:pStyle w:val="GreyText"/>
            </w:pPr>
            <w:r>
              <w:t>SRBV</w:t>
            </w:r>
          </w:p>
        </w:tc>
        <w:tc>
          <w:tcPr>
            <w:tcW w:w="8078" w:type="dxa"/>
          </w:tcPr>
          <w:p w14:paraId="7DD08228" w14:textId="539347F0" w:rsidR="00546EB9" w:rsidRDefault="005E3F09" w:rsidP="005E3F09">
            <w:pPr>
              <w:pStyle w:val="BodyText"/>
              <w:cnfStyle w:val="000000010000" w:firstRow="0" w:lastRow="0" w:firstColumn="0" w:lastColumn="0" w:oddVBand="0" w:evenVBand="0" w:oddHBand="0" w:evenHBand="1" w:firstRowFirstColumn="0" w:firstRowLastColumn="0" w:lastRowFirstColumn="0" w:lastRowLastColumn="0"/>
            </w:pPr>
            <w:r>
              <w:t>Surveyors Registration Board of Victoria</w:t>
            </w:r>
          </w:p>
        </w:tc>
      </w:tr>
      <w:tr w:rsidR="00546EB9" w14:paraId="0CE79365" w14:textId="77777777" w:rsidTr="5791EC15">
        <w:tc>
          <w:tcPr>
            <w:cnfStyle w:val="001000000000" w:firstRow="0" w:lastRow="0" w:firstColumn="1" w:lastColumn="0" w:oddVBand="0" w:evenVBand="0" w:oddHBand="0" w:evenHBand="0" w:firstRowFirstColumn="0" w:firstRowLastColumn="0" w:lastRowFirstColumn="0" w:lastRowLastColumn="0"/>
            <w:tcW w:w="2694" w:type="dxa"/>
          </w:tcPr>
          <w:p w14:paraId="0804449E" w14:textId="5A97411F" w:rsidR="00546EB9" w:rsidRDefault="005E3F09" w:rsidP="00546EB9">
            <w:pPr>
              <w:pStyle w:val="GreyText"/>
            </w:pPr>
            <w:r>
              <w:t>VCSPD</w:t>
            </w:r>
          </w:p>
        </w:tc>
        <w:tc>
          <w:tcPr>
            <w:tcW w:w="8078" w:type="dxa"/>
          </w:tcPr>
          <w:p w14:paraId="26C92044" w14:textId="77AA3161" w:rsidR="00546EB9" w:rsidRDefault="005E3F09" w:rsidP="00546EB9">
            <w:pPr>
              <w:pStyle w:val="GreyText"/>
              <w:cnfStyle w:val="000000000000" w:firstRow="0" w:lastRow="0" w:firstColumn="0" w:lastColumn="0" w:oddVBand="0" w:evenVBand="0" w:oddHBand="0" w:evenHBand="0" w:firstRowFirstColumn="0" w:firstRowLastColumn="0" w:lastRowFirstColumn="0" w:lastRowLastColumn="0"/>
            </w:pPr>
            <w:r>
              <w:t>Victorian Cadastral Surveys Practice Directives</w:t>
            </w:r>
          </w:p>
        </w:tc>
      </w:tr>
    </w:tbl>
    <w:p w14:paraId="1688B329" w14:textId="3CFFB219" w:rsidR="00546EB9" w:rsidRDefault="00621ED6" w:rsidP="00621ED6">
      <w:r>
        <w:br w:type="page"/>
      </w:r>
    </w:p>
    <w:p w14:paraId="69BB1772" w14:textId="77777777" w:rsidR="00546EB9" w:rsidRDefault="00546EB9" w:rsidP="005B6BAA">
      <w:pPr>
        <w:pStyle w:val="GreyText"/>
      </w:pPr>
    </w:p>
    <w:p w14:paraId="36D428CF" w14:textId="77777777" w:rsidR="00546EB9" w:rsidRDefault="00546EB9" w:rsidP="005B6BAA">
      <w:pPr>
        <w:pStyle w:val="GreyText"/>
      </w:pPr>
    </w:p>
    <w:p w14:paraId="7F8D8655" w14:textId="77777777" w:rsidR="00546EB9" w:rsidRDefault="00546EB9" w:rsidP="005B6BAA">
      <w:pPr>
        <w:pStyle w:val="GreyText"/>
      </w:pPr>
    </w:p>
    <w:p w14:paraId="60F13CE5" w14:textId="77777777" w:rsidR="00546EB9" w:rsidRDefault="00546EB9" w:rsidP="005B6BAA">
      <w:pPr>
        <w:pStyle w:val="GreyText"/>
      </w:pPr>
    </w:p>
    <w:p w14:paraId="78F8A089" w14:textId="77777777" w:rsidR="00546EB9" w:rsidRDefault="00546EB9" w:rsidP="005B6BAA">
      <w:pPr>
        <w:pStyle w:val="GreyText"/>
      </w:pPr>
    </w:p>
    <w:p w14:paraId="5AF07F7E" w14:textId="77777777" w:rsidR="00546EB9" w:rsidRDefault="00546EB9" w:rsidP="005B6BAA">
      <w:pPr>
        <w:pStyle w:val="GreyText"/>
      </w:pPr>
    </w:p>
    <w:p w14:paraId="39433C65" w14:textId="7533AFE9" w:rsidR="005B6BAA" w:rsidRPr="001D7902" w:rsidRDefault="005B6BAA" w:rsidP="005B6BAA">
      <w:pPr>
        <w:pStyle w:val="GreyText"/>
      </w:pPr>
      <w:r w:rsidRPr="001D7902">
        <w:t xml:space="preserve"> </w:t>
      </w:r>
    </w:p>
    <w:p w14:paraId="4ABE6B0D" w14:textId="77777777" w:rsidR="005B6BAA" w:rsidRDefault="005B6BAA" w:rsidP="005B6BAA">
      <w:pPr>
        <w:pStyle w:val="GreyText"/>
      </w:pPr>
    </w:p>
    <w:p w14:paraId="71015488" w14:textId="77777777" w:rsidR="005B6BAA" w:rsidRDefault="005B6BAA" w:rsidP="005B6BAA">
      <w:pPr>
        <w:pStyle w:val="GreyText"/>
      </w:pPr>
    </w:p>
    <w:p w14:paraId="5E4D6BFB" w14:textId="77777777" w:rsidR="00E823B8" w:rsidRDefault="00E823B8"/>
    <w:p w14:paraId="04085C82" w14:textId="77777777" w:rsidR="00E823B8" w:rsidRDefault="00E823B8"/>
    <w:p w14:paraId="36C70176" w14:textId="77777777" w:rsidR="00E823B8" w:rsidRDefault="00E823B8"/>
    <w:p w14:paraId="285B3A39" w14:textId="77777777" w:rsidR="00E823B8" w:rsidRDefault="00E823B8"/>
    <w:p w14:paraId="6CC77AD3" w14:textId="77777777" w:rsidR="00E823B8" w:rsidRDefault="00E823B8"/>
    <w:p w14:paraId="4ACA72DC" w14:textId="77777777" w:rsidR="00E823B8" w:rsidRDefault="00E823B8"/>
    <w:p w14:paraId="0723004C" w14:textId="77777777" w:rsidR="00E823B8" w:rsidRDefault="00E823B8"/>
    <w:p w14:paraId="77F1D5F2" w14:textId="77777777" w:rsidR="00E823B8" w:rsidRDefault="00E823B8"/>
    <w:p w14:paraId="6CA6736F" w14:textId="77777777" w:rsidR="00E823B8" w:rsidRDefault="00E823B8"/>
    <w:p w14:paraId="59ECCD56" w14:textId="77777777" w:rsidR="00E823B8" w:rsidRDefault="00E823B8"/>
    <w:p w14:paraId="2A248E1E" w14:textId="77777777" w:rsidR="00E823B8" w:rsidRDefault="00E823B8"/>
    <w:p w14:paraId="05D97F53" w14:textId="77777777" w:rsidR="00E823B8" w:rsidRDefault="00E823B8"/>
    <w:p w14:paraId="1856F34E" w14:textId="77777777" w:rsidR="00E823B8" w:rsidRDefault="00E823B8"/>
    <w:p w14:paraId="2BBF06BD" w14:textId="77777777" w:rsidR="00E823B8" w:rsidRDefault="00E823B8"/>
    <w:p w14:paraId="6B88E5E6" w14:textId="77777777" w:rsidR="00E823B8" w:rsidRDefault="00E823B8"/>
    <w:p w14:paraId="615FAF11" w14:textId="77777777" w:rsidR="00E823B8" w:rsidRDefault="00E823B8"/>
    <w:p w14:paraId="65307CB0" w14:textId="77777777" w:rsidR="00E823B8" w:rsidRDefault="00E823B8"/>
    <w:p w14:paraId="10AE103D" w14:textId="77777777" w:rsidR="00E823B8" w:rsidRDefault="00E823B8"/>
    <w:p w14:paraId="3D3C0A13" w14:textId="77777777" w:rsidR="00E823B8" w:rsidRDefault="00E823B8"/>
    <w:p w14:paraId="1F4AF721" w14:textId="77777777" w:rsidR="00E823B8" w:rsidRDefault="00E823B8"/>
    <w:p w14:paraId="47136F2A" w14:textId="77777777" w:rsidR="00E823B8" w:rsidRDefault="00E823B8"/>
    <w:p w14:paraId="3EEF1D51" w14:textId="77777777" w:rsidR="00E823B8" w:rsidRDefault="00E823B8"/>
    <w:p w14:paraId="3E444BD9" w14:textId="77777777" w:rsidR="00E823B8" w:rsidRDefault="00E823B8"/>
    <w:p w14:paraId="7BE6D1E4" w14:textId="77777777" w:rsidR="00E823B8" w:rsidRDefault="00E823B8"/>
    <w:p w14:paraId="1CE5A7F7" w14:textId="77777777" w:rsidR="00E823B8" w:rsidRDefault="00E823B8"/>
    <w:p w14:paraId="600951A5" w14:textId="09D6DEA2" w:rsidR="00781ABD" w:rsidRPr="00340F98" w:rsidRDefault="00781ABD" w:rsidP="00C44FF1">
      <w:pPr>
        <w:pStyle w:val="LightBackCoverText"/>
        <w:framePr w:wrap="around"/>
      </w:pPr>
      <w:r w:rsidRPr="00C827FF">
        <w:rPr>
          <w:noProof/>
        </w:rPr>
        <w:drawing>
          <wp:anchor distT="0" distB="0" distL="114300" distR="114300" simplePos="0" relativeHeight="251658241" behindDoc="0" locked="0" layoutInCell="1" allowOverlap="1" wp14:anchorId="50EEECF4" wp14:editId="79052CFF">
            <wp:simplePos x="0" y="0"/>
            <wp:positionH relativeFrom="column">
              <wp:posOffset>-259080</wp:posOffset>
            </wp:positionH>
            <wp:positionV relativeFrom="paragraph">
              <wp:posOffset>0</wp:posOffset>
            </wp:positionV>
            <wp:extent cx="133200" cy="187200"/>
            <wp:effectExtent l="0" t="0" r="635" b="3810"/>
            <wp:wrapNone/>
            <wp:docPr id="3838433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3200" cy="187200"/>
                    </a:xfrm>
                    <a:prstGeom prst="rect">
                      <a:avLst/>
                    </a:prstGeom>
                  </pic:spPr>
                </pic:pic>
              </a:graphicData>
            </a:graphic>
            <wp14:sizeRelH relativeFrom="margin">
              <wp14:pctWidth>0</wp14:pctWidth>
            </wp14:sizeRelH>
            <wp14:sizeRelV relativeFrom="margin">
              <wp14:pctHeight>0</wp14:pctHeight>
            </wp14:sizeRelV>
          </wp:anchor>
        </w:drawing>
      </w:r>
      <w:hyperlink r:id="rId77" w:history="1">
        <w:r w:rsidR="00567243" w:rsidRPr="00454765">
          <w:rPr>
            <w:rStyle w:val="Hyperlink"/>
          </w:rPr>
          <w:t>LAND.VIC.GOV.AU/SURVEYING</w:t>
        </w:r>
      </w:hyperlink>
    </w:p>
    <w:p w14:paraId="608E01C1" w14:textId="31003B16" w:rsidR="00842044" w:rsidRDefault="00781ABD" w:rsidP="00842044">
      <w:r>
        <w:rPr>
          <w:noProof/>
        </w:rPr>
        <mc:AlternateContent>
          <mc:Choice Requires="wpg">
            <w:drawing>
              <wp:anchor distT="0" distB="0" distL="114300" distR="114300" simplePos="0" relativeHeight="251658240" behindDoc="1" locked="0" layoutInCell="1" allowOverlap="1" wp14:anchorId="569C231A" wp14:editId="4C06F283">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72EA4" id="Group 9" o:spid="_x0000_s1026" alt="&quot;&quot;" style="position:absolute;margin-left:0;margin-top:0;width:1190.55pt;height:1190.55pt;z-index:-251658240;mso-position-horizontal:center;mso-position-horizontal-relative:page;mso-position-vertical:center;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79" o:title="DTP logo"/>
                </v:shape>
                <w10:wrap anchorx="page" anchory="page"/>
              </v:group>
            </w:pict>
          </mc:Fallback>
        </mc:AlternateContent>
      </w:r>
    </w:p>
    <w:sectPr w:rsidR="00842044" w:rsidSect="008211BE">
      <w:type w:val="continuous"/>
      <w:pgSz w:w="11906" w:h="16838"/>
      <w:pgMar w:top="1758" w:right="567" w:bottom="1531" w:left="567"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FD03D" w14:textId="77777777" w:rsidR="007443CB" w:rsidRDefault="007443CB" w:rsidP="005C306E">
      <w:pPr>
        <w:spacing w:after="0"/>
      </w:pPr>
      <w:r>
        <w:separator/>
      </w:r>
    </w:p>
    <w:p w14:paraId="53D4AF1E" w14:textId="77777777" w:rsidR="007443CB" w:rsidRDefault="007443CB"/>
    <w:p w14:paraId="214EEE83" w14:textId="77777777" w:rsidR="007443CB" w:rsidRDefault="007443CB"/>
  </w:endnote>
  <w:endnote w:type="continuationSeparator" w:id="0">
    <w:p w14:paraId="44067B39" w14:textId="77777777" w:rsidR="007443CB" w:rsidRDefault="007443CB" w:rsidP="005C306E">
      <w:pPr>
        <w:spacing w:after="0"/>
      </w:pPr>
      <w:r>
        <w:continuationSeparator/>
      </w:r>
    </w:p>
    <w:p w14:paraId="47B215F2" w14:textId="77777777" w:rsidR="007443CB" w:rsidRDefault="007443CB"/>
    <w:p w14:paraId="1600AF65" w14:textId="77777777" w:rsidR="007443CB" w:rsidRDefault="00744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VIC Light">
    <w:altName w:val="Calibri"/>
    <w:panose1 w:val="000004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
    <w:panose1 w:val="020B0604020202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77A4B" w14:textId="77777777" w:rsidR="002E21D4" w:rsidRDefault="002E2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FE6B" w14:textId="32E6F1FE" w:rsidR="00610C10" w:rsidRPr="00BE2E4B" w:rsidRDefault="00610C10" w:rsidP="000D7431">
    <w:pPr>
      <w:pStyle w:val="FooterPageNumber"/>
      <w:framePr w:wrap="around"/>
    </w:pPr>
  </w:p>
  <w:p w14:paraId="660A0365" w14:textId="15F2F05E" w:rsidR="00C622BD" w:rsidRPr="00BF1462" w:rsidRDefault="00BB00D0" w:rsidP="00C622BD">
    <w:pPr>
      <w:pStyle w:val="Footer"/>
    </w:pPr>
    <w:r>
      <w:rPr>
        <w:noProof/>
      </w:rPr>
      <mc:AlternateContent>
        <mc:Choice Requires="wps">
          <w:drawing>
            <wp:anchor distT="0" distB="0" distL="114300" distR="114300" simplePos="0" relativeHeight="251658242" behindDoc="0" locked="0" layoutInCell="1" allowOverlap="1" wp14:anchorId="58DF1ED1" wp14:editId="02AE2926">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D5BAC"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6E6D3586" wp14:editId="6EAB41A7">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44282C7F" id="Straight Connector 2" o:spid="_x0000_s1026" alt="&quot;&quot;" style="position:absolute;z-index:25165824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8240" behindDoc="0" locked="0" layoutInCell="1" allowOverlap="1" wp14:anchorId="3B028AB2" wp14:editId="6B8F9F36">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64EEDF" id="Straight Connector 2" o:spid="_x0000_s1026" alt="&quot;&quot;"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sdt>
      <w:sdtPr>
        <w:alias w:val="Title"/>
        <w:tag w:val=""/>
        <w:id w:val="-2142170720"/>
        <w:placeholder>
          <w:docPart w:val="4C67A647D87E42E38D1112EAA0B71417"/>
        </w:placeholder>
        <w:dataBinding w:prefixMappings="xmlns:ns0='http://purl.org/dc/elements/1.1/' xmlns:ns1='http://schemas.openxmlformats.org/package/2006/metadata/core-properties' " w:xpath="/ns1:coreProperties[1]/ns0:title[1]" w:storeItemID="{6C3C8BC8-F283-45AE-878A-BAB7291924A1}"/>
        <w:text/>
      </w:sdtPr>
      <w:sdtContent>
        <w:r w:rsidR="00036598">
          <w:t>Victorian Cadastral Surveys Practice Directives</w:t>
        </w:r>
      </w:sdtContent>
    </w:sdt>
  </w:p>
  <w:p w14:paraId="29312032" w14:textId="01073851" w:rsidR="004176BE" w:rsidRDefault="00C622BD" w:rsidP="00CF01B0">
    <w:pPr>
      <w:pStyle w:val="FooterLight"/>
    </w:pPr>
    <w:r>
      <w:ptab w:relativeTo="margin" w:alignment="right" w:leader="none"/>
    </w:r>
    <w:sdt>
      <w:sdtPr>
        <w:alias w:val="Subject"/>
        <w:tag w:val=""/>
        <w:id w:val="-1571801674"/>
        <w:placeholder>
          <w:docPart w:val="EB7890949F6044F99755EBF3ED0C9B68"/>
        </w:placeholder>
        <w:dataBinding w:prefixMappings="xmlns:ns0='http://purl.org/dc/elements/1.1/' xmlns:ns1='http://schemas.openxmlformats.org/package/2006/metadata/core-properties' " w:xpath="/ns1:coreProperties[1]/ns0:subject[1]" w:storeItemID="{6C3C8BC8-F283-45AE-878A-BAB7291924A1}"/>
        <w:text/>
      </w:sdtPr>
      <w:sdtContent>
        <w:r w:rsidR="00E823B8" w:rsidRPr="00E823B8">
          <w:t>Surveyor-General Victoria</w:t>
        </w:r>
        <w:r w:rsidR="009048D5">
          <w:t xml:space="preserve"> Decembe</w:t>
        </w:r>
        <w:r w:rsidR="002E21D4">
          <w:t>r</w:t>
        </w:r>
        <w:r w:rsidR="009048D5">
          <w:t xml:space="preserve"> 2025</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7F4F9"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461DB485" w14:textId="1D8B04D2" w:rsidR="00C42FB0" w:rsidRPr="00C42FB0" w:rsidRDefault="00C42FB0" w:rsidP="0008556C">
    <w:pPr>
      <w:pStyle w:val="Footer"/>
    </w:pPr>
    <w:r w:rsidRPr="00C42FB0">
      <w:rPr>
        <w:noProof/>
      </w:rPr>
      <mc:AlternateContent>
        <mc:Choice Requires="wps">
          <w:drawing>
            <wp:anchor distT="0" distB="0" distL="114300" distR="114300" simplePos="0" relativeHeight="251658245" behindDoc="0" locked="0" layoutInCell="1" allowOverlap="1" wp14:anchorId="01F431BE" wp14:editId="1024EDF7">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BC3F2E" id="Straight Connector 3" o:spid="_x0000_s1026" alt="&quot;&quot;" style="position:absolute;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58244" behindDoc="0" locked="0" layoutInCell="1" allowOverlap="1" wp14:anchorId="73C9C916" wp14:editId="1F345638">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272B5F4F" id="Straight Connector 2" o:spid="_x0000_s1026" alt="&quot;&quot;" style="position:absolute;z-index:25165824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8243" behindDoc="0" locked="0" layoutInCell="1" allowOverlap="1" wp14:anchorId="35DC5452" wp14:editId="609BAD8C">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09E80CCD" id="Straight Connector 2" o:spid="_x0000_s1026" alt="&quot;&quot;" style="position:absolute;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sdt>
      <w:sdtPr>
        <w:alias w:val="Title"/>
        <w:tag w:val=""/>
        <w:id w:val="920454005"/>
        <w:placeholder>
          <w:docPart w:val="8C3544B6BF764FBBB5B5E769CCAAA88F"/>
        </w:placeholder>
        <w:dataBinding w:prefixMappings="xmlns:ns0='http://purl.org/dc/elements/1.1/' xmlns:ns1='http://schemas.openxmlformats.org/package/2006/metadata/core-properties' " w:xpath="/ns1:coreProperties[1]/ns0:title[1]" w:storeItemID="{6C3C8BC8-F283-45AE-878A-BAB7291924A1}"/>
        <w:text/>
      </w:sdtPr>
      <w:sdtContent>
        <w:r w:rsidR="00036598">
          <w:t>Victorian Cadastral Surveys Practice Directives</w:t>
        </w:r>
      </w:sdtContent>
    </w:sdt>
  </w:p>
  <w:p w14:paraId="7CA337C4" w14:textId="295154F2" w:rsidR="00C42FB0" w:rsidRPr="00C42FB0" w:rsidRDefault="00C42FB0" w:rsidP="0008556C">
    <w:pPr>
      <w:pStyle w:val="FooterLight"/>
    </w:pPr>
    <w:r w:rsidRPr="00C42FB0">
      <w:ptab w:relativeTo="margin" w:alignment="right" w:leader="none"/>
    </w:r>
    <w:sdt>
      <w:sdtPr>
        <w:alias w:val="Subject"/>
        <w:tag w:val=""/>
        <w:id w:val="-342546422"/>
        <w:placeholder>
          <w:docPart w:val="8CF9D8E7C3D3411D9447E6D4C25E82CC"/>
        </w:placeholder>
        <w:dataBinding w:prefixMappings="xmlns:ns0='http://purl.org/dc/elements/1.1/' xmlns:ns1='http://schemas.openxmlformats.org/package/2006/metadata/core-properties' " w:xpath="/ns1:coreProperties[1]/ns0:subject[1]" w:storeItemID="{6C3C8BC8-F283-45AE-878A-BAB7291924A1}"/>
        <w:text/>
      </w:sdtPr>
      <w:sdtContent>
        <w:r w:rsidR="009048D5">
          <w:t>Surveyor-General Victoria December 2025</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EE0E4" w14:textId="77777777" w:rsidR="003F144D" w:rsidRPr="00BE2E4B" w:rsidRDefault="003F144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63463B15" w14:textId="77777777" w:rsidR="003F144D" w:rsidRPr="00BF1462" w:rsidRDefault="003F144D" w:rsidP="00C622BD">
    <w:pPr>
      <w:pStyle w:val="Footer"/>
    </w:pPr>
    <w:r>
      <w:rPr>
        <w:noProof/>
      </w:rPr>
      <mc:AlternateContent>
        <mc:Choice Requires="wps">
          <w:drawing>
            <wp:anchor distT="0" distB="0" distL="114300" distR="114300" simplePos="0" relativeHeight="251658255" behindDoc="0" locked="0" layoutInCell="1" allowOverlap="1" wp14:anchorId="205944D2" wp14:editId="1BB1EA68">
              <wp:simplePos x="0" y="0"/>
              <wp:positionH relativeFrom="rightMargin">
                <wp:posOffset>-390005</wp:posOffset>
              </wp:positionH>
              <wp:positionV relativeFrom="paragraph">
                <wp:posOffset>-49652</wp:posOffset>
              </wp:positionV>
              <wp:extent cx="0" cy="278215"/>
              <wp:effectExtent l="0" t="0" r="38100" b="26670"/>
              <wp:wrapNone/>
              <wp:docPr id="45171375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05C06" id="Straight Connector 3" o:spid="_x0000_s1026" alt="&quot;&quot;" style="position:absolute;z-index:25165825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Pr>
        <w:noProof/>
      </w:rPr>
      <mc:AlternateContent>
        <mc:Choice Requires="wps">
          <w:drawing>
            <wp:anchor distT="0" distB="0" distL="114300" distR="114300" simplePos="0" relativeHeight="251658254" behindDoc="0" locked="0" layoutInCell="1" allowOverlap="1" wp14:anchorId="137A6184" wp14:editId="58FBAE3D">
              <wp:simplePos x="0" y="0"/>
              <wp:positionH relativeFrom="rightMargin">
                <wp:align>left</wp:align>
              </wp:positionH>
              <wp:positionV relativeFrom="paragraph">
                <wp:posOffset>-194310</wp:posOffset>
              </wp:positionV>
              <wp:extent cx="15120000" cy="0"/>
              <wp:effectExtent l="0" t="19050" r="43815" b="38100"/>
              <wp:wrapNone/>
              <wp:docPr id="21705739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09D9BB7B" id="Straight Connector 2" o:spid="_x0000_s1026" alt="&quot;&quot;" style="position:absolute;z-index:25165825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Pr>
        <w:noProof/>
      </w:rPr>
      <mc:AlternateContent>
        <mc:Choice Requires="wps">
          <w:drawing>
            <wp:anchor distT="0" distB="0" distL="114300" distR="114300" simplePos="0" relativeHeight="251658253" behindDoc="0" locked="0" layoutInCell="1" allowOverlap="1" wp14:anchorId="4A583739" wp14:editId="354B501D">
              <wp:simplePos x="0" y="0"/>
              <wp:positionH relativeFrom="margin">
                <wp:posOffset>0</wp:posOffset>
              </wp:positionH>
              <wp:positionV relativeFrom="paragraph">
                <wp:posOffset>-194346</wp:posOffset>
              </wp:positionV>
              <wp:extent cx="15120000" cy="0"/>
              <wp:effectExtent l="0" t="0" r="0" b="0"/>
              <wp:wrapNone/>
              <wp:docPr id="62700702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34EC8F" id="Straight Connector 2" o:spid="_x0000_s1026" alt="&quot;&quot;" style="position:absolute;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ptab w:relativeTo="margin" w:alignment="right" w:leader="none"/>
    </w:r>
    <w:sdt>
      <w:sdtPr>
        <w:alias w:val="Title"/>
        <w:tag w:val=""/>
        <w:id w:val="-335696851"/>
        <w:placeholder>
          <w:docPart w:val="CAA4EB0280CF431A8E27CE92488BDF38"/>
        </w:placeholder>
        <w:dataBinding w:prefixMappings="xmlns:ns0='http://purl.org/dc/elements/1.1/' xmlns:ns1='http://schemas.openxmlformats.org/package/2006/metadata/core-properties' " w:xpath="/ns1:coreProperties[1]/ns0:title[1]" w:storeItemID="{6C3C8BC8-F283-45AE-878A-BAB7291924A1}"/>
        <w:text/>
      </w:sdtPr>
      <w:sdtContent>
        <w:r>
          <w:t>Victorian Cadastral Surveys Practice Directives</w:t>
        </w:r>
      </w:sdtContent>
    </w:sdt>
  </w:p>
  <w:p w14:paraId="18556D92" w14:textId="77777777" w:rsidR="003F144D" w:rsidRDefault="003F144D" w:rsidP="00CF01B0">
    <w:pPr>
      <w:pStyle w:val="FooterLight"/>
    </w:pPr>
    <w:r>
      <w:ptab w:relativeTo="margin" w:alignment="right" w:leader="none"/>
    </w:r>
    <w:sdt>
      <w:sdtPr>
        <w:alias w:val="Subject"/>
        <w:tag w:val=""/>
        <w:id w:val="-1927260508"/>
        <w:placeholder>
          <w:docPart w:val="A12E3DDA50FD43B29D4231C660A36148"/>
        </w:placeholder>
        <w:dataBinding w:prefixMappings="xmlns:ns0='http://purl.org/dc/elements/1.1/' xmlns:ns1='http://schemas.openxmlformats.org/package/2006/metadata/core-properties' " w:xpath="/ns1:coreProperties[1]/ns0:subject[1]" w:storeItemID="{6C3C8BC8-F283-45AE-878A-BAB7291924A1}"/>
        <w:text/>
      </w:sdtPr>
      <w:sdtContent>
        <w:r w:rsidRPr="00E823B8">
          <w:t>Surveyor-General Victoria</w:t>
        </w:r>
        <w:r>
          <w:t xml:space="preserve"> December 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9D2BE" w14:textId="77777777" w:rsidR="007443CB" w:rsidRDefault="007443CB" w:rsidP="005C306E">
      <w:pPr>
        <w:spacing w:after="0"/>
      </w:pPr>
      <w:r>
        <w:separator/>
      </w:r>
    </w:p>
  </w:footnote>
  <w:footnote w:type="continuationSeparator" w:id="0">
    <w:p w14:paraId="1AC6AC75" w14:textId="77777777" w:rsidR="007443CB" w:rsidRDefault="007443CB" w:rsidP="005C306E">
      <w:pPr>
        <w:spacing w:after="0"/>
      </w:pPr>
      <w:r>
        <w:continuationSeparator/>
      </w:r>
    </w:p>
    <w:p w14:paraId="52D2C265" w14:textId="77777777" w:rsidR="007443CB" w:rsidRDefault="007443CB"/>
  </w:footnote>
  <w:footnote w:type="continuationNotice" w:id="1">
    <w:p w14:paraId="7A9BCEBF" w14:textId="77777777" w:rsidR="007443CB" w:rsidRDefault="007443CB">
      <w:pPr>
        <w:spacing w:before="0" w:after="0"/>
      </w:pPr>
    </w:p>
    <w:p w14:paraId="465777B0" w14:textId="77777777" w:rsidR="007443CB" w:rsidRDefault="007443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FDE4C" w14:textId="77777777" w:rsidR="002E21D4" w:rsidRDefault="002E21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4549" w14:textId="77777777" w:rsidR="00107B94" w:rsidRDefault="007A794B" w:rsidP="00107B94">
    <w:pPr>
      <w:pStyle w:val="Header"/>
    </w:pPr>
    <w:r>
      <w:rPr>
        <w:noProof/>
      </w:rPr>
      <mc:AlternateContent>
        <mc:Choice Requires="wps">
          <w:drawing>
            <wp:anchor distT="0" distB="0" distL="114300" distR="114300" simplePos="0" relativeHeight="251658248" behindDoc="0" locked="0" layoutInCell="1" allowOverlap="1" wp14:anchorId="040BC7AF" wp14:editId="52F84370">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7332A949" id="Straight Connector 2" o:spid="_x0000_s1026" alt="&quot;&quot;" style="position:absolute;z-index:251658248;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58247" behindDoc="0" locked="0" layoutInCell="1" allowOverlap="1" wp14:anchorId="194008BD" wp14:editId="489C0776">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0830DD79" id="Straight Connector 2" o:spid="_x0000_s1026" alt="&quot;&quot;" style="position:absolute;z-index:25165824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58246" behindDoc="1" locked="0" layoutInCell="1" allowOverlap="1" wp14:anchorId="24D71AAD" wp14:editId="6B272C65">
          <wp:simplePos x="0" y="0"/>
          <wp:positionH relativeFrom="rightMargin">
            <wp:posOffset>-1289050</wp:posOffset>
          </wp:positionH>
          <wp:positionV relativeFrom="page">
            <wp:posOffset>0</wp:posOffset>
          </wp:positionV>
          <wp:extent cx="518400" cy="900000"/>
          <wp:effectExtent l="0" t="0" r="0" b="0"/>
          <wp:wrapNone/>
          <wp:docPr id="122158340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322D" w14:textId="670996EE" w:rsidR="0023215C" w:rsidRDefault="0023215C" w:rsidP="00C44FF1">
    <w:pPr>
      <w:pStyle w:val="BannerTitle"/>
    </w:pPr>
    <w:r>
      <w:rPr>
        <w:noProof/>
      </w:rPr>
      <w:drawing>
        <wp:anchor distT="0" distB="0" distL="114300" distR="114300" simplePos="0" relativeHeight="251658252" behindDoc="1" locked="0" layoutInCell="1" allowOverlap="1" wp14:anchorId="7FDBBE91" wp14:editId="2C2ACCDE">
          <wp:simplePos x="0" y="0"/>
          <wp:positionH relativeFrom="rightMargin">
            <wp:posOffset>-1620520</wp:posOffset>
          </wp:positionH>
          <wp:positionV relativeFrom="page">
            <wp:posOffset>738718</wp:posOffset>
          </wp:positionV>
          <wp:extent cx="1306800" cy="403200"/>
          <wp:effectExtent l="0" t="0" r="0" b="0"/>
          <wp:wrapNone/>
          <wp:docPr id="64163706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010234CC" wp14:editId="4CB028E9">
          <wp:simplePos x="0" y="0"/>
          <wp:positionH relativeFrom="rightMargin">
            <wp:posOffset>-2491740</wp:posOffset>
          </wp:positionH>
          <wp:positionV relativeFrom="page">
            <wp:posOffset>0</wp:posOffset>
          </wp:positionV>
          <wp:extent cx="842400" cy="1620000"/>
          <wp:effectExtent l="0" t="0" r="0" b="0"/>
          <wp:wrapNone/>
          <wp:docPr id="4081995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B3539C0786CD44319265F8A668253754"/>
        </w:placeholder>
        <w:dataBinding w:prefixMappings="xmlns:ns0='http://purl.org/dc/elements/1.1/' xmlns:ns1='http://schemas.openxmlformats.org/package/2006/metadata/core-properties' " w:xpath="/ns1:coreProperties[1]/ns0:title[1]" w:storeItemID="{6C3C8BC8-F283-45AE-878A-BAB7291924A1}"/>
        <w:text w:multiLine="1"/>
      </w:sdtPr>
      <w:sdtContent>
        <w:r w:rsidR="00036598">
          <w:t>Victorian Cadastral Surveys Practice Directives</w:t>
        </w:r>
      </w:sdtContent>
    </w:sdt>
    <w:r>
      <w:rPr>
        <w:noProof/>
      </w:rPr>
      <mc:AlternateContent>
        <mc:Choice Requires="wps">
          <w:drawing>
            <wp:anchor distT="0" distB="0" distL="114300" distR="114300" simplePos="0" relativeHeight="251658249" behindDoc="0" locked="0" layoutInCell="1" allowOverlap="1" wp14:anchorId="1D1E5255" wp14:editId="2F494419">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32111C2F" id="Straight Connector 2" o:spid="_x0000_s1026" alt="&quot;&quot;" style="position:absolute;z-index:25165824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p>
  <w:p w14:paraId="21DDCF87" w14:textId="3431900E" w:rsidR="00CC20E4" w:rsidRPr="00C51CBD" w:rsidRDefault="0012391D" w:rsidP="00CC20E4">
    <w:pPr>
      <w:pStyle w:val="BannerSubtitle"/>
    </w:pPr>
    <w:sdt>
      <w:sdtPr>
        <w:alias w:val="Subject"/>
        <w:tag w:val=""/>
        <w:id w:val="-409696641"/>
        <w:placeholder>
          <w:docPart w:val="714F47FF3AB94E6195060DAAE94E84F7"/>
        </w:placeholder>
        <w:dataBinding w:prefixMappings="xmlns:ns0='http://purl.org/dc/elements/1.1/' xmlns:ns1='http://schemas.openxmlformats.org/package/2006/metadata/core-properties' " w:xpath="/ns1:coreProperties[1]/ns0:subject[1]" w:storeItemID="{6C3C8BC8-F283-45AE-878A-BAB7291924A1}"/>
        <w:text/>
      </w:sdtPr>
      <w:sdtContent>
        <w:r w:rsidR="009048D5">
          <w:t>Surveyor-General Victoria December 2025</w:t>
        </w:r>
      </w:sdtContent>
    </w:sdt>
    <w:r w:rsidR="0023215C">
      <w:rPr>
        <w:noProof/>
      </w:rPr>
      <mc:AlternateContent>
        <mc:Choice Requires="wps">
          <w:drawing>
            <wp:anchor distT="0" distB="133350" distL="114300" distR="114300" simplePos="0" relativeHeight="251658250" behindDoc="0" locked="0" layoutInCell="1" allowOverlap="1" wp14:anchorId="28C635EB" wp14:editId="570F531C">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101B31D" id="Straight Connector 2" o:spid="_x0000_s1026" alt="&quot;&quot;" style="position:absolute;z-index:251658250;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6ifjVB18" int2:invalidationBookmarkName="" int2:hashCode="hnYbY6e9H0gO1I" int2:id="1Iiup7a3">
      <int2:state int2:value="Rejected" int2:type="gram"/>
    </int2:bookmark>
    <int2:bookmark int2:bookmarkName="_Int_m9ngqzNl" int2:invalidationBookmarkName="" int2:hashCode="G5E0+pHPX9hi1D" int2:id="GjURW9as">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B840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044034DC"/>
    <w:multiLevelType w:val="multilevel"/>
    <w:tmpl w:val="38CA038A"/>
    <w:lvl w:ilvl="0">
      <w:start w:val="2"/>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360F6B"/>
    <w:multiLevelType w:val="hybridMultilevel"/>
    <w:tmpl w:val="72EEB2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652A7C"/>
    <w:multiLevelType w:val="hybridMultilevel"/>
    <w:tmpl w:val="EE8624BA"/>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6" w15:restartNumberingAfterBreak="0">
    <w:nsid w:val="077E1CF7"/>
    <w:multiLevelType w:val="hybridMultilevel"/>
    <w:tmpl w:val="D9E6080E"/>
    <w:name w:val="DEPIListAlpha2"/>
    <w:lvl w:ilvl="0" w:tplc="F9A0F124">
      <w:start w:val="2"/>
      <w:numFmt w:val="lowerLetter"/>
      <w:lvlText w:val="%1."/>
      <w:lvlJc w:val="lef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97A453"/>
    <w:multiLevelType w:val="multilevel"/>
    <w:tmpl w:val="FFFFFFFF"/>
    <w:lvl w:ilvl="0">
      <w:start w:val="1"/>
      <w:numFmt w:val="bullet"/>
      <w:lvlText w:val="–"/>
      <w:lvlJc w:val="left"/>
      <w:pPr>
        <w:ind w:left="567" w:hanging="283"/>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D8B339A"/>
    <w:multiLevelType w:val="hybridMultilevel"/>
    <w:tmpl w:val="C890EC48"/>
    <w:lvl w:ilvl="0" w:tplc="6DEEBBD6">
      <w:start w:val="1"/>
      <w:numFmt w:val="lowerRoman"/>
      <w:lvlText w:val="%1."/>
      <w:lvlJc w:val="left"/>
      <w:pPr>
        <w:ind w:left="1049" w:hanging="369"/>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B05D3B"/>
    <w:multiLevelType w:val="hybridMultilevel"/>
    <w:tmpl w:val="EE8624BA"/>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10"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0F892655"/>
    <w:multiLevelType w:val="multilevel"/>
    <w:tmpl w:val="F8C8B592"/>
    <w:numStyleLink w:val="111111"/>
  </w:abstractNum>
  <w:abstractNum w:abstractNumId="12" w15:restartNumberingAfterBreak="0">
    <w:nsid w:val="135C678B"/>
    <w:multiLevelType w:val="hybridMultilevel"/>
    <w:tmpl w:val="28FA81EA"/>
    <w:name w:val="DEPIListAlpha4"/>
    <w:lvl w:ilvl="0" w:tplc="BCD85D00">
      <w:start w:val="4"/>
      <w:numFmt w:val="lowerLetter"/>
      <w:lvlText w:val="%1."/>
      <w:lvlJc w:val="lef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AF0B3D"/>
    <w:multiLevelType w:val="hybridMultilevel"/>
    <w:tmpl w:val="3180596A"/>
    <w:lvl w:ilvl="0" w:tplc="CD5CF7FE">
      <w:start w:val="1"/>
      <w:numFmt w:val="lowerRoman"/>
      <w:lvlText w:val="%1."/>
      <w:lvlJc w:val="right"/>
      <w:pPr>
        <w:ind w:left="927" w:hanging="360"/>
      </w:pPr>
      <w:rPr>
        <w:rFonts w:asciiTheme="minorHAnsi" w:eastAsia="Times New Roman" w:hAnsiTheme="minorHAnsi" w:cs="Arial"/>
      </w:r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17D4644A"/>
    <w:multiLevelType w:val="hybridMultilevel"/>
    <w:tmpl w:val="80641728"/>
    <w:name w:val="DEPIListAlpha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E35FC8"/>
    <w:multiLevelType w:val="hybridMultilevel"/>
    <w:tmpl w:val="14B4B9EA"/>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16"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7" w15:restartNumberingAfterBreak="0">
    <w:nsid w:val="1CAC23AD"/>
    <w:multiLevelType w:val="multilevel"/>
    <w:tmpl w:val="3A2034C6"/>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275C51"/>
    <w:multiLevelType w:val="hybridMultilevel"/>
    <w:tmpl w:val="AC023504"/>
    <w:name w:val="DEPIListAlpha"/>
    <w:lvl w:ilvl="0" w:tplc="F7587044">
      <w:start w:val="1"/>
      <w:numFmt w:val="lowerLetter"/>
      <w:lvlText w:val="%1."/>
      <w:lvlJc w:val="left"/>
      <w:pPr>
        <w:ind w:left="680" w:hanging="340"/>
      </w:pPr>
      <w:rPr>
        <w:rFonts w:hint="default"/>
      </w:rPr>
    </w:lvl>
    <w:lvl w:ilvl="1" w:tplc="6DEEBBD6">
      <w:start w:val="1"/>
      <w:numFmt w:val="lowerRoman"/>
      <w:lvlText w:val="%2."/>
      <w:lvlJc w:val="left"/>
      <w:pPr>
        <w:ind w:left="1049" w:hanging="369"/>
      </w:pPr>
      <w:rPr>
        <w:rFonts w:hint="default"/>
      </w:rPr>
    </w:lvl>
    <w:lvl w:ilvl="2" w:tplc="9C469FCE">
      <w:start w:val="1"/>
      <w:numFmt w:val="bullet"/>
      <w:lvlText w:val="–"/>
      <w:lvlJc w:val="left"/>
      <w:pPr>
        <w:ind w:left="1389" w:hanging="340"/>
      </w:pPr>
      <w:rPr>
        <w:rFonts w:ascii="Arial" w:hAnsi="Arial" w:hint="default"/>
        <w:color w:val="auto"/>
      </w:rPr>
    </w:lvl>
    <w:lvl w:ilvl="3" w:tplc="16D410DE">
      <w:start w:val="1"/>
      <w:numFmt w:val="decimal"/>
      <w:lvlText w:val="%4."/>
      <w:lvlJc w:val="left"/>
      <w:pPr>
        <w:ind w:left="2156" w:hanging="454"/>
      </w:pPr>
      <w:rPr>
        <w:rFonts w:hint="default"/>
      </w:rPr>
    </w:lvl>
    <w:lvl w:ilvl="4" w:tplc="895E4EE2">
      <w:start w:val="1"/>
      <w:numFmt w:val="lowerLetter"/>
      <w:lvlText w:val="%5."/>
      <w:lvlJc w:val="left"/>
      <w:pPr>
        <w:ind w:left="2610" w:hanging="454"/>
      </w:pPr>
      <w:rPr>
        <w:rFonts w:hint="default"/>
      </w:rPr>
    </w:lvl>
    <w:lvl w:ilvl="5" w:tplc="C06A58D4">
      <w:start w:val="1"/>
      <w:numFmt w:val="lowerRoman"/>
      <w:lvlText w:val="%6."/>
      <w:lvlJc w:val="right"/>
      <w:pPr>
        <w:ind w:left="3064" w:hanging="454"/>
      </w:pPr>
      <w:rPr>
        <w:rFonts w:hint="default"/>
      </w:rPr>
    </w:lvl>
    <w:lvl w:ilvl="6" w:tplc="35DE17E4">
      <w:start w:val="1"/>
      <w:numFmt w:val="decimal"/>
      <w:lvlText w:val="%7."/>
      <w:lvlJc w:val="left"/>
      <w:pPr>
        <w:ind w:left="3518" w:hanging="454"/>
      </w:pPr>
      <w:rPr>
        <w:rFonts w:hint="default"/>
      </w:rPr>
    </w:lvl>
    <w:lvl w:ilvl="7" w:tplc="FFE6C918">
      <w:start w:val="1"/>
      <w:numFmt w:val="lowerLetter"/>
      <w:lvlText w:val="%8."/>
      <w:lvlJc w:val="left"/>
      <w:pPr>
        <w:ind w:left="3972" w:hanging="454"/>
      </w:pPr>
      <w:rPr>
        <w:rFonts w:hint="default"/>
      </w:rPr>
    </w:lvl>
    <w:lvl w:ilvl="8" w:tplc="59A0E7C4">
      <w:start w:val="1"/>
      <w:numFmt w:val="lowerRoman"/>
      <w:lvlText w:val="%9."/>
      <w:lvlJc w:val="right"/>
      <w:pPr>
        <w:ind w:left="4426" w:hanging="454"/>
      </w:pPr>
      <w:rPr>
        <w:rFonts w:hint="default"/>
      </w:rPr>
    </w:lvl>
  </w:abstractNum>
  <w:abstractNum w:abstractNumId="19" w15:restartNumberingAfterBreak="0">
    <w:nsid w:val="225A141A"/>
    <w:multiLevelType w:val="multilevel"/>
    <w:tmpl w:val="1F28AFEA"/>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34A0657"/>
    <w:multiLevelType w:val="hybridMultilevel"/>
    <w:tmpl w:val="9A04129C"/>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21"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22" w15:restartNumberingAfterBreak="0">
    <w:nsid w:val="246B6192"/>
    <w:multiLevelType w:val="multilevel"/>
    <w:tmpl w:val="7B54C4DE"/>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4FF7E6D"/>
    <w:multiLevelType w:val="hybridMultilevel"/>
    <w:tmpl w:val="33DCFEDA"/>
    <w:lvl w:ilvl="0" w:tplc="CCD23368">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24" w15:restartNumberingAfterBreak="0">
    <w:nsid w:val="26EC6E56"/>
    <w:multiLevelType w:val="hybridMultilevel"/>
    <w:tmpl w:val="06C4D012"/>
    <w:lvl w:ilvl="0" w:tplc="F3D26D7C">
      <w:start w:val="1"/>
      <w:numFmt w:val="lowerLetter"/>
      <w:lvlText w:val="%1."/>
      <w:lvlJc w:val="left"/>
      <w:pPr>
        <w:ind w:left="680" w:hanging="340"/>
      </w:pPr>
      <w:rPr>
        <w:rFonts w:hint="default"/>
        <w:b w:val="0"/>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25" w15:restartNumberingAfterBreak="0">
    <w:nsid w:val="2CDD4721"/>
    <w:multiLevelType w:val="hybridMultilevel"/>
    <w:tmpl w:val="F782B6EA"/>
    <w:name w:val="DEPIListAlph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A53631"/>
    <w:multiLevelType w:val="hybridMultilevel"/>
    <w:tmpl w:val="C9F0707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FD37457"/>
    <w:multiLevelType w:val="hybridMultilevel"/>
    <w:tmpl w:val="233AD0C8"/>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28" w15:restartNumberingAfterBreak="0">
    <w:nsid w:val="30BF3BF5"/>
    <w:multiLevelType w:val="multilevel"/>
    <w:tmpl w:val="B8286762"/>
    <w:lvl w:ilvl="0">
      <w:start w:val="2"/>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5233A7F"/>
    <w:multiLevelType w:val="hybridMultilevel"/>
    <w:tmpl w:val="14B4B9EA"/>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30" w15:restartNumberingAfterBreak="0">
    <w:nsid w:val="36701CCE"/>
    <w:multiLevelType w:val="hybridMultilevel"/>
    <w:tmpl w:val="EE8624BA"/>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31"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2" w15:restartNumberingAfterBreak="0">
    <w:nsid w:val="3B457E57"/>
    <w:multiLevelType w:val="hybridMultilevel"/>
    <w:tmpl w:val="5902F300"/>
    <w:name w:val="DEPIListAlpha6"/>
    <w:lvl w:ilvl="0" w:tplc="18C00082">
      <w:start w:val="2"/>
      <w:numFmt w:val="lowerLetter"/>
      <w:lvlText w:val="%1."/>
      <w:lvlJc w:val="lef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4B352DD"/>
    <w:multiLevelType w:val="hybridMultilevel"/>
    <w:tmpl w:val="14B4B9EA"/>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34" w15:restartNumberingAfterBreak="0">
    <w:nsid w:val="49B02A56"/>
    <w:multiLevelType w:val="hybridMultilevel"/>
    <w:tmpl w:val="CADA80D0"/>
    <w:name w:val="DEPIListAlpha7"/>
    <w:lvl w:ilvl="0" w:tplc="E2B85320">
      <w:start w:val="2"/>
      <w:numFmt w:val="lowerLetter"/>
      <w:lvlText w:val="%1."/>
      <w:lvlJc w:val="lef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35104F8"/>
    <w:multiLevelType w:val="multilevel"/>
    <w:tmpl w:val="6A28D734"/>
    <w:numStyleLink w:val="1ai"/>
  </w:abstractNum>
  <w:abstractNum w:abstractNumId="36" w15:restartNumberingAfterBreak="0">
    <w:nsid w:val="546321DB"/>
    <w:multiLevelType w:val="multilevel"/>
    <w:tmpl w:val="48402070"/>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7411198"/>
    <w:multiLevelType w:val="hybridMultilevel"/>
    <w:tmpl w:val="2AC424EA"/>
    <w:name w:val="DEPIListAlpha72"/>
    <w:lvl w:ilvl="0" w:tplc="99C0E6F4">
      <w:start w:val="3"/>
      <w:numFmt w:val="lowerLetter"/>
      <w:lvlText w:val="%1."/>
      <w:lvlJc w:val="lef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7F81202"/>
    <w:multiLevelType w:val="multilevel"/>
    <w:tmpl w:val="E892C464"/>
    <w:styleLink w:val="BulletList"/>
    <w:lvl w:ilvl="0">
      <w:start w:val="1"/>
      <w:numFmt w:val="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9" w15:restartNumberingAfterBreak="0">
    <w:nsid w:val="5BEE7AC6"/>
    <w:multiLevelType w:val="hybridMultilevel"/>
    <w:tmpl w:val="C25AB252"/>
    <w:name w:val="DEPIListAlpha5"/>
    <w:lvl w:ilvl="0" w:tplc="C0E8287C">
      <w:start w:val="2"/>
      <w:numFmt w:val="lowerLetter"/>
      <w:lvlText w:val="%1."/>
      <w:lvlJc w:val="lef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14A0E95"/>
    <w:multiLevelType w:val="multilevel"/>
    <w:tmpl w:val="29504426"/>
    <w:lvl w:ilvl="0">
      <w:start w:val="5"/>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42" w15:restartNumberingAfterBreak="0">
    <w:nsid w:val="63B72EB6"/>
    <w:multiLevelType w:val="hybridMultilevel"/>
    <w:tmpl w:val="1BC4B37E"/>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43"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4" w15:restartNumberingAfterBreak="0">
    <w:nsid w:val="6A906C8E"/>
    <w:multiLevelType w:val="hybridMultilevel"/>
    <w:tmpl w:val="EE8624BA"/>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45" w15:restartNumberingAfterBreak="0">
    <w:nsid w:val="6A953552"/>
    <w:multiLevelType w:val="hybridMultilevel"/>
    <w:tmpl w:val="C9F0707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C17024D"/>
    <w:multiLevelType w:val="hybridMultilevel"/>
    <w:tmpl w:val="9A04129C"/>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47" w15:restartNumberingAfterBreak="0">
    <w:nsid w:val="6D58212C"/>
    <w:multiLevelType w:val="hybridMultilevel"/>
    <w:tmpl w:val="9A04129C"/>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48" w15:restartNumberingAfterBreak="0">
    <w:nsid w:val="6FBF405C"/>
    <w:multiLevelType w:val="hybridMultilevel"/>
    <w:tmpl w:val="CADA80D0"/>
    <w:lvl w:ilvl="0" w:tplc="FFFFFFFF">
      <w:start w:val="2"/>
      <w:numFmt w:val="lowerLetter"/>
      <w:lvlText w:val="%1."/>
      <w:lvlJc w:val="left"/>
      <w:pPr>
        <w:ind w:left="680" w:hanging="34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24E75F9"/>
    <w:multiLevelType w:val="hybridMultilevel"/>
    <w:tmpl w:val="14B4B9EA"/>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50" w15:restartNumberingAfterBreak="0">
    <w:nsid w:val="75DC5141"/>
    <w:multiLevelType w:val="hybridMultilevel"/>
    <w:tmpl w:val="659A5358"/>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abstractNum w:abstractNumId="51" w15:restartNumberingAfterBreak="0">
    <w:nsid w:val="784F3B4C"/>
    <w:multiLevelType w:val="hybridMultilevel"/>
    <w:tmpl w:val="D3E47FF0"/>
    <w:lvl w:ilvl="0" w:tplc="2A4E68E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3" w15:restartNumberingAfterBreak="0">
    <w:nsid w:val="7FEB3C74"/>
    <w:multiLevelType w:val="hybridMultilevel"/>
    <w:tmpl w:val="659A5358"/>
    <w:lvl w:ilvl="0" w:tplc="FFFFFFFF">
      <w:start w:val="1"/>
      <w:numFmt w:val="lowerLetter"/>
      <w:lvlText w:val="%1."/>
      <w:lvlJc w:val="left"/>
      <w:pPr>
        <w:ind w:left="680" w:hanging="340"/>
      </w:pPr>
      <w:rPr>
        <w:rFonts w:hint="default"/>
      </w:rPr>
    </w:lvl>
    <w:lvl w:ilvl="1" w:tplc="FFFFFFFF">
      <w:start w:val="1"/>
      <w:numFmt w:val="lowerRoman"/>
      <w:lvlText w:val="%2."/>
      <w:lvlJc w:val="left"/>
      <w:pPr>
        <w:ind w:left="1049" w:hanging="369"/>
      </w:pPr>
      <w:rPr>
        <w:rFonts w:hint="default"/>
      </w:rPr>
    </w:lvl>
    <w:lvl w:ilvl="2" w:tplc="FFFFFFFF">
      <w:start w:val="1"/>
      <w:numFmt w:val="bullet"/>
      <w:lvlText w:val="–"/>
      <w:lvlJc w:val="left"/>
      <w:pPr>
        <w:ind w:left="1389" w:hanging="340"/>
      </w:pPr>
      <w:rPr>
        <w:rFonts w:ascii="Arial" w:hAnsi="Arial" w:hint="default"/>
        <w:color w:val="auto"/>
      </w:rPr>
    </w:lvl>
    <w:lvl w:ilvl="3" w:tplc="FFFFFFFF">
      <w:start w:val="1"/>
      <w:numFmt w:val="decimal"/>
      <w:lvlText w:val="%4."/>
      <w:lvlJc w:val="left"/>
      <w:pPr>
        <w:ind w:left="2156" w:hanging="454"/>
      </w:pPr>
      <w:rPr>
        <w:rFonts w:hint="default"/>
      </w:rPr>
    </w:lvl>
    <w:lvl w:ilvl="4" w:tplc="FFFFFFFF">
      <w:start w:val="1"/>
      <w:numFmt w:val="lowerLetter"/>
      <w:lvlText w:val="%5."/>
      <w:lvlJc w:val="left"/>
      <w:pPr>
        <w:ind w:left="2610" w:hanging="454"/>
      </w:pPr>
      <w:rPr>
        <w:rFonts w:hint="default"/>
      </w:rPr>
    </w:lvl>
    <w:lvl w:ilvl="5" w:tplc="FFFFFFFF">
      <w:start w:val="1"/>
      <w:numFmt w:val="lowerRoman"/>
      <w:lvlText w:val="%6."/>
      <w:lvlJc w:val="right"/>
      <w:pPr>
        <w:ind w:left="3064" w:hanging="454"/>
      </w:pPr>
      <w:rPr>
        <w:rFonts w:hint="default"/>
      </w:rPr>
    </w:lvl>
    <w:lvl w:ilvl="6" w:tplc="FFFFFFFF">
      <w:start w:val="1"/>
      <w:numFmt w:val="decimal"/>
      <w:lvlText w:val="%7."/>
      <w:lvlJc w:val="left"/>
      <w:pPr>
        <w:ind w:left="3518" w:hanging="454"/>
      </w:pPr>
      <w:rPr>
        <w:rFonts w:hint="default"/>
      </w:rPr>
    </w:lvl>
    <w:lvl w:ilvl="7" w:tplc="FFFFFFFF">
      <w:start w:val="1"/>
      <w:numFmt w:val="lowerLetter"/>
      <w:lvlText w:val="%8."/>
      <w:lvlJc w:val="left"/>
      <w:pPr>
        <w:ind w:left="3972" w:hanging="454"/>
      </w:pPr>
      <w:rPr>
        <w:rFonts w:hint="default"/>
      </w:rPr>
    </w:lvl>
    <w:lvl w:ilvl="8" w:tplc="FFFFFFFF">
      <w:start w:val="1"/>
      <w:numFmt w:val="lowerRoman"/>
      <w:lvlText w:val="%9."/>
      <w:lvlJc w:val="right"/>
      <w:pPr>
        <w:ind w:left="4426" w:hanging="454"/>
      </w:pPr>
      <w:rPr>
        <w:rFonts w:hint="default"/>
      </w:rPr>
    </w:lvl>
  </w:abstractNum>
  <w:num w:numId="1" w16cid:durableId="121651852">
    <w:abstractNumId w:val="31"/>
  </w:num>
  <w:num w:numId="2" w16cid:durableId="1323777600">
    <w:abstractNumId w:val="43"/>
  </w:num>
  <w:num w:numId="3" w16cid:durableId="1773864742">
    <w:abstractNumId w:val="2"/>
  </w:num>
  <w:num w:numId="4" w16cid:durableId="713967767">
    <w:abstractNumId w:val="11"/>
  </w:num>
  <w:num w:numId="5" w16cid:durableId="755858208">
    <w:abstractNumId w:val="52"/>
  </w:num>
  <w:num w:numId="6" w16cid:durableId="1390109764">
    <w:abstractNumId w:val="10"/>
  </w:num>
  <w:num w:numId="7" w16cid:durableId="607273753">
    <w:abstractNumId w:val="21"/>
  </w:num>
  <w:num w:numId="8" w16cid:durableId="1427506422">
    <w:abstractNumId w:val="41"/>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1073350815">
    <w:abstractNumId w:val="35"/>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253365451">
    <w:abstractNumId w:val="1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400492041">
    <w:abstractNumId w:val="38"/>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2" w16cid:durableId="2407972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3341285">
    <w:abstractNumId w:val="18"/>
  </w:num>
  <w:num w:numId="14" w16cid:durableId="340282123">
    <w:abstractNumId w:val="1"/>
  </w:num>
  <w:num w:numId="15" w16cid:durableId="1226574924">
    <w:abstractNumId w:val="15"/>
  </w:num>
  <w:num w:numId="16" w16cid:durableId="446896471">
    <w:abstractNumId w:val="24"/>
  </w:num>
  <w:num w:numId="17" w16cid:durableId="1719891953">
    <w:abstractNumId w:val="4"/>
  </w:num>
  <w:num w:numId="18" w16cid:durableId="1055157856">
    <w:abstractNumId w:val="42"/>
  </w:num>
  <w:num w:numId="19" w16cid:durableId="14119248">
    <w:abstractNumId w:val="50"/>
  </w:num>
  <w:num w:numId="20" w16cid:durableId="3509586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63977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6522375">
    <w:abstractNumId w:val="33"/>
  </w:num>
  <w:num w:numId="23" w16cid:durableId="781413153">
    <w:abstractNumId w:val="16"/>
  </w:num>
  <w:num w:numId="24" w16cid:durableId="809975678">
    <w:abstractNumId w:val="38"/>
  </w:num>
  <w:num w:numId="25" w16cid:durableId="394546669">
    <w:abstractNumId w:val="41"/>
  </w:num>
  <w:num w:numId="26" w16cid:durableId="1717002345">
    <w:abstractNumId w:val="26"/>
  </w:num>
  <w:num w:numId="27" w16cid:durableId="650017405">
    <w:abstractNumId w:val="49"/>
  </w:num>
  <w:num w:numId="28" w16cid:durableId="1681618408">
    <w:abstractNumId w:val="29"/>
  </w:num>
  <w:num w:numId="29" w16cid:durableId="1488591379">
    <w:abstractNumId w:val="6"/>
  </w:num>
  <w:num w:numId="30" w16cid:durableId="1067415932">
    <w:abstractNumId w:val="13"/>
  </w:num>
  <w:num w:numId="31" w16cid:durableId="808670670">
    <w:abstractNumId w:val="12"/>
  </w:num>
  <w:num w:numId="32" w16cid:durableId="1853564308">
    <w:abstractNumId w:val="27"/>
  </w:num>
  <w:num w:numId="33" w16cid:durableId="1412893872">
    <w:abstractNumId w:val="39"/>
  </w:num>
  <w:num w:numId="34" w16cid:durableId="1604067555">
    <w:abstractNumId w:val="47"/>
  </w:num>
  <w:num w:numId="35" w16cid:durableId="1662153438">
    <w:abstractNumId w:val="20"/>
  </w:num>
  <w:num w:numId="36" w16cid:durableId="44762123">
    <w:abstractNumId w:val="46"/>
  </w:num>
  <w:num w:numId="37" w16cid:durableId="1877234054">
    <w:abstractNumId w:val="32"/>
  </w:num>
  <w:num w:numId="38" w16cid:durableId="1168866445">
    <w:abstractNumId w:val="30"/>
  </w:num>
  <w:num w:numId="39" w16cid:durableId="1917397106">
    <w:abstractNumId w:val="23"/>
  </w:num>
  <w:num w:numId="40" w16cid:durableId="1957560699">
    <w:abstractNumId w:val="9"/>
  </w:num>
  <w:num w:numId="41" w16cid:durableId="4289481">
    <w:abstractNumId w:val="5"/>
  </w:num>
  <w:num w:numId="42" w16cid:durableId="1332758536">
    <w:abstractNumId w:val="44"/>
  </w:num>
  <w:num w:numId="43" w16cid:durableId="1407876576">
    <w:abstractNumId w:val="28"/>
  </w:num>
  <w:num w:numId="44" w16cid:durableId="62684479">
    <w:abstractNumId w:val="17"/>
  </w:num>
  <w:num w:numId="45" w16cid:durableId="1676296888">
    <w:abstractNumId w:val="36"/>
  </w:num>
  <w:num w:numId="46" w16cid:durableId="605385418">
    <w:abstractNumId w:val="3"/>
  </w:num>
  <w:num w:numId="47" w16cid:durableId="2096827770">
    <w:abstractNumId w:val="53"/>
  </w:num>
  <w:num w:numId="48" w16cid:durableId="572080066">
    <w:abstractNumId w:val="34"/>
  </w:num>
  <w:num w:numId="49" w16cid:durableId="233122952">
    <w:abstractNumId w:val="19"/>
  </w:num>
  <w:num w:numId="50" w16cid:durableId="1952322743">
    <w:abstractNumId w:val="40"/>
  </w:num>
  <w:num w:numId="51" w16cid:durableId="1321499586">
    <w:abstractNumId w:val="45"/>
  </w:num>
  <w:num w:numId="52" w16cid:durableId="564876269">
    <w:abstractNumId w:val="14"/>
  </w:num>
  <w:num w:numId="53" w16cid:durableId="230123097">
    <w:abstractNumId w:val="22"/>
  </w:num>
  <w:num w:numId="54" w16cid:durableId="1615476738">
    <w:abstractNumId w:val="37"/>
  </w:num>
  <w:num w:numId="55" w16cid:durableId="1397895047">
    <w:abstractNumId w:val="48"/>
  </w:num>
  <w:num w:numId="56" w16cid:durableId="2035424624">
    <w:abstractNumId w:val="8"/>
  </w:num>
  <w:num w:numId="57" w16cid:durableId="1561554144">
    <w:abstractNumId w:val="51"/>
  </w:num>
  <w:num w:numId="58" w16cid:durableId="1690259629">
    <w:abstractNumId w:val="38"/>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pStyle w:val="ListBullet2"/>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59" w16cid:durableId="1631084345">
    <w:abstractNumId w:val="0"/>
  </w:num>
  <w:num w:numId="60" w16cid:durableId="708259250">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SortMethod w:val="0000"/>
  <w:documentProtection w:edit="readOnly" w:enforcement="1"/>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FE"/>
    <w:rsid w:val="00002DC8"/>
    <w:rsid w:val="00003208"/>
    <w:rsid w:val="00004BA5"/>
    <w:rsid w:val="00005CDD"/>
    <w:rsid w:val="00007B9C"/>
    <w:rsid w:val="000127BF"/>
    <w:rsid w:val="00012ABD"/>
    <w:rsid w:val="00013046"/>
    <w:rsid w:val="000133F9"/>
    <w:rsid w:val="000146F8"/>
    <w:rsid w:val="000149F1"/>
    <w:rsid w:val="00014D6F"/>
    <w:rsid w:val="00014F64"/>
    <w:rsid w:val="00015F40"/>
    <w:rsid w:val="00017AC2"/>
    <w:rsid w:val="00020FFB"/>
    <w:rsid w:val="00021FB2"/>
    <w:rsid w:val="00024A84"/>
    <w:rsid w:val="00027DA5"/>
    <w:rsid w:val="000305FA"/>
    <w:rsid w:val="00031D17"/>
    <w:rsid w:val="0003223E"/>
    <w:rsid w:val="00032B41"/>
    <w:rsid w:val="00035BD3"/>
    <w:rsid w:val="00036598"/>
    <w:rsid w:val="00036B35"/>
    <w:rsid w:val="0004068B"/>
    <w:rsid w:val="000408A4"/>
    <w:rsid w:val="00042BEF"/>
    <w:rsid w:val="00042BF3"/>
    <w:rsid w:val="00044075"/>
    <w:rsid w:val="00044BCA"/>
    <w:rsid w:val="000453AB"/>
    <w:rsid w:val="00045662"/>
    <w:rsid w:val="00045D38"/>
    <w:rsid w:val="0005235E"/>
    <w:rsid w:val="00054A34"/>
    <w:rsid w:val="00054F1A"/>
    <w:rsid w:val="00055285"/>
    <w:rsid w:val="00055BE1"/>
    <w:rsid w:val="000570DC"/>
    <w:rsid w:val="00057A73"/>
    <w:rsid w:val="00060DD5"/>
    <w:rsid w:val="00061C50"/>
    <w:rsid w:val="00061E09"/>
    <w:rsid w:val="00062090"/>
    <w:rsid w:val="000623E9"/>
    <w:rsid w:val="00063382"/>
    <w:rsid w:val="00064390"/>
    <w:rsid w:val="0006453D"/>
    <w:rsid w:val="00064C0E"/>
    <w:rsid w:val="000663A0"/>
    <w:rsid w:val="00067DAB"/>
    <w:rsid w:val="00071144"/>
    <w:rsid w:val="00072511"/>
    <w:rsid w:val="00073570"/>
    <w:rsid w:val="0007384B"/>
    <w:rsid w:val="00073951"/>
    <w:rsid w:val="00075BBA"/>
    <w:rsid w:val="00076E5B"/>
    <w:rsid w:val="00077AFD"/>
    <w:rsid w:val="00082793"/>
    <w:rsid w:val="00082CD0"/>
    <w:rsid w:val="000833AA"/>
    <w:rsid w:val="00083AAF"/>
    <w:rsid w:val="000843B8"/>
    <w:rsid w:val="00084C2C"/>
    <w:rsid w:val="0008556C"/>
    <w:rsid w:val="000865A4"/>
    <w:rsid w:val="00087CA9"/>
    <w:rsid w:val="00090147"/>
    <w:rsid w:val="00091099"/>
    <w:rsid w:val="000916E6"/>
    <w:rsid w:val="000934FC"/>
    <w:rsid w:val="000941AF"/>
    <w:rsid w:val="000A0795"/>
    <w:rsid w:val="000A08C5"/>
    <w:rsid w:val="000A0AC5"/>
    <w:rsid w:val="000A3D5E"/>
    <w:rsid w:val="000A66E9"/>
    <w:rsid w:val="000A6EB0"/>
    <w:rsid w:val="000B13D7"/>
    <w:rsid w:val="000B3550"/>
    <w:rsid w:val="000B6A0A"/>
    <w:rsid w:val="000B7989"/>
    <w:rsid w:val="000C01B1"/>
    <w:rsid w:val="000C04AE"/>
    <w:rsid w:val="000C1711"/>
    <w:rsid w:val="000C1F36"/>
    <w:rsid w:val="000C2324"/>
    <w:rsid w:val="000C2694"/>
    <w:rsid w:val="000C2AAB"/>
    <w:rsid w:val="000C2D94"/>
    <w:rsid w:val="000C4B00"/>
    <w:rsid w:val="000C5FB4"/>
    <w:rsid w:val="000C6F37"/>
    <w:rsid w:val="000C7F7A"/>
    <w:rsid w:val="000D1D6F"/>
    <w:rsid w:val="000D3ACB"/>
    <w:rsid w:val="000D57E5"/>
    <w:rsid w:val="000D6985"/>
    <w:rsid w:val="000D6B0D"/>
    <w:rsid w:val="000D6F29"/>
    <w:rsid w:val="000D7431"/>
    <w:rsid w:val="000D76AB"/>
    <w:rsid w:val="000E0897"/>
    <w:rsid w:val="000E324E"/>
    <w:rsid w:val="000E6942"/>
    <w:rsid w:val="000E70DE"/>
    <w:rsid w:val="000E75BC"/>
    <w:rsid w:val="000E7846"/>
    <w:rsid w:val="000F5B68"/>
    <w:rsid w:val="000F5E6D"/>
    <w:rsid w:val="000F62AC"/>
    <w:rsid w:val="000F7B10"/>
    <w:rsid w:val="00102870"/>
    <w:rsid w:val="00102AF3"/>
    <w:rsid w:val="00107B94"/>
    <w:rsid w:val="00110C87"/>
    <w:rsid w:val="00112702"/>
    <w:rsid w:val="001127EC"/>
    <w:rsid w:val="00112D43"/>
    <w:rsid w:val="00113495"/>
    <w:rsid w:val="00116B3A"/>
    <w:rsid w:val="001175A9"/>
    <w:rsid w:val="00121216"/>
    <w:rsid w:val="001215CD"/>
    <w:rsid w:val="0012228F"/>
    <w:rsid w:val="001226D0"/>
    <w:rsid w:val="0012387F"/>
    <w:rsid w:val="0012391D"/>
    <w:rsid w:val="00124486"/>
    <w:rsid w:val="00125474"/>
    <w:rsid w:val="00125BDD"/>
    <w:rsid w:val="00126ACA"/>
    <w:rsid w:val="00131372"/>
    <w:rsid w:val="00131A79"/>
    <w:rsid w:val="00131FA2"/>
    <w:rsid w:val="00132727"/>
    <w:rsid w:val="00133E7E"/>
    <w:rsid w:val="00135833"/>
    <w:rsid w:val="00135F54"/>
    <w:rsid w:val="00136828"/>
    <w:rsid w:val="001368C7"/>
    <w:rsid w:val="00136C7F"/>
    <w:rsid w:val="00137D60"/>
    <w:rsid w:val="00137D69"/>
    <w:rsid w:val="00137DB5"/>
    <w:rsid w:val="001401A9"/>
    <w:rsid w:val="0014200A"/>
    <w:rsid w:val="00142264"/>
    <w:rsid w:val="00143B5C"/>
    <w:rsid w:val="00145605"/>
    <w:rsid w:val="00146599"/>
    <w:rsid w:val="00147AAD"/>
    <w:rsid w:val="00151572"/>
    <w:rsid w:val="0015437A"/>
    <w:rsid w:val="00154FC0"/>
    <w:rsid w:val="001656BC"/>
    <w:rsid w:val="00166496"/>
    <w:rsid w:val="00166C97"/>
    <w:rsid w:val="00171572"/>
    <w:rsid w:val="00177D9B"/>
    <w:rsid w:val="00181699"/>
    <w:rsid w:val="0018323C"/>
    <w:rsid w:val="00183EC7"/>
    <w:rsid w:val="001840E8"/>
    <w:rsid w:val="00185F60"/>
    <w:rsid w:val="0018612E"/>
    <w:rsid w:val="00186D5A"/>
    <w:rsid w:val="0018747C"/>
    <w:rsid w:val="00192079"/>
    <w:rsid w:val="00193B84"/>
    <w:rsid w:val="00197232"/>
    <w:rsid w:val="001A07C9"/>
    <w:rsid w:val="001A17D8"/>
    <w:rsid w:val="001A3D2C"/>
    <w:rsid w:val="001A5264"/>
    <w:rsid w:val="001A68C4"/>
    <w:rsid w:val="001A7943"/>
    <w:rsid w:val="001B1120"/>
    <w:rsid w:val="001B1C2D"/>
    <w:rsid w:val="001B2723"/>
    <w:rsid w:val="001B43A1"/>
    <w:rsid w:val="001B4777"/>
    <w:rsid w:val="001B6DBF"/>
    <w:rsid w:val="001C15F2"/>
    <w:rsid w:val="001C20C2"/>
    <w:rsid w:val="001C32AC"/>
    <w:rsid w:val="001C3E19"/>
    <w:rsid w:val="001C3F71"/>
    <w:rsid w:val="001C55DE"/>
    <w:rsid w:val="001D26D4"/>
    <w:rsid w:val="001D28F7"/>
    <w:rsid w:val="001D297E"/>
    <w:rsid w:val="001D2F7A"/>
    <w:rsid w:val="001D4BF2"/>
    <w:rsid w:val="001D7902"/>
    <w:rsid w:val="001E1207"/>
    <w:rsid w:val="001E24D6"/>
    <w:rsid w:val="001E2EF4"/>
    <w:rsid w:val="001E3C36"/>
    <w:rsid w:val="001E520D"/>
    <w:rsid w:val="001E5826"/>
    <w:rsid w:val="001E6028"/>
    <w:rsid w:val="001E6522"/>
    <w:rsid w:val="001E74C9"/>
    <w:rsid w:val="001F1637"/>
    <w:rsid w:val="001F1CC4"/>
    <w:rsid w:val="001F29A9"/>
    <w:rsid w:val="001F3220"/>
    <w:rsid w:val="001F4D95"/>
    <w:rsid w:val="001F6F24"/>
    <w:rsid w:val="0020148C"/>
    <w:rsid w:val="00201850"/>
    <w:rsid w:val="00202740"/>
    <w:rsid w:val="0020771A"/>
    <w:rsid w:val="00211B3C"/>
    <w:rsid w:val="00211F1F"/>
    <w:rsid w:val="00212F6C"/>
    <w:rsid w:val="0021646D"/>
    <w:rsid w:val="0021733F"/>
    <w:rsid w:val="00221EBC"/>
    <w:rsid w:val="0022298B"/>
    <w:rsid w:val="00222DED"/>
    <w:rsid w:val="002233C4"/>
    <w:rsid w:val="00225A6C"/>
    <w:rsid w:val="00226C2D"/>
    <w:rsid w:val="002273C1"/>
    <w:rsid w:val="00227A08"/>
    <w:rsid w:val="002318A5"/>
    <w:rsid w:val="0023215C"/>
    <w:rsid w:val="0023297B"/>
    <w:rsid w:val="00234A03"/>
    <w:rsid w:val="00235459"/>
    <w:rsid w:val="00237C52"/>
    <w:rsid w:val="00240A1B"/>
    <w:rsid w:val="00241F7D"/>
    <w:rsid w:val="00242CF4"/>
    <w:rsid w:val="00243F90"/>
    <w:rsid w:val="00245107"/>
    <w:rsid w:val="0024525D"/>
    <w:rsid w:val="00245DD0"/>
    <w:rsid w:val="00246C27"/>
    <w:rsid w:val="0024743E"/>
    <w:rsid w:val="00250B09"/>
    <w:rsid w:val="0025118B"/>
    <w:rsid w:val="00251539"/>
    <w:rsid w:val="00254F42"/>
    <w:rsid w:val="00256AA4"/>
    <w:rsid w:val="0025708A"/>
    <w:rsid w:val="00260940"/>
    <w:rsid w:val="00261769"/>
    <w:rsid w:val="00261AB3"/>
    <w:rsid w:val="00261DEF"/>
    <w:rsid w:val="00261F74"/>
    <w:rsid w:val="00262B80"/>
    <w:rsid w:val="00264457"/>
    <w:rsid w:val="0026587C"/>
    <w:rsid w:val="00265AB6"/>
    <w:rsid w:val="00265C38"/>
    <w:rsid w:val="00267EDF"/>
    <w:rsid w:val="00270802"/>
    <w:rsid w:val="002725EA"/>
    <w:rsid w:val="00272C80"/>
    <w:rsid w:val="00274636"/>
    <w:rsid w:val="00275189"/>
    <w:rsid w:val="002757F5"/>
    <w:rsid w:val="00275EAD"/>
    <w:rsid w:val="00276377"/>
    <w:rsid w:val="002809AD"/>
    <w:rsid w:val="00281A37"/>
    <w:rsid w:val="00282924"/>
    <w:rsid w:val="00283080"/>
    <w:rsid w:val="00283345"/>
    <w:rsid w:val="002849C1"/>
    <w:rsid w:val="00285EE9"/>
    <w:rsid w:val="002904B0"/>
    <w:rsid w:val="002906EE"/>
    <w:rsid w:val="00291C6A"/>
    <w:rsid w:val="00292096"/>
    <w:rsid w:val="00293289"/>
    <w:rsid w:val="00293804"/>
    <w:rsid w:val="00294625"/>
    <w:rsid w:val="00295481"/>
    <w:rsid w:val="00295DB9"/>
    <w:rsid w:val="00296682"/>
    <w:rsid w:val="0029689C"/>
    <w:rsid w:val="00296B5B"/>
    <w:rsid w:val="00297F94"/>
    <w:rsid w:val="002A4480"/>
    <w:rsid w:val="002A4BDE"/>
    <w:rsid w:val="002B04A9"/>
    <w:rsid w:val="002B2423"/>
    <w:rsid w:val="002B271F"/>
    <w:rsid w:val="002B518C"/>
    <w:rsid w:val="002B5C3F"/>
    <w:rsid w:val="002B602F"/>
    <w:rsid w:val="002B7D47"/>
    <w:rsid w:val="002C14F0"/>
    <w:rsid w:val="002C32FB"/>
    <w:rsid w:val="002C37F5"/>
    <w:rsid w:val="002C644D"/>
    <w:rsid w:val="002C6DFF"/>
    <w:rsid w:val="002C78D7"/>
    <w:rsid w:val="002D0670"/>
    <w:rsid w:val="002D6B4F"/>
    <w:rsid w:val="002D7DF6"/>
    <w:rsid w:val="002D7FDD"/>
    <w:rsid w:val="002E1586"/>
    <w:rsid w:val="002E19BC"/>
    <w:rsid w:val="002E21D4"/>
    <w:rsid w:val="002E40A9"/>
    <w:rsid w:val="002E4C6C"/>
    <w:rsid w:val="002E522B"/>
    <w:rsid w:val="002E7474"/>
    <w:rsid w:val="002F0363"/>
    <w:rsid w:val="002F1B1A"/>
    <w:rsid w:val="002F26BF"/>
    <w:rsid w:val="002F5FDA"/>
    <w:rsid w:val="002F7206"/>
    <w:rsid w:val="003024D7"/>
    <w:rsid w:val="003032CE"/>
    <w:rsid w:val="00303BA5"/>
    <w:rsid w:val="0030532E"/>
    <w:rsid w:val="0030704B"/>
    <w:rsid w:val="00307D47"/>
    <w:rsid w:val="003114CB"/>
    <w:rsid w:val="0031326D"/>
    <w:rsid w:val="00314A79"/>
    <w:rsid w:val="00314FF2"/>
    <w:rsid w:val="003160DE"/>
    <w:rsid w:val="003169D6"/>
    <w:rsid w:val="00321227"/>
    <w:rsid w:val="00324745"/>
    <w:rsid w:val="00327D27"/>
    <w:rsid w:val="00331381"/>
    <w:rsid w:val="00331C8B"/>
    <w:rsid w:val="00334DCE"/>
    <w:rsid w:val="00335230"/>
    <w:rsid w:val="0034158A"/>
    <w:rsid w:val="00341706"/>
    <w:rsid w:val="00342FA8"/>
    <w:rsid w:val="00344370"/>
    <w:rsid w:val="00345913"/>
    <w:rsid w:val="003478E6"/>
    <w:rsid w:val="00350860"/>
    <w:rsid w:val="003515EF"/>
    <w:rsid w:val="00353678"/>
    <w:rsid w:val="003543AE"/>
    <w:rsid w:val="00360A3E"/>
    <w:rsid w:val="0036151E"/>
    <w:rsid w:val="00361562"/>
    <w:rsid w:val="00361A5C"/>
    <w:rsid w:val="00362ADF"/>
    <w:rsid w:val="00363CAA"/>
    <w:rsid w:val="00364AD9"/>
    <w:rsid w:val="0036565A"/>
    <w:rsid w:val="00367E5E"/>
    <w:rsid w:val="00370AA6"/>
    <w:rsid w:val="00370AD8"/>
    <w:rsid w:val="00371B2F"/>
    <w:rsid w:val="00373086"/>
    <w:rsid w:val="0037387E"/>
    <w:rsid w:val="00374097"/>
    <w:rsid w:val="00376C1E"/>
    <w:rsid w:val="00381498"/>
    <w:rsid w:val="00381B26"/>
    <w:rsid w:val="00384433"/>
    <w:rsid w:val="00384921"/>
    <w:rsid w:val="0039020E"/>
    <w:rsid w:val="00390AAE"/>
    <w:rsid w:val="00391635"/>
    <w:rsid w:val="00392A97"/>
    <w:rsid w:val="00395DE8"/>
    <w:rsid w:val="003A1160"/>
    <w:rsid w:val="003A573B"/>
    <w:rsid w:val="003A5A44"/>
    <w:rsid w:val="003A5D6C"/>
    <w:rsid w:val="003B15A1"/>
    <w:rsid w:val="003B1FF9"/>
    <w:rsid w:val="003B7235"/>
    <w:rsid w:val="003C175E"/>
    <w:rsid w:val="003C270D"/>
    <w:rsid w:val="003C3AE5"/>
    <w:rsid w:val="003D1D6C"/>
    <w:rsid w:val="003D33E1"/>
    <w:rsid w:val="003D4096"/>
    <w:rsid w:val="003D612B"/>
    <w:rsid w:val="003D7742"/>
    <w:rsid w:val="003E29AA"/>
    <w:rsid w:val="003E2C64"/>
    <w:rsid w:val="003E2D70"/>
    <w:rsid w:val="003E2F8B"/>
    <w:rsid w:val="003E3E46"/>
    <w:rsid w:val="003E6DA7"/>
    <w:rsid w:val="003E7840"/>
    <w:rsid w:val="003E7C50"/>
    <w:rsid w:val="003F0CAB"/>
    <w:rsid w:val="003F144D"/>
    <w:rsid w:val="003F23DF"/>
    <w:rsid w:val="003F2A89"/>
    <w:rsid w:val="003F389D"/>
    <w:rsid w:val="003F53D8"/>
    <w:rsid w:val="003F7E8B"/>
    <w:rsid w:val="003F7F01"/>
    <w:rsid w:val="004002F1"/>
    <w:rsid w:val="00400337"/>
    <w:rsid w:val="0040131D"/>
    <w:rsid w:val="00404F44"/>
    <w:rsid w:val="0040528C"/>
    <w:rsid w:val="00406878"/>
    <w:rsid w:val="0041027B"/>
    <w:rsid w:val="00410924"/>
    <w:rsid w:val="00414BED"/>
    <w:rsid w:val="00415A52"/>
    <w:rsid w:val="00415C31"/>
    <w:rsid w:val="00416439"/>
    <w:rsid w:val="00416F46"/>
    <w:rsid w:val="004176BE"/>
    <w:rsid w:val="0042213E"/>
    <w:rsid w:val="00423286"/>
    <w:rsid w:val="00427702"/>
    <w:rsid w:val="004306CF"/>
    <w:rsid w:val="00430D2E"/>
    <w:rsid w:val="0043556D"/>
    <w:rsid w:val="00436E10"/>
    <w:rsid w:val="004376B7"/>
    <w:rsid w:val="00440400"/>
    <w:rsid w:val="00441F2C"/>
    <w:rsid w:val="00442C68"/>
    <w:rsid w:val="0044435C"/>
    <w:rsid w:val="004447A1"/>
    <w:rsid w:val="004449F9"/>
    <w:rsid w:val="0044607C"/>
    <w:rsid w:val="00446083"/>
    <w:rsid w:val="00446DC1"/>
    <w:rsid w:val="00450567"/>
    <w:rsid w:val="0045083A"/>
    <w:rsid w:val="00453D54"/>
    <w:rsid w:val="00454765"/>
    <w:rsid w:val="00454B9C"/>
    <w:rsid w:val="00454C51"/>
    <w:rsid w:val="00455D62"/>
    <w:rsid w:val="00457B7E"/>
    <w:rsid w:val="00457D8A"/>
    <w:rsid w:val="00460056"/>
    <w:rsid w:val="0046327D"/>
    <w:rsid w:val="0046401A"/>
    <w:rsid w:val="00464360"/>
    <w:rsid w:val="0046591A"/>
    <w:rsid w:val="00470A71"/>
    <w:rsid w:val="00471631"/>
    <w:rsid w:val="004717CF"/>
    <w:rsid w:val="00471DAC"/>
    <w:rsid w:val="00471EDB"/>
    <w:rsid w:val="00473940"/>
    <w:rsid w:val="004746DD"/>
    <w:rsid w:val="004748BA"/>
    <w:rsid w:val="00474962"/>
    <w:rsid w:val="00475914"/>
    <w:rsid w:val="00476133"/>
    <w:rsid w:val="00476B13"/>
    <w:rsid w:val="00481905"/>
    <w:rsid w:val="00483990"/>
    <w:rsid w:val="004840EA"/>
    <w:rsid w:val="004848B2"/>
    <w:rsid w:val="00486632"/>
    <w:rsid w:val="004876D3"/>
    <w:rsid w:val="004927F8"/>
    <w:rsid w:val="00494BCB"/>
    <w:rsid w:val="00495D62"/>
    <w:rsid w:val="0049604F"/>
    <w:rsid w:val="00496524"/>
    <w:rsid w:val="004A0A10"/>
    <w:rsid w:val="004A0FD1"/>
    <w:rsid w:val="004A5447"/>
    <w:rsid w:val="004B1E07"/>
    <w:rsid w:val="004B2332"/>
    <w:rsid w:val="004B3093"/>
    <w:rsid w:val="004B3593"/>
    <w:rsid w:val="004B4F8D"/>
    <w:rsid w:val="004B6F6F"/>
    <w:rsid w:val="004C1A6B"/>
    <w:rsid w:val="004C1E50"/>
    <w:rsid w:val="004C66F0"/>
    <w:rsid w:val="004D2827"/>
    <w:rsid w:val="004D31AD"/>
    <w:rsid w:val="004D4C36"/>
    <w:rsid w:val="004D539E"/>
    <w:rsid w:val="004D6201"/>
    <w:rsid w:val="004E05B8"/>
    <w:rsid w:val="004E1889"/>
    <w:rsid w:val="004E2640"/>
    <w:rsid w:val="004E33DE"/>
    <w:rsid w:val="004E49A0"/>
    <w:rsid w:val="004E6188"/>
    <w:rsid w:val="004E78C4"/>
    <w:rsid w:val="004F0A73"/>
    <w:rsid w:val="004F1B27"/>
    <w:rsid w:val="004F1DFE"/>
    <w:rsid w:val="0050255D"/>
    <w:rsid w:val="00504301"/>
    <w:rsid w:val="00504FC3"/>
    <w:rsid w:val="0050757B"/>
    <w:rsid w:val="0051000B"/>
    <w:rsid w:val="00510412"/>
    <w:rsid w:val="00511419"/>
    <w:rsid w:val="005120EA"/>
    <w:rsid w:val="0051372D"/>
    <w:rsid w:val="005161CE"/>
    <w:rsid w:val="005209F0"/>
    <w:rsid w:val="005213F5"/>
    <w:rsid w:val="005215AE"/>
    <w:rsid w:val="00521937"/>
    <w:rsid w:val="005226D4"/>
    <w:rsid w:val="0052297A"/>
    <w:rsid w:val="00523747"/>
    <w:rsid w:val="00523764"/>
    <w:rsid w:val="00523CA4"/>
    <w:rsid w:val="00523EA3"/>
    <w:rsid w:val="005267EA"/>
    <w:rsid w:val="00526859"/>
    <w:rsid w:val="00526C79"/>
    <w:rsid w:val="00530ECB"/>
    <w:rsid w:val="00533113"/>
    <w:rsid w:val="00533BAE"/>
    <w:rsid w:val="005344B8"/>
    <w:rsid w:val="0053476C"/>
    <w:rsid w:val="00534C9B"/>
    <w:rsid w:val="00541C83"/>
    <w:rsid w:val="00541E56"/>
    <w:rsid w:val="0054500E"/>
    <w:rsid w:val="005451FE"/>
    <w:rsid w:val="005451FF"/>
    <w:rsid w:val="00545352"/>
    <w:rsid w:val="00545A7E"/>
    <w:rsid w:val="0054624E"/>
    <w:rsid w:val="00546EB9"/>
    <w:rsid w:val="00550387"/>
    <w:rsid w:val="00550ADA"/>
    <w:rsid w:val="00553DA6"/>
    <w:rsid w:val="005548B8"/>
    <w:rsid w:val="0055492F"/>
    <w:rsid w:val="00562A53"/>
    <w:rsid w:val="00563B19"/>
    <w:rsid w:val="005660B5"/>
    <w:rsid w:val="0056622F"/>
    <w:rsid w:val="005664F0"/>
    <w:rsid w:val="00567243"/>
    <w:rsid w:val="00567978"/>
    <w:rsid w:val="0057370D"/>
    <w:rsid w:val="005761C3"/>
    <w:rsid w:val="00576A83"/>
    <w:rsid w:val="00577CC8"/>
    <w:rsid w:val="00577D85"/>
    <w:rsid w:val="005800D8"/>
    <w:rsid w:val="0058014D"/>
    <w:rsid w:val="00582170"/>
    <w:rsid w:val="005845EA"/>
    <w:rsid w:val="00585624"/>
    <w:rsid w:val="0058584F"/>
    <w:rsid w:val="005860E2"/>
    <w:rsid w:val="005916F1"/>
    <w:rsid w:val="0059253B"/>
    <w:rsid w:val="00594261"/>
    <w:rsid w:val="0059539B"/>
    <w:rsid w:val="005A035F"/>
    <w:rsid w:val="005A163D"/>
    <w:rsid w:val="005A32EA"/>
    <w:rsid w:val="005A35AD"/>
    <w:rsid w:val="005A5024"/>
    <w:rsid w:val="005A564E"/>
    <w:rsid w:val="005A6782"/>
    <w:rsid w:val="005B0E01"/>
    <w:rsid w:val="005B2B43"/>
    <w:rsid w:val="005B33E3"/>
    <w:rsid w:val="005B5BD3"/>
    <w:rsid w:val="005B621C"/>
    <w:rsid w:val="005B68C1"/>
    <w:rsid w:val="005B6BAA"/>
    <w:rsid w:val="005C0294"/>
    <w:rsid w:val="005C28AD"/>
    <w:rsid w:val="005C306E"/>
    <w:rsid w:val="005C4FBB"/>
    <w:rsid w:val="005C577F"/>
    <w:rsid w:val="005C6D8C"/>
    <w:rsid w:val="005C7347"/>
    <w:rsid w:val="005D04FC"/>
    <w:rsid w:val="005D1138"/>
    <w:rsid w:val="005D1A3A"/>
    <w:rsid w:val="005D2823"/>
    <w:rsid w:val="005D6A99"/>
    <w:rsid w:val="005D6B99"/>
    <w:rsid w:val="005D6F9B"/>
    <w:rsid w:val="005E0A22"/>
    <w:rsid w:val="005E0FFD"/>
    <w:rsid w:val="005E10F7"/>
    <w:rsid w:val="005E2026"/>
    <w:rsid w:val="005E2D18"/>
    <w:rsid w:val="005E3E2A"/>
    <w:rsid w:val="005E3F09"/>
    <w:rsid w:val="005E7152"/>
    <w:rsid w:val="005F4507"/>
    <w:rsid w:val="005F782E"/>
    <w:rsid w:val="006007B7"/>
    <w:rsid w:val="0060084B"/>
    <w:rsid w:val="0060213C"/>
    <w:rsid w:val="006047F0"/>
    <w:rsid w:val="00604BE2"/>
    <w:rsid w:val="00610C10"/>
    <w:rsid w:val="006114D2"/>
    <w:rsid w:val="00611CBB"/>
    <w:rsid w:val="00612666"/>
    <w:rsid w:val="00614137"/>
    <w:rsid w:val="006147A2"/>
    <w:rsid w:val="006156D3"/>
    <w:rsid w:val="00617071"/>
    <w:rsid w:val="006175F2"/>
    <w:rsid w:val="00620095"/>
    <w:rsid w:val="006215B6"/>
    <w:rsid w:val="00621CC7"/>
    <w:rsid w:val="00621ED6"/>
    <w:rsid w:val="0062228C"/>
    <w:rsid w:val="00626D5B"/>
    <w:rsid w:val="00631E9B"/>
    <w:rsid w:val="00632238"/>
    <w:rsid w:val="00632E80"/>
    <w:rsid w:val="006357C7"/>
    <w:rsid w:val="006358E5"/>
    <w:rsid w:val="00637F88"/>
    <w:rsid w:val="00640A63"/>
    <w:rsid w:val="00640EFE"/>
    <w:rsid w:val="00644A2A"/>
    <w:rsid w:val="006459C1"/>
    <w:rsid w:val="00645DC5"/>
    <w:rsid w:val="00646E6A"/>
    <w:rsid w:val="00651D8E"/>
    <w:rsid w:val="00652052"/>
    <w:rsid w:val="006530A3"/>
    <w:rsid w:val="00653BF6"/>
    <w:rsid w:val="006547AF"/>
    <w:rsid w:val="006561E6"/>
    <w:rsid w:val="00656314"/>
    <w:rsid w:val="0066198D"/>
    <w:rsid w:val="00661DE8"/>
    <w:rsid w:val="00661F43"/>
    <w:rsid w:val="00662535"/>
    <w:rsid w:val="00664D23"/>
    <w:rsid w:val="006660F3"/>
    <w:rsid w:val="00667F30"/>
    <w:rsid w:val="00673A0A"/>
    <w:rsid w:val="00673B01"/>
    <w:rsid w:val="006747DB"/>
    <w:rsid w:val="0068119A"/>
    <w:rsid w:val="006848E3"/>
    <w:rsid w:val="00684F19"/>
    <w:rsid w:val="00687960"/>
    <w:rsid w:val="00687E52"/>
    <w:rsid w:val="0069126A"/>
    <w:rsid w:val="00692175"/>
    <w:rsid w:val="006933ED"/>
    <w:rsid w:val="00696F39"/>
    <w:rsid w:val="00696FB4"/>
    <w:rsid w:val="00697C99"/>
    <w:rsid w:val="006A3DDF"/>
    <w:rsid w:val="006A5483"/>
    <w:rsid w:val="006A5621"/>
    <w:rsid w:val="006A681B"/>
    <w:rsid w:val="006A7256"/>
    <w:rsid w:val="006A73D3"/>
    <w:rsid w:val="006B0C6C"/>
    <w:rsid w:val="006B2007"/>
    <w:rsid w:val="006B2815"/>
    <w:rsid w:val="006B2FF8"/>
    <w:rsid w:val="006B3C58"/>
    <w:rsid w:val="006B525B"/>
    <w:rsid w:val="006B69FB"/>
    <w:rsid w:val="006C127E"/>
    <w:rsid w:val="006C3727"/>
    <w:rsid w:val="006C43D5"/>
    <w:rsid w:val="006C5BB2"/>
    <w:rsid w:val="006C6FBA"/>
    <w:rsid w:val="006C7069"/>
    <w:rsid w:val="006C7135"/>
    <w:rsid w:val="006D1C01"/>
    <w:rsid w:val="006D2809"/>
    <w:rsid w:val="006D54A0"/>
    <w:rsid w:val="006D64B1"/>
    <w:rsid w:val="006D7AFF"/>
    <w:rsid w:val="006E0776"/>
    <w:rsid w:val="006E2446"/>
    <w:rsid w:val="006E2988"/>
    <w:rsid w:val="006E3F6A"/>
    <w:rsid w:val="006E5490"/>
    <w:rsid w:val="006F029A"/>
    <w:rsid w:val="006F3172"/>
    <w:rsid w:val="006F33B2"/>
    <w:rsid w:val="006F35C5"/>
    <w:rsid w:val="006F6E53"/>
    <w:rsid w:val="0070190F"/>
    <w:rsid w:val="00702F52"/>
    <w:rsid w:val="00703C0F"/>
    <w:rsid w:val="00704771"/>
    <w:rsid w:val="00704A2A"/>
    <w:rsid w:val="0070511A"/>
    <w:rsid w:val="00705DEF"/>
    <w:rsid w:val="007060BD"/>
    <w:rsid w:val="00706C43"/>
    <w:rsid w:val="00712351"/>
    <w:rsid w:val="00712C1F"/>
    <w:rsid w:val="007154F3"/>
    <w:rsid w:val="0071565B"/>
    <w:rsid w:val="007165F9"/>
    <w:rsid w:val="00717543"/>
    <w:rsid w:val="007212D2"/>
    <w:rsid w:val="007220AC"/>
    <w:rsid w:val="0072306E"/>
    <w:rsid w:val="007247EE"/>
    <w:rsid w:val="00724F20"/>
    <w:rsid w:val="00725506"/>
    <w:rsid w:val="00725DFE"/>
    <w:rsid w:val="00726161"/>
    <w:rsid w:val="00726B33"/>
    <w:rsid w:val="00727318"/>
    <w:rsid w:val="0072740F"/>
    <w:rsid w:val="00731336"/>
    <w:rsid w:val="007343B1"/>
    <w:rsid w:val="00735745"/>
    <w:rsid w:val="00736212"/>
    <w:rsid w:val="0073783B"/>
    <w:rsid w:val="007401DC"/>
    <w:rsid w:val="00741AB8"/>
    <w:rsid w:val="007443CB"/>
    <w:rsid w:val="007446A2"/>
    <w:rsid w:val="00744C06"/>
    <w:rsid w:val="00746810"/>
    <w:rsid w:val="00748F83"/>
    <w:rsid w:val="0075189D"/>
    <w:rsid w:val="00752E00"/>
    <w:rsid w:val="00753366"/>
    <w:rsid w:val="00753DA2"/>
    <w:rsid w:val="00754A64"/>
    <w:rsid w:val="00762B76"/>
    <w:rsid w:val="00762E4B"/>
    <w:rsid w:val="007638D6"/>
    <w:rsid w:val="00764729"/>
    <w:rsid w:val="00764A35"/>
    <w:rsid w:val="0076624A"/>
    <w:rsid w:val="00766FCC"/>
    <w:rsid w:val="0077036F"/>
    <w:rsid w:val="007707EE"/>
    <w:rsid w:val="00771AB7"/>
    <w:rsid w:val="00772E7C"/>
    <w:rsid w:val="007731FD"/>
    <w:rsid w:val="00773B05"/>
    <w:rsid w:val="007743E9"/>
    <w:rsid w:val="00774B4E"/>
    <w:rsid w:val="0077613C"/>
    <w:rsid w:val="007761EA"/>
    <w:rsid w:val="0077648D"/>
    <w:rsid w:val="007769FB"/>
    <w:rsid w:val="007819C7"/>
    <w:rsid w:val="00781ABD"/>
    <w:rsid w:val="00781CC1"/>
    <w:rsid w:val="007824E4"/>
    <w:rsid w:val="007845DE"/>
    <w:rsid w:val="007848B2"/>
    <w:rsid w:val="00785E62"/>
    <w:rsid w:val="00786C60"/>
    <w:rsid w:val="00787624"/>
    <w:rsid w:val="00787E43"/>
    <w:rsid w:val="00790A25"/>
    <w:rsid w:val="00790AAC"/>
    <w:rsid w:val="007914ED"/>
    <w:rsid w:val="0079252D"/>
    <w:rsid w:val="00792981"/>
    <w:rsid w:val="00793FA8"/>
    <w:rsid w:val="00795ECC"/>
    <w:rsid w:val="007A0333"/>
    <w:rsid w:val="007A03A5"/>
    <w:rsid w:val="007A12F9"/>
    <w:rsid w:val="007A2DF0"/>
    <w:rsid w:val="007A34FA"/>
    <w:rsid w:val="007A4265"/>
    <w:rsid w:val="007A4EA7"/>
    <w:rsid w:val="007A6AE8"/>
    <w:rsid w:val="007A794B"/>
    <w:rsid w:val="007B20C3"/>
    <w:rsid w:val="007B2D50"/>
    <w:rsid w:val="007B384B"/>
    <w:rsid w:val="007B451D"/>
    <w:rsid w:val="007B558E"/>
    <w:rsid w:val="007B6A7E"/>
    <w:rsid w:val="007B6D85"/>
    <w:rsid w:val="007B7144"/>
    <w:rsid w:val="007C2426"/>
    <w:rsid w:val="007C4420"/>
    <w:rsid w:val="007C4DCA"/>
    <w:rsid w:val="007C7FA2"/>
    <w:rsid w:val="007D0349"/>
    <w:rsid w:val="007D0873"/>
    <w:rsid w:val="007D0DED"/>
    <w:rsid w:val="007D1B3E"/>
    <w:rsid w:val="007D2093"/>
    <w:rsid w:val="007D3404"/>
    <w:rsid w:val="007D3823"/>
    <w:rsid w:val="007D6B23"/>
    <w:rsid w:val="007E29BC"/>
    <w:rsid w:val="007E3DD4"/>
    <w:rsid w:val="007E3FD6"/>
    <w:rsid w:val="007E52E4"/>
    <w:rsid w:val="007E6FD7"/>
    <w:rsid w:val="007E7581"/>
    <w:rsid w:val="007E7BA0"/>
    <w:rsid w:val="007F060C"/>
    <w:rsid w:val="007F1035"/>
    <w:rsid w:val="007F5A73"/>
    <w:rsid w:val="00800FEB"/>
    <w:rsid w:val="0080144F"/>
    <w:rsid w:val="00802F09"/>
    <w:rsid w:val="00803193"/>
    <w:rsid w:val="00803658"/>
    <w:rsid w:val="0080439D"/>
    <w:rsid w:val="00805CD6"/>
    <w:rsid w:val="0080607A"/>
    <w:rsid w:val="008122D3"/>
    <w:rsid w:val="008124EB"/>
    <w:rsid w:val="008154F8"/>
    <w:rsid w:val="008200A3"/>
    <w:rsid w:val="008211BE"/>
    <w:rsid w:val="0082201B"/>
    <w:rsid w:val="008225CB"/>
    <w:rsid w:val="00823A2C"/>
    <w:rsid w:val="00823CC7"/>
    <w:rsid w:val="00827DFF"/>
    <w:rsid w:val="00830C7A"/>
    <w:rsid w:val="00834901"/>
    <w:rsid w:val="00834C29"/>
    <w:rsid w:val="00835145"/>
    <w:rsid w:val="00836A97"/>
    <w:rsid w:val="00836D2B"/>
    <w:rsid w:val="00842044"/>
    <w:rsid w:val="00846400"/>
    <w:rsid w:val="0084747C"/>
    <w:rsid w:val="008504EA"/>
    <w:rsid w:val="00853000"/>
    <w:rsid w:val="008532DB"/>
    <w:rsid w:val="00853743"/>
    <w:rsid w:val="0085475E"/>
    <w:rsid w:val="00857A2C"/>
    <w:rsid w:val="00861211"/>
    <w:rsid w:val="00862037"/>
    <w:rsid w:val="00866800"/>
    <w:rsid w:val="00866ED3"/>
    <w:rsid w:val="00867631"/>
    <w:rsid w:val="00870526"/>
    <w:rsid w:val="008706A1"/>
    <w:rsid w:val="00870C36"/>
    <w:rsid w:val="008715C0"/>
    <w:rsid w:val="008728B3"/>
    <w:rsid w:val="00874D9B"/>
    <w:rsid w:val="00874E07"/>
    <w:rsid w:val="0087589E"/>
    <w:rsid w:val="00876287"/>
    <w:rsid w:val="00876377"/>
    <w:rsid w:val="008817AC"/>
    <w:rsid w:val="00882E89"/>
    <w:rsid w:val="00886AEF"/>
    <w:rsid w:val="008913E2"/>
    <w:rsid w:val="008917B8"/>
    <w:rsid w:val="00892843"/>
    <w:rsid w:val="00892950"/>
    <w:rsid w:val="00893B98"/>
    <w:rsid w:val="00894311"/>
    <w:rsid w:val="008976DA"/>
    <w:rsid w:val="008A01BC"/>
    <w:rsid w:val="008A1430"/>
    <w:rsid w:val="008A23DB"/>
    <w:rsid w:val="008A2D1D"/>
    <w:rsid w:val="008A3BBE"/>
    <w:rsid w:val="008A4161"/>
    <w:rsid w:val="008A697C"/>
    <w:rsid w:val="008A6A0C"/>
    <w:rsid w:val="008A74D4"/>
    <w:rsid w:val="008B01FD"/>
    <w:rsid w:val="008B13DA"/>
    <w:rsid w:val="008B1B95"/>
    <w:rsid w:val="008B3BFF"/>
    <w:rsid w:val="008B4BC3"/>
    <w:rsid w:val="008B625D"/>
    <w:rsid w:val="008C0321"/>
    <w:rsid w:val="008C090F"/>
    <w:rsid w:val="008C0EAE"/>
    <w:rsid w:val="008C0F6C"/>
    <w:rsid w:val="008C21C6"/>
    <w:rsid w:val="008C29D5"/>
    <w:rsid w:val="008C2CBC"/>
    <w:rsid w:val="008C416B"/>
    <w:rsid w:val="008C4422"/>
    <w:rsid w:val="008C5974"/>
    <w:rsid w:val="008C6CA6"/>
    <w:rsid w:val="008D03EB"/>
    <w:rsid w:val="008D08C7"/>
    <w:rsid w:val="008D39A8"/>
    <w:rsid w:val="008D4C3D"/>
    <w:rsid w:val="008D4E2A"/>
    <w:rsid w:val="008D6D67"/>
    <w:rsid w:val="008D72B6"/>
    <w:rsid w:val="008E1016"/>
    <w:rsid w:val="008E1414"/>
    <w:rsid w:val="008E26D2"/>
    <w:rsid w:val="008E38DD"/>
    <w:rsid w:val="008E4923"/>
    <w:rsid w:val="008E55AB"/>
    <w:rsid w:val="008E574B"/>
    <w:rsid w:val="008E6FFC"/>
    <w:rsid w:val="008F046A"/>
    <w:rsid w:val="008F0B98"/>
    <w:rsid w:val="008F59A4"/>
    <w:rsid w:val="008F6590"/>
    <w:rsid w:val="008F7D7C"/>
    <w:rsid w:val="009003A4"/>
    <w:rsid w:val="00904178"/>
    <w:rsid w:val="00904628"/>
    <w:rsid w:val="009048D5"/>
    <w:rsid w:val="00905FBF"/>
    <w:rsid w:val="00907B45"/>
    <w:rsid w:val="009120A0"/>
    <w:rsid w:val="0091231B"/>
    <w:rsid w:val="0091438B"/>
    <w:rsid w:val="00914A52"/>
    <w:rsid w:val="0091571A"/>
    <w:rsid w:val="00916F78"/>
    <w:rsid w:val="009210E6"/>
    <w:rsid w:val="009212C6"/>
    <w:rsid w:val="00922D13"/>
    <w:rsid w:val="00923746"/>
    <w:rsid w:val="00923D54"/>
    <w:rsid w:val="00927600"/>
    <w:rsid w:val="009326F8"/>
    <w:rsid w:val="0093286A"/>
    <w:rsid w:val="00932F67"/>
    <w:rsid w:val="0093424D"/>
    <w:rsid w:val="0093508D"/>
    <w:rsid w:val="009357E4"/>
    <w:rsid w:val="00940249"/>
    <w:rsid w:val="009421E5"/>
    <w:rsid w:val="0094303E"/>
    <w:rsid w:val="009435B9"/>
    <w:rsid w:val="0094411F"/>
    <w:rsid w:val="00944B51"/>
    <w:rsid w:val="009473AF"/>
    <w:rsid w:val="00947F5B"/>
    <w:rsid w:val="009513C8"/>
    <w:rsid w:val="009524B1"/>
    <w:rsid w:val="00952A3B"/>
    <w:rsid w:val="00954BE3"/>
    <w:rsid w:val="00954D2D"/>
    <w:rsid w:val="00955862"/>
    <w:rsid w:val="009576CC"/>
    <w:rsid w:val="00960830"/>
    <w:rsid w:val="0096139F"/>
    <w:rsid w:val="009614DA"/>
    <w:rsid w:val="009627BE"/>
    <w:rsid w:val="00964323"/>
    <w:rsid w:val="009651CC"/>
    <w:rsid w:val="00965D12"/>
    <w:rsid w:val="00971825"/>
    <w:rsid w:val="00972ED2"/>
    <w:rsid w:val="00974D39"/>
    <w:rsid w:val="0097549B"/>
    <w:rsid w:val="00975B94"/>
    <w:rsid w:val="00976463"/>
    <w:rsid w:val="009777A3"/>
    <w:rsid w:val="009814EA"/>
    <w:rsid w:val="00981E21"/>
    <w:rsid w:val="00981F3B"/>
    <w:rsid w:val="00983233"/>
    <w:rsid w:val="00984644"/>
    <w:rsid w:val="00985371"/>
    <w:rsid w:val="00986358"/>
    <w:rsid w:val="009865D5"/>
    <w:rsid w:val="0099074E"/>
    <w:rsid w:val="00990AE4"/>
    <w:rsid w:val="00990E2F"/>
    <w:rsid w:val="00991486"/>
    <w:rsid w:val="00993C95"/>
    <w:rsid w:val="00996A55"/>
    <w:rsid w:val="00996E4F"/>
    <w:rsid w:val="00997F96"/>
    <w:rsid w:val="009A211F"/>
    <w:rsid w:val="009A4A84"/>
    <w:rsid w:val="009A5077"/>
    <w:rsid w:val="009A6A1A"/>
    <w:rsid w:val="009A6B37"/>
    <w:rsid w:val="009A6C36"/>
    <w:rsid w:val="009A7163"/>
    <w:rsid w:val="009A753C"/>
    <w:rsid w:val="009B1962"/>
    <w:rsid w:val="009B2202"/>
    <w:rsid w:val="009B25A6"/>
    <w:rsid w:val="009B3324"/>
    <w:rsid w:val="009B343F"/>
    <w:rsid w:val="009B3B40"/>
    <w:rsid w:val="009B3F2D"/>
    <w:rsid w:val="009B5C92"/>
    <w:rsid w:val="009B643B"/>
    <w:rsid w:val="009C171A"/>
    <w:rsid w:val="009C3A0A"/>
    <w:rsid w:val="009C41C4"/>
    <w:rsid w:val="009C4358"/>
    <w:rsid w:val="009C48AC"/>
    <w:rsid w:val="009C59E8"/>
    <w:rsid w:val="009C67EE"/>
    <w:rsid w:val="009C7878"/>
    <w:rsid w:val="009C7D25"/>
    <w:rsid w:val="009D261D"/>
    <w:rsid w:val="009D519D"/>
    <w:rsid w:val="009D5CEF"/>
    <w:rsid w:val="009D737F"/>
    <w:rsid w:val="009E16D2"/>
    <w:rsid w:val="009E3B03"/>
    <w:rsid w:val="009E3F7D"/>
    <w:rsid w:val="009E5326"/>
    <w:rsid w:val="009E5598"/>
    <w:rsid w:val="009E5DDF"/>
    <w:rsid w:val="009E6621"/>
    <w:rsid w:val="009E698F"/>
    <w:rsid w:val="009E6DA6"/>
    <w:rsid w:val="009E7561"/>
    <w:rsid w:val="009F01FC"/>
    <w:rsid w:val="009F3009"/>
    <w:rsid w:val="009F3EB9"/>
    <w:rsid w:val="009F4D4E"/>
    <w:rsid w:val="009F52FF"/>
    <w:rsid w:val="009F7EFE"/>
    <w:rsid w:val="00A02905"/>
    <w:rsid w:val="00A04EE5"/>
    <w:rsid w:val="00A06B17"/>
    <w:rsid w:val="00A06E28"/>
    <w:rsid w:val="00A11D5C"/>
    <w:rsid w:val="00A1302C"/>
    <w:rsid w:val="00A138BD"/>
    <w:rsid w:val="00A15240"/>
    <w:rsid w:val="00A157F3"/>
    <w:rsid w:val="00A219DE"/>
    <w:rsid w:val="00A233D2"/>
    <w:rsid w:val="00A24F11"/>
    <w:rsid w:val="00A2519D"/>
    <w:rsid w:val="00A2644C"/>
    <w:rsid w:val="00A3078E"/>
    <w:rsid w:val="00A34326"/>
    <w:rsid w:val="00A37082"/>
    <w:rsid w:val="00A37890"/>
    <w:rsid w:val="00A379C5"/>
    <w:rsid w:val="00A37EDD"/>
    <w:rsid w:val="00A40A4E"/>
    <w:rsid w:val="00A40F24"/>
    <w:rsid w:val="00A43F1C"/>
    <w:rsid w:val="00A451F5"/>
    <w:rsid w:val="00A4528D"/>
    <w:rsid w:val="00A4569D"/>
    <w:rsid w:val="00A46066"/>
    <w:rsid w:val="00A46D96"/>
    <w:rsid w:val="00A46FEB"/>
    <w:rsid w:val="00A473D6"/>
    <w:rsid w:val="00A50C02"/>
    <w:rsid w:val="00A538B1"/>
    <w:rsid w:val="00A5447C"/>
    <w:rsid w:val="00A54A7A"/>
    <w:rsid w:val="00A55B85"/>
    <w:rsid w:val="00A5612F"/>
    <w:rsid w:val="00A57D50"/>
    <w:rsid w:val="00A61DAA"/>
    <w:rsid w:val="00A64E05"/>
    <w:rsid w:val="00A658AD"/>
    <w:rsid w:val="00A66053"/>
    <w:rsid w:val="00A671B8"/>
    <w:rsid w:val="00A671CB"/>
    <w:rsid w:val="00A67753"/>
    <w:rsid w:val="00A679F1"/>
    <w:rsid w:val="00A70741"/>
    <w:rsid w:val="00A73FE7"/>
    <w:rsid w:val="00A74DA0"/>
    <w:rsid w:val="00A77829"/>
    <w:rsid w:val="00A8024F"/>
    <w:rsid w:val="00A878F8"/>
    <w:rsid w:val="00A910E3"/>
    <w:rsid w:val="00A91F69"/>
    <w:rsid w:val="00A94A60"/>
    <w:rsid w:val="00A94E20"/>
    <w:rsid w:val="00A95435"/>
    <w:rsid w:val="00A9551F"/>
    <w:rsid w:val="00A95903"/>
    <w:rsid w:val="00A964A0"/>
    <w:rsid w:val="00A973AC"/>
    <w:rsid w:val="00A97DD6"/>
    <w:rsid w:val="00AA1E18"/>
    <w:rsid w:val="00AA252E"/>
    <w:rsid w:val="00AA59CD"/>
    <w:rsid w:val="00AA6F06"/>
    <w:rsid w:val="00AA6F3B"/>
    <w:rsid w:val="00AB27E9"/>
    <w:rsid w:val="00AB3DE2"/>
    <w:rsid w:val="00AB40B3"/>
    <w:rsid w:val="00AB4351"/>
    <w:rsid w:val="00AB563E"/>
    <w:rsid w:val="00AB713E"/>
    <w:rsid w:val="00AB72F5"/>
    <w:rsid w:val="00AB7CC7"/>
    <w:rsid w:val="00AC10CC"/>
    <w:rsid w:val="00AC1D84"/>
    <w:rsid w:val="00AC2BC6"/>
    <w:rsid w:val="00AC32C1"/>
    <w:rsid w:val="00AC3CDE"/>
    <w:rsid w:val="00AC7939"/>
    <w:rsid w:val="00AD03FD"/>
    <w:rsid w:val="00AD5981"/>
    <w:rsid w:val="00AD6799"/>
    <w:rsid w:val="00AD68B2"/>
    <w:rsid w:val="00AD6A3E"/>
    <w:rsid w:val="00AE075B"/>
    <w:rsid w:val="00AE2BB1"/>
    <w:rsid w:val="00AE3221"/>
    <w:rsid w:val="00AE3A44"/>
    <w:rsid w:val="00AE4E97"/>
    <w:rsid w:val="00AE57C0"/>
    <w:rsid w:val="00AE637E"/>
    <w:rsid w:val="00AE6CD0"/>
    <w:rsid w:val="00AF1035"/>
    <w:rsid w:val="00B04FBE"/>
    <w:rsid w:val="00B0574C"/>
    <w:rsid w:val="00B1121E"/>
    <w:rsid w:val="00B11898"/>
    <w:rsid w:val="00B12294"/>
    <w:rsid w:val="00B1364E"/>
    <w:rsid w:val="00B13DF0"/>
    <w:rsid w:val="00B14212"/>
    <w:rsid w:val="00B14911"/>
    <w:rsid w:val="00B21622"/>
    <w:rsid w:val="00B21F7B"/>
    <w:rsid w:val="00B22165"/>
    <w:rsid w:val="00B22BDF"/>
    <w:rsid w:val="00B232FE"/>
    <w:rsid w:val="00B251EB"/>
    <w:rsid w:val="00B275C5"/>
    <w:rsid w:val="00B27B9C"/>
    <w:rsid w:val="00B306DE"/>
    <w:rsid w:val="00B318C2"/>
    <w:rsid w:val="00B31A7C"/>
    <w:rsid w:val="00B31FBA"/>
    <w:rsid w:val="00B32248"/>
    <w:rsid w:val="00B326AF"/>
    <w:rsid w:val="00B32968"/>
    <w:rsid w:val="00B334BA"/>
    <w:rsid w:val="00B35A51"/>
    <w:rsid w:val="00B368C9"/>
    <w:rsid w:val="00B36D9C"/>
    <w:rsid w:val="00B37862"/>
    <w:rsid w:val="00B379F3"/>
    <w:rsid w:val="00B404A2"/>
    <w:rsid w:val="00B41AA9"/>
    <w:rsid w:val="00B4478B"/>
    <w:rsid w:val="00B45E58"/>
    <w:rsid w:val="00B46B71"/>
    <w:rsid w:val="00B504A7"/>
    <w:rsid w:val="00B52E1D"/>
    <w:rsid w:val="00B54124"/>
    <w:rsid w:val="00B54CDF"/>
    <w:rsid w:val="00B56484"/>
    <w:rsid w:val="00B62D77"/>
    <w:rsid w:val="00B63D94"/>
    <w:rsid w:val="00B640D8"/>
    <w:rsid w:val="00B70773"/>
    <w:rsid w:val="00B712C9"/>
    <w:rsid w:val="00B7179B"/>
    <w:rsid w:val="00B734B3"/>
    <w:rsid w:val="00B73E1C"/>
    <w:rsid w:val="00B770FF"/>
    <w:rsid w:val="00B80BE1"/>
    <w:rsid w:val="00B810C0"/>
    <w:rsid w:val="00B820DF"/>
    <w:rsid w:val="00B82C13"/>
    <w:rsid w:val="00B84E8D"/>
    <w:rsid w:val="00B863C8"/>
    <w:rsid w:val="00B87C98"/>
    <w:rsid w:val="00B9056F"/>
    <w:rsid w:val="00B9778E"/>
    <w:rsid w:val="00BA08C2"/>
    <w:rsid w:val="00BA204A"/>
    <w:rsid w:val="00BB00D0"/>
    <w:rsid w:val="00BB0622"/>
    <w:rsid w:val="00BB2733"/>
    <w:rsid w:val="00BB50BA"/>
    <w:rsid w:val="00BB710F"/>
    <w:rsid w:val="00BB7D8D"/>
    <w:rsid w:val="00BC0513"/>
    <w:rsid w:val="00BC1110"/>
    <w:rsid w:val="00BC498A"/>
    <w:rsid w:val="00BC6B50"/>
    <w:rsid w:val="00BC73B0"/>
    <w:rsid w:val="00BD0AFE"/>
    <w:rsid w:val="00BD5087"/>
    <w:rsid w:val="00BD761C"/>
    <w:rsid w:val="00BD766B"/>
    <w:rsid w:val="00BE0F31"/>
    <w:rsid w:val="00BE1B7E"/>
    <w:rsid w:val="00BE2483"/>
    <w:rsid w:val="00BE25A2"/>
    <w:rsid w:val="00BE28F3"/>
    <w:rsid w:val="00BE2E4B"/>
    <w:rsid w:val="00BE6F66"/>
    <w:rsid w:val="00BE77DE"/>
    <w:rsid w:val="00BE7FF7"/>
    <w:rsid w:val="00BF1462"/>
    <w:rsid w:val="00BF1C53"/>
    <w:rsid w:val="00BF4202"/>
    <w:rsid w:val="00BF451D"/>
    <w:rsid w:val="00BF67CB"/>
    <w:rsid w:val="00BF731E"/>
    <w:rsid w:val="00BF7A91"/>
    <w:rsid w:val="00BF7EC5"/>
    <w:rsid w:val="00C01385"/>
    <w:rsid w:val="00C03CBF"/>
    <w:rsid w:val="00C04EFD"/>
    <w:rsid w:val="00C066FE"/>
    <w:rsid w:val="00C07F8F"/>
    <w:rsid w:val="00C110AF"/>
    <w:rsid w:val="00C11912"/>
    <w:rsid w:val="00C1376F"/>
    <w:rsid w:val="00C14EA8"/>
    <w:rsid w:val="00C151B4"/>
    <w:rsid w:val="00C16C6C"/>
    <w:rsid w:val="00C17396"/>
    <w:rsid w:val="00C218B5"/>
    <w:rsid w:val="00C22830"/>
    <w:rsid w:val="00C23870"/>
    <w:rsid w:val="00C23C7B"/>
    <w:rsid w:val="00C27C55"/>
    <w:rsid w:val="00C30A1B"/>
    <w:rsid w:val="00C31E01"/>
    <w:rsid w:val="00C352A1"/>
    <w:rsid w:val="00C353FA"/>
    <w:rsid w:val="00C36306"/>
    <w:rsid w:val="00C3648B"/>
    <w:rsid w:val="00C36961"/>
    <w:rsid w:val="00C40F33"/>
    <w:rsid w:val="00C414F0"/>
    <w:rsid w:val="00C42FB0"/>
    <w:rsid w:val="00C44DF3"/>
    <w:rsid w:val="00C44FF1"/>
    <w:rsid w:val="00C4573C"/>
    <w:rsid w:val="00C45967"/>
    <w:rsid w:val="00C50586"/>
    <w:rsid w:val="00C506E0"/>
    <w:rsid w:val="00C510C9"/>
    <w:rsid w:val="00C5209B"/>
    <w:rsid w:val="00C52DFA"/>
    <w:rsid w:val="00C531F7"/>
    <w:rsid w:val="00C533D2"/>
    <w:rsid w:val="00C53D12"/>
    <w:rsid w:val="00C540E3"/>
    <w:rsid w:val="00C54859"/>
    <w:rsid w:val="00C554C3"/>
    <w:rsid w:val="00C555B3"/>
    <w:rsid w:val="00C56E55"/>
    <w:rsid w:val="00C622BD"/>
    <w:rsid w:val="00C62FFE"/>
    <w:rsid w:val="00C63F26"/>
    <w:rsid w:val="00C64AA1"/>
    <w:rsid w:val="00C65148"/>
    <w:rsid w:val="00C65CB9"/>
    <w:rsid w:val="00C668A1"/>
    <w:rsid w:val="00C67F3F"/>
    <w:rsid w:val="00C7008B"/>
    <w:rsid w:val="00C702BB"/>
    <w:rsid w:val="00C703EA"/>
    <w:rsid w:val="00C708AA"/>
    <w:rsid w:val="00C7096B"/>
    <w:rsid w:val="00C710EE"/>
    <w:rsid w:val="00C71391"/>
    <w:rsid w:val="00C71480"/>
    <w:rsid w:val="00C715D6"/>
    <w:rsid w:val="00C71DAC"/>
    <w:rsid w:val="00C75D55"/>
    <w:rsid w:val="00C76DF0"/>
    <w:rsid w:val="00C775E2"/>
    <w:rsid w:val="00C778C9"/>
    <w:rsid w:val="00C8048D"/>
    <w:rsid w:val="00C827D3"/>
    <w:rsid w:val="00C85566"/>
    <w:rsid w:val="00C855AB"/>
    <w:rsid w:val="00C86354"/>
    <w:rsid w:val="00C90433"/>
    <w:rsid w:val="00C90F2F"/>
    <w:rsid w:val="00C91033"/>
    <w:rsid w:val="00C911B6"/>
    <w:rsid w:val="00C923E1"/>
    <w:rsid w:val="00C92588"/>
    <w:rsid w:val="00C935E1"/>
    <w:rsid w:val="00C93904"/>
    <w:rsid w:val="00C93F7B"/>
    <w:rsid w:val="00C95AE2"/>
    <w:rsid w:val="00CA022C"/>
    <w:rsid w:val="00CA0E18"/>
    <w:rsid w:val="00CA2A19"/>
    <w:rsid w:val="00CA421C"/>
    <w:rsid w:val="00CA4D01"/>
    <w:rsid w:val="00CA55B0"/>
    <w:rsid w:val="00CA68FB"/>
    <w:rsid w:val="00CA6AFE"/>
    <w:rsid w:val="00CA7D1F"/>
    <w:rsid w:val="00CB123D"/>
    <w:rsid w:val="00CB1570"/>
    <w:rsid w:val="00CB1DBB"/>
    <w:rsid w:val="00CB326A"/>
    <w:rsid w:val="00CB4183"/>
    <w:rsid w:val="00CB4320"/>
    <w:rsid w:val="00CB55B7"/>
    <w:rsid w:val="00CB5678"/>
    <w:rsid w:val="00CB76A2"/>
    <w:rsid w:val="00CC0343"/>
    <w:rsid w:val="00CC0F9B"/>
    <w:rsid w:val="00CC1B77"/>
    <w:rsid w:val="00CC1E58"/>
    <w:rsid w:val="00CC20E4"/>
    <w:rsid w:val="00CC2F9C"/>
    <w:rsid w:val="00CC328F"/>
    <w:rsid w:val="00CC3810"/>
    <w:rsid w:val="00CC3A07"/>
    <w:rsid w:val="00CC577C"/>
    <w:rsid w:val="00CC740F"/>
    <w:rsid w:val="00CD0F4D"/>
    <w:rsid w:val="00CD1645"/>
    <w:rsid w:val="00CD1708"/>
    <w:rsid w:val="00CD19C3"/>
    <w:rsid w:val="00CD1B15"/>
    <w:rsid w:val="00CD54AC"/>
    <w:rsid w:val="00CD570D"/>
    <w:rsid w:val="00CD59EC"/>
    <w:rsid w:val="00CD698D"/>
    <w:rsid w:val="00CE0452"/>
    <w:rsid w:val="00CE15B9"/>
    <w:rsid w:val="00CE1F4D"/>
    <w:rsid w:val="00CE36CA"/>
    <w:rsid w:val="00CE73AB"/>
    <w:rsid w:val="00CE7592"/>
    <w:rsid w:val="00CE7819"/>
    <w:rsid w:val="00CF01B0"/>
    <w:rsid w:val="00CF0F42"/>
    <w:rsid w:val="00CF15E0"/>
    <w:rsid w:val="00CF161B"/>
    <w:rsid w:val="00CF1842"/>
    <w:rsid w:val="00CF344E"/>
    <w:rsid w:val="00CF3FE1"/>
    <w:rsid w:val="00CF4ED5"/>
    <w:rsid w:val="00CF5746"/>
    <w:rsid w:val="00CF765D"/>
    <w:rsid w:val="00D02753"/>
    <w:rsid w:val="00D0372E"/>
    <w:rsid w:val="00D105BC"/>
    <w:rsid w:val="00D10653"/>
    <w:rsid w:val="00D12BFF"/>
    <w:rsid w:val="00D12C3D"/>
    <w:rsid w:val="00D133A0"/>
    <w:rsid w:val="00D149DE"/>
    <w:rsid w:val="00D14AB3"/>
    <w:rsid w:val="00D177FA"/>
    <w:rsid w:val="00D179D0"/>
    <w:rsid w:val="00D202C5"/>
    <w:rsid w:val="00D21EE3"/>
    <w:rsid w:val="00D22492"/>
    <w:rsid w:val="00D31BF4"/>
    <w:rsid w:val="00D32062"/>
    <w:rsid w:val="00D3586A"/>
    <w:rsid w:val="00D3592F"/>
    <w:rsid w:val="00D37214"/>
    <w:rsid w:val="00D37786"/>
    <w:rsid w:val="00D419FF"/>
    <w:rsid w:val="00D41B7F"/>
    <w:rsid w:val="00D431CD"/>
    <w:rsid w:val="00D50C63"/>
    <w:rsid w:val="00D5492A"/>
    <w:rsid w:val="00D54B50"/>
    <w:rsid w:val="00D559A4"/>
    <w:rsid w:val="00D56D67"/>
    <w:rsid w:val="00D60290"/>
    <w:rsid w:val="00D6039E"/>
    <w:rsid w:val="00D617DF"/>
    <w:rsid w:val="00D6234E"/>
    <w:rsid w:val="00D64F82"/>
    <w:rsid w:val="00D700F2"/>
    <w:rsid w:val="00D73F12"/>
    <w:rsid w:val="00D762BF"/>
    <w:rsid w:val="00D80BD7"/>
    <w:rsid w:val="00D81AF6"/>
    <w:rsid w:val="00D82DDC"/>
    <w:rsid w:val="00D8495A"/>
    <w:rsid w:val="00D85E5A"/>
    <w:rsid w:val="00D860B1"/>
    <w:rsid w:val="00D87579"/>
    <w:rsid w:val="00D87A01"/>
    <w:rsid w:val="00D91291"/>
    <w:rsid w:val="00D91690"/>
    <w:rsid w:val="00D927DB"/>
    <w:rsid w:val="00D92BB7"/>
    <w:rsid w:val="00D9328C"/>
    <w:rsid w:val="00D94A37"/>
    <w:rsid w:val="00D953D7"/>
    <w:rsid w:val="00D964BD"/>
    <w:rsid w:val="00D97DD9"/>
    <w:rsid w:val="00DA1A0A"/>
    <w:rsid w:val="00DA3950"/>
    <w:rsid w:val="00DA476E"/>
    <w:rsid w:val="00DA4853"/>
    <w:rsid w:val="00DA5C55"/>
    <w:rsid w:val="00DA6485"/>
    <w:rsid w:val="00DA72E3"/>
    <w:rsid w:val="00DA74C7"/>
    <w:rsid w:val="00DB07B8"/>
    <w:rsid w:val="00DB0CFA"/>
    <w:rsid w:val="00DB17B6"/>
    <w:rsid w:val="00DB2704"/>
    <w:rsid w:val="00DB5619"/>
    <w:rsid w:val="00DB7D97"/>
    <w:rsid w:val="00DC1F96"/>
    <w:rsid w:val="00DC2D29"/>
    <w:rsid w:val="00DC3337"/>
    <w:rsid w:val="00DC3D44"/>
    <w:rsid w:val="00DC6CA8"/>
    <w:rsid w:val="00DD0573"/>
    <w:rsid w:val="00DD1A24"/>
    <w:rsid w:val="00DD3CED"/>
    <w:rsid w:val="00DD4D3E"/>
    <w:rsid w:val="00DD5174"/>
    <w:rsid w:val="00DD6F0E"/>
    <w:rsid w:val="00DE038C"/>
    <w:rsid w:val="00DE18E4"/>
    <w:rsid w:val="00DE3386"/>
    <w:rsid w:val="00DE33E4"/>
    <w:rsid w:val="00DE45DB"/>
    <w:rsid w:val="00DE486B"/>
    <w:rsid w:val="00DE7941"/>
    <w:rsid w:val="00DF2D2E"/>
    <w:rsid w:val="00DF3077"/>
    <w:rsid w:val="00DF43BE"/>
    <w:rsid w:val="00DF48D0"/>
    <w:rsid w:val="00DF4E6A"/>
    <w:rsid w:val="00DF7BFF"/>
    <w:rsid w:val="00E014B0"/>
    <w:rsid w:val="00E02562"/>
    <w:rsid w:val="00E043BC"/>
    <w:rsid w:val="00E05D25"/>
    <w:rsid w:val="00E05E0A"/>
    <w:rsid w:val="00E06098"/>
    <w:rsid w:val="00E118D3"/>
    <w:rsid w:val="00E11E87"/>
    <w:rsid w:val="00E11EF6"/>
    <w:rsid w:val="00E153AE"/>
    <w:rsid w:val="00E15B0A"/>
    <w:rsid w:val="00E15D32"/>
    <w:rsid w:val="00E1682F"/>
    <w:rsid w:val="00E168BB"/>
    <w:rsid w:val="00E202DD"/>
    <w:rsid w:val="00E222DA"/>
    <w:rsid w:val="00E23955"/>
    <w:rsid w:val="00E24EE0"/>
    <w:rsid w:val="00E253A9"/>
    <w:rsid w:val="00E30E04"/>
    <w:rsid w:val="00E31DFB"/>
    <w:rsid w:val="00E32AFB"/>
    <w:rsid w:val="00E3439D"/>
    <w:rsid w:val="00E35715"/>
    <w:rsid w:val="00E35F13"/>
    <w:rsid w:val="00E36085"/>
    <w:rsid w:val="00E404F8"/>
    <w:rsid w:val="00E40630"/>
    <w:rsid w:val="00E421F1"/>
    <w:rsid w:val="00E4260E"/>
    <w:rsid w:val="00E42F83"/>
    <w:rsid w:val="00E4341D"/>
    <w:rsid w:val="00E43798"/>
    <w:rsid w:val="00E47460"/>
    <w:rsid w:val="00E50047"/>
    <w:rsid w:val="00E502BE"/>
    <w:rsid w:val="00E50803"/>
    <w:rsid w:val="00E510B9"/>
    <w:rsid w:val="00E52668"/>
    <w:rsid w:val="00E5586F"/>
    <w:rsid w:val="00E559DB"/>
    <w:rsid w:val="00E5631A"/>
    <w:rsid w:val="00E565AC"/>
    <w:rsid w:val="00E6017B"/>
    <w:rsid w:val="00E608B2"/>
    <w:rsid w:val="00E61438"/>
    <w:rsid w:val="00E6154A"/>
    <w:rsid w:val="00E61F0F"/>
    <w:rsid w:val="00E64053"/>
    <w:rsid w:val="00E65A31"/>
    <w:rsid w:val="00E660F1"/>
    <w:rsid w:val="00E70742"/>
    <w:rsid w:val="00E707A2"/>
    <w:rsid w:val="00E74907"/>
    <w:rsid w:val="00E74EF6"/>
    <w:rsid w:val="00E756C2"/>
    <w:rsid w:val="00E758AE"/>
    <w:rsid w:val="00E76018"/>
    <w:rsid w:val="00E76E67"/>
    <w:rsid w:val="00E8048B"/>
    <w:rsid w:val="00E823B8"/>
    <w:rsid w:val="00E82E37"/>
    <w:rsid w:val="00E83368"/>
    <w:rsid w:val="00E839EF"/>
    <w:rsid w:val="00E83E8F"/>
    <w:rsid w:val="00E83FF3"/>
    <w:rsid w:val="00E85C38"/>
    <w:rsid w:val="00E921D1"/>
    <w:rsid w:val="00E92CFE"/>
    <w:rsid w:val="00E9373B"/>
    <w:rsid w:val="00E959FF"/>
    <w:rsid w:val="00E96D3F"/>
    <w:rsid w:val="00E97A0D"/>
    <w:rsid w:val="00EA1464"/>
    <w:rsid w:val="00EA2A1E"/>
    <w:rsid w:val="00EA3BD7"/>
    <w:rsid w:val="00EA3CAE"/>
    <w:rsid w:val="00EA3F11"/>
    <w:rsid w:val="00EA5B7C"/>
    <w:rsid w:val="00EA76E4"/>
    <w:rsid w:val="00EB2B6D"/>
    <w:rsid w:val="00EB2F22"/>
    <w:rsid w:val="00EB3CDD"/>
    <w:rsid w:val="00EB43C0"/>
    <w:rsid w:val="00EB694D"/>
    <w:rsid w:val="00EB79D4"/>
    <w:rsid w:val="00EB7FA1"/>
    <w:rsid w:val="00EC3CB9"/>
    <w:rsid w:val="00EC4C2F"/>
    <w:rsid w:val="00EC58C6"/>
    <w:rsid w:val="00EC7BCA"/>
    <w:rsid w:val="00EC7D1B"/>
    <w:rsid w:val="00EC7DB0"/>
    <w:rsid w:val="00ED040D"/>
    <w:rsid w:val="00ED0629"/>
    <w:rsid w:val="00ED30BC"/>
    <w:rsid w:val="00ED490E"/>
    <w:rsid w:val="00ED5426"/>
    <w:rsid w:val="00ED703C"/>
    <w:rsid w:val="00ED70AE"/>
    <w:rsid w:val="00ED72BD"/>
    <w:rsid w:val="00EE1254"/>
    <w:rsid w:val="00EE1E49"/>
    <w:rsid w:val="00EE33C6"/>
    <w:rsid w:val="00EE3750"/>
    <w:rsid w:val="00EE4CEF"/>
    <w:rsid w:val="00EE5D59"/>
    <w:rsid w:val="00EF1F3A"/>
    <w:rsid w:val="00EF3FBC"/>
    <w:rsid w:val="00EF4F65"/>
    <w:rsid w:val="00EF56A4"/>
    <w:rsid w:val="00EF5CB5"/>
    <w:rsid w:val="00EF7018"/>
    <w:rsid w:val="00EF7B40"/>
    <w:rsid w:val="00EF7C0D"/>
    <w:rsid w:val="00EF7F3D"/>
    <w:rsid w:val="00F00E4E"/>
    <w:rsid w:val="00F01686"/>
    <w:rsid w:val="00F01A85"/>
    <w:rsid w:val="00F02531"/>
    <w:rsid w:val="00F02E62"/>
    <w:rsid w:val="00F03113"/>
    <w:rsid w:val="00F060DE"/>
    <w:rsid w:val="00F07229"/>
    <w:rsid w:val="00F07B1B"/>
    <w:rsid w:val="00F10807"/>
    <w:rsid w:val="00F146FA"/>
    <w:rsid w:val="00F155BF"/>
    <w:rsid w:val="00F15B00"/>
    <w:rsid w:val="00F172E1"/>
    <w:rsid w:val="00F200F5"/>
    <w:rsid w:val="00F21DFB"/>
    <w:rsid w:val="00F24D39"/>
    <w:rsid w:val="00F26E58"/>
    <w:rsid w:val="00F3282A"/>
    <w:rsid w:val="00F34081"/>
    <w:rsid w:val="00F340B8"/>
    <w:rsid w:val="00F36D90"/>
    <w:rsid w:val="00F400DE"/>
    <w:rsid w:val="00F41BF2"/>
    <w:rsid w:val="00F41F1C"/>
    <w:rsid w:val="00F42876"/>
    <w:rsid w:val="00F465A8"/>
    <w:rsid w:val="00F46F51"/>
    <w:rsid w:val="00F47B2F"/>
    <w:rsid w:val="00F47D56"/>
    <w:rsid w:val="00F5144F"/>
    <w:rsid w:val="00F528D3"/>
    <w:rsid w:val="00F533A5"/>
    <w:rsid w:val="00F55946"/>
    <w:rsid w:val="00F55983"/>
    <w:rsid w:val="00F55DC7"/>
    <w:rsid w:val="00F56103"/>
    <w:rsid w:val="00F561C8"/>
    <w:rsid w:val="00F56D7A"/>
    <w:rsid w:val="00F6001D"/>
    <w:rsid w:val="00F62B39"/>
    <w:rsid w:val="00F655D1"/>
    <w:rsid w:val="00F65A4A"/>
    <w:rsid w:val="00F66B68"/>
    <w:rsid w:val="00F712E4"/>
    <w:rsid w:val="00F71AB3"/>
    <w:rsid w:val="00F71F16"/>
    <w:rsid w:val="00F726BD"/>
    <w:rsid w:val="00F7434C"/>
    <w:rsid w:val="00F7530F"/>
    <w:rsid w:val="00F75AD8"/>
    <w:rsid w:val="00F76BD8"/>
    <w:rsid w:val="00F778F9"/>
    <w:rsid w:val="00F7790A"/>
    <w:rsid w:val="00F8004E"/>
    <w:rsid w:val="00F80380"/>
    <w:rsid w:val="00F84B20"/>
    <w:rsid w:val="00F85D2F"/>
    <w:rsid w:val="00F86CBA"/>
    <w:rsid w:val="00F9162C"/>
    <w:rsid w:val="00F91BF5"/>
    <w:rsid w:val="00F938D1"/>
    <w:rsid w:val="00F97404"/>
    <w:rsid w:val="00F976DE"/>
    <w:rsid w:val="00FA4104"/>
    <w:rsid w:val="00FA798C"/>
    <w:rsid w:val="00FA7CEC"/>
    <w:rsid w:val="00FB1DC6"/>
    <w:rsid w:val="00FB2904"/>
    <w:rsid w:val="00FB2E85"/>
    <w:rsid w:val="00FB4149"/>
    <w:rsid w:val="00FB6037"/>
    <w:rsid w:val="00FB71CA"/>
    <w:rsid w:val="00FC0BBB"/>
    <w:rsid w:val="00FC2389"/>
    <w:rsid w:val="00FC3616"/>
    <w:rsid w:val="00FC3F9E"/>
    <w:rsid w:val="00FC41F4"/>
    <w:rsid w:val="00FC7AD3"/>
    <w:rsid w:val="00FD2EF0"/>
    <w:rsid w:val="00FD3698"/>
    <w:rsid w:val="00FD78EE"/>
    <w:rsid w:val="00FE1B24"/>
    <w:rsid w:val="00FE4357"/>
    <w:rsid w:val="00FE4E8F"/>
    <w:rsid w:val="00FF006E"/>
    <w:rsid w:val="00FF0EAE"/>
    <w:rsid w:val="00FF6348"/>
    <w:rsid w:val="00FF6C2C"/>
    <w:rsid w:val="00FF70A0"/>
    <w:rsid w:val="014286F4"/>
    <w:rsid w:val="016FA7BE"/>
    <w:rsid w:val="01ABE6FA"/>
    <w:rsid w:val="01DEAD09"/>
    <w:rsid w:val="02B71241"/>
    <w:rsid w:val="03ECAA0B"/>
    <w:rsid w:val="055B997C"/>
    <w:rsid w:val="075494C3"/>
    <w:rsid w:val="07A92976"/>
    <w:rsid w:val="08BF6C6C"/>
    <w:rsid w:val="093D89B6"/>
    <w:rsid w:val="099C3AC8"/>
    <w:rsid w:val="0AF0A451"/>
    <w:rsid w:val="0BA150FF"/>
    <w:rsid w:val="0D70AB7B"/>
    <w:rsid w:val="0DC897B8"/>
    <w:rsid w:val="0E017922"/>
    <w:rsid w:val="0F89E536"/>
    <w:rsid w:val="111A6432"/>
    <w:rsid w:val="121052A4"/>
    <w:rsid w:val="12607466"/>
    <w:rsid w:val="138D82A1"/>
    <w:rsid w:val="140DBE23"/>
    <w:rsid w:val="141AC429"/>
    <w:rsid w:val="1524E5E4"/>
    <w:rsid w:val="156952A7"/>
    <w:rsid w:val="1569F48C"/>
    <w:rsid w:val="193A18F8"/>
    <w:rsid w:val="1AC03A27"/>
    <w:rsid w:val="1C4A4540"/>
    <w:rsid w:val="1D256D93"/>
    <w:rsid w:val="1D7D28D8"/>
    <w:rsid w:val="1DC3DFD2"/>
    <w:rsid w:val="1EBF5C88"/>
    <w:rsid w:val="1F022687"/>
    <w:rsid w:val="221A6D92"/>
    <w:rsid w:val="224278B6"/>
    <w:rsid w:val="228B41DC"/>
    <w:rsid w:val="2385C0A7"/>
    <w:rsid w:val="24227B15"/>
    <w:rsid w:val="25A382F6"/>
    <w:rsid w:val="2666EB9A"/>
    <w:rsid w:val="26F58E6C"/>
    <w:rsid w:val="28679899"/>
    <w:rsid w:val="298BF352"/>
    <w:rsid w:val="299A8D13"/>
    <w:rsid w:val="2B9D6425"/>
    <w:rsid w:val="2C94925A"/>
    <w:rsid w:val="2CF875F5"/>
    <w:rsid w:val="2D405B61"/>
    <w:rsid w:val="2E0138E4"/>
    <w:rsid w:val="2E351974"/>
    <w:rsid w:val="2EECB6D4"/>
    <w:rsid w:val="30D592C6"/>
    <w:rsid w:val="333F77F0"/>
    <w:rsid w:val="337D40D9"/>
    <w:rsid w:val="35966CAC"/>
    <w:rsid w:val="36BD170C"/>
    <w:rsid w:val="36F771CF"/>
    <w:rsid w:val="3F69BBD1"/>
    <w:rsid w:val="3F6D0187"/>
    <w:rsid w:val="40106388"/>
    <w:rsid w:val="40254136"/>
    <w:rsid w:val="423FC912"/>
    <w:rsid w:val="4353BAFA"/>
    <w:rsid w:val="43AE9977"/>
    <w:rsid w:val="45A2CCA2"/>
    <w:rsid w:val="47823E37"/>
    <w:rsid w:val="487ECCE2"/>
    <w:rsid w:val="4959CC95"/>
    <w:rsid w:val="49B01209"/>
    <w:rsid w:val="4AD3A85E"/>
    <w:rsid w:val="4B59C74C"/>
    <w:rsid w:val="4BF2DCE0"/>
    <w:rsid w:val="4E472015"/>
    <w:rsid w:val="4E7F3A01"/>
    <w:rsid w:val="4F491936"/>
    <w:rsid w:val="4FCF521B"/>
    <w:rsid w:val="5184AE64"/>
    <w:rsid w:val="528BD902"/>
    <w:rsid w:val="52C0088C"/>
    <w:rsid w:val="53323D16"/>
    <w:rsid w:val="5405FC70"/>
    <w:rsid w:val="55C63B2B"/>
    <w:rsid w:val="55C790FD"/>
    <w:rsid w:val="5668D84D"/>
    <w:rsid w:val="56D9159B"/>
    <w:rsid w:val="5791EC15"/>
    <w:rsid w:val="57CF2870"/>
    <w:rsid w:val="596D206D"/>
    <w:rsid w:val="59A974ED"/>
    <w:rsid w:val="5A45E389"/>
    <w:rsid w:val="5BD43CC5"/>
    <w:rsid w:val="5BDC641A"/>
    <w:rsid w:val="5C2C5DEF"/>
    <w:rsid w:val="5D70A8C5"/>
    <w:rsid w:val="5D966BFB"/>
    <w:rsid w:val="5D99A31F"/>
    <w:rsid w:val="5E5B69E4"/>
    <w:rsid w:val="5EBDEFCC"/>
    <w:rsid w:val="6049FF3F"/>
    <w:rsid w:val="60C96B6C"/>
    <w:rsid w:val="629B9626"/>
    <w:rsid w:val="62AD7835"/>
    <w:rsid w:val="649D7A8A"/>
    <w:rsid w:val="65508342"/>
    <w:rsid w:val="6569646D"/>
    <w:rsid w:val="661B1600"/>
    <w:rsid w:val="687A3D64"/>
    <w:rsid w:val="68CBE82B"/>
    <w:rsid w:val="693D9670"/>
    <w:rsid w:val="6AB45160"/>
    <w:rsid w:val="6B4E94C2"/>
    <w:rsid w:val="6B64FD53"/>
    <w:rsid w:val="6DB13955"/>
    <w:rsid w:val="6E909614"/>
    <w:rsid w:val="6F9DFE08"/>
    <w:rsid w:val="7071B414"/>
    <w:rsid w:val="709D784F"/>
    <w:rsid w:val="70F583CF"/>
    <w:rsid w:val="70FFCC86"/>
    <w:rsid w:val="72A53F29"/>
    <w:rsid w:val="73B651D5"/>
    <w:rsid w:val="760A21DC"/>
    <w:rsid w:val="77843BDE"/>
    <w:rsid w:val="77953B64"/>
    <w:rsid w:val="77FC41D4"/>
    <w:rsid w:val="7C1041DB"/>
    <w:rsid w:val="7C450B03"/>
    <w:rsid w:val="7ED8C8F7"/>
    <w:rsid w:val="7EF62CF8"/>
    <w:rsid w:val="7FF2363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2F2C8"/>
  <w14:defaultImageDpi w14:val="32767"/>
  <w15:chartTrackingRefBased/>
  <w15:docId w15:val="{DDD4938B-0051-4DDE-82B1-34C42587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uiPriority="0" w:qFormat="1"/>
    <w:lsdException w:name="List Number" w:locked="0"/>
    <w:lsdException w:name="List 2" w:locked="0"/>
    <w:lsdException w:name="List 3" w:locked="0"/>
    <w:lsdException w:name="List 4" w:locked="0"/>
    <w:lsdException w:name="List 5" w:locked="0"/>
    <w:lsdException w:name="List Bullet 2" w:locked="0" w:uiPriority="0" w:qFormat="1"/>
    <w:lsdException w:name="List Bullet 3" w:locked="0" w:uiPriority="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uiPriority="0"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0"/>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30A1B"/>
  </w:style>
  <w:style w:type="paragraph" w:styleId="Heading1">
    <w:name w:val="heading 1"/>
    <w:basedOn w:val="Normal"/>
    <w:next w:val="Normal"/>
    <w:link w:val="Heading1Char"/>
    <w:qFormat/>
    <w:rsid w:val="00C30A1B"/>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qFormat/>
    <w:rsid w:val="00C30A1B"/>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qFormat/>
    <w:rsid w:val="00C30A1B"/>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qFormat/>
    <w:rsid w:val="00C30A1B"/>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qFormat/>
    <w:rsid w:val="00C30A1B"/>
    <w:pPr>
      <w:keepNext/>
      <w:keepLines/>
      <w:outlineLvl w:val="4"/>
    </w:pPr>
    <w:rPr>
      <w:rFonts w:eastAsiaTheme="majorEastAsia" w:cstheme="majorBidi"/>
      <w:b/>
    </w:rPr>
  </w:style>
  <w:style w:type="paragraph" w:styleId="Heading6">
    <w:name w:val="heading 6"/>
    <w:basedOn w:val="Normal"/>
    <w:next w:val="Normal"/>
    <w:link w:val="Heading6Char"/>
    <w:uiPriority w:val="9"/>
    <w:qFormat/>
    <w:rsid w:val="00C30A1B"/>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C30A1B"/>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C30A1B"/>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C30A1B"/>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0A1B"/>
    <w:pPr>
      <w:spacing w:before="0" w:after="0"/>
    </w:pPr>
  </w:style>
  <w:style w:type="character" w:customStyle="1" w:styleId="Heading1Char">
    <w:name w:val="Heading 1 Char"/>
    <w:basedOn w:val="DefaultParagraphFont"/>
    <w:link w:val="Heading1"/>
    <w:uiPriority w:val="9"/>
    <w:rsid w:val="00C30A1B"/>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C30A1B"/>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C30A1B"/>
    <w:rPr>
      <w:rFonts w:asciiTheme="majorHAnsi" w:eastAsiaTheme="majorEastAsia" w:hAnsiTheme="majorHAnsi" w:cstheme="majorBidi"/>
      <w:b/>
      <w:szCs w:val="35"/>
    </w:rPr>
  </w:style>
  <w:style w:type="character" w:customStyle="1" w:styleId="Heading4Char">
    <w:name w:val="Heading 4 Char"/>
    <w:basedOn w:val="DefaultParagraphFont"/>
    <w:link w:val="Heading4"/>
    <w:rsid w:val="00C30A1B"/>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C30A1B"/>
    <w:rPr>
      <w:rFonts w:eastAsiaTheme="majorEastAsia" w:cstheme="majorBidi"/>
      <w:b/>
    </w:rPr>
  </w:style>
  <w:style w:type="character" w:customStyle="1" w:styleId="Heading6Char">
    <w:name w:val="Heading 6 Char"/>
    <w:basedOn w:val="DefaultParagraphFont"/>
    <w:link w:val="Heading6"/>
    <w:uiPriority w:val="9"/>
    <w:semiHidden/>
    <w:rsid w:val="00C30A1B"/>
    <w:rPr>
      <w:rFonts w:eastAsiaTheme="majorEastAsia" w:cstheme="majorBidi"/>
      <w:b/>
      <w:iCs/>
    </w:rPr>
  </w:style>
  <w:style w:type="character" w:customStyle="1" w:styleId="Heading7Char">
    <w:name w:val="Heading 7 Char"/>
    <w:basedOn w:val="DefaultParagraphFont"/>
    <w:link w:val="Heading7"/>
    <w:uiPriority w:val="9"/>
    <w:semiHidden/>
    <w:rsid w:val="00C30A1B"/>
    <w:rPr>
      <w:rFonts w:eastAsiaTheme="majorEastAsia" w:cstheme="majorBidi"/>
      <w:b/>
    </w:rPr>
  </w:style>
  <w:style w:type="character" w:customStyle="1" w:styleId="Heading8Char">
    <w:name w:val="Heading 8 Char"/>
    <w:basedOn w:val="DefaultParagraphFont"/>
    <w:link w:val="Heading8"/>
    <w:uiPriority w:val="9"/>
    <w:semiHidden/>
    <w:rsid w:val="00C30A1B"/>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C30A1B"/>
    <w:rPr>
      <w:rFonts w:eastAsiaTheme="majorEastAsia" w:cstheme="majorBidi"/>
      <w:i/>
      <w:color w:val="272727" w:themeColor="text1" w:themeTint="D8"/>
      <w:sz w:val="24"/>
    </w:rPr>
  </w:style>
  <w:style w:type="paragraph" w:styleId="ListBullet">
    <w:name w:val="List Bullet"/>
    <w:basedOn w:val="Normal"/>
    <w:qFormat/>
    <w:rsid w:val="00C30A1B"/>
    <w:pPr>
      <w:numPr>
        <w:numId w:val="59"/>
      </w:numPr>
      <w:contextualSpacing/>
    </w:pPr>
  </w:style>
  <w:style w:type="numbering" w:customStyle="1" w:styleId="BulletList">
    <w:name w:val="Bullet List"/>
    <w:basedOn w:val="NoList"/>
    <w:uiPriority w:val="99"/>
    <w:rsid w:val="00C30A1B"/>
    <w:pPr>
      <w:numPr>
        <w:numId w:val="24"/>
      </w:numPr>
    </w:pPr>
  </w:style>
  <w:style w:type="paragraph" w:styleId="ListParagraph">
    <w:name w:val="List Paragraph"/>
    <w:basedOn w:val="Normal"/>
    <w:uiPriority w:val="34"/>
    <w:qFormat/>
    <w:rsid w:val="00C30A1B"/>
    <w:pPr>
      <w:ind w:left="284"/>
      <w:contextualSpacing/>
    </w:pPr>
  </w:style>
  <w:style w:type="paragraph" w:styleId="ListBullet2">
    <w:name w:val="List Bullet 2"/>
    <w:basedOn w:val="Normal"/>
    <w:qFormat/>
    <w:rsid w:val="00C30A1B"/>
    <w:pPr>
      <w:numPr>
        <w:ilvl w:val="1"/>
        <w:numId w:val="11"/>
      </w:numPr>
      <w:contextualSpacing/>
    </w:pPr>
  </w:style>
  <w:style w:type="character" w:styleId="FollowedHyperlink">
    <w:name w:val="FollowedHyperlink"/>
    <w:basedOn w:val="DefaultParagraphFont"/>
    <w:uiPriority w:val="44"/>
    <w:rsid w:val="00C30A1B"/>
    <w:rPr>
      <w:color w:val="075D5F" w:themeColor="accent1"/>
      <w:u w:val="single"/>
    </w:rPr>
  </w:style>
  <w:style w:type="paragraph" w:styleId="ListBullet4">
    <w:name w:val="List Bullet 4"/>
    <w:basedOn w:val="Normal"/>
    <w:uiPriority w:val="17"/>
    <w:rsid w:val="00C30A1B"/>
    <w:pPr>
      <w:numPr>
        <w:ilvl w:val="3"/>
        <w:numId w:val="11"/>
      </w:numPr>
      <w:contextualSpacing/>
    </w:pPr>
  </w:style>
  <w:style w:type="paragraph" w:styleId="FootnoteText">
    <w:name w:val="footnote text"/>
    <w:basedOn w:val="Normal"/>
    <w:link w:val="FootnoteTextChar"/>
    <w:uiPriority w:val="99"/>
    <w:rsid w:val="00C30A1B"/>
    <w:pPr>
      <w:tabs>
        <w:tab w:val="left" w:pos="227"/>
      </w:tabs>
      <w:spacing w:after="0"/>
      <w:ind w:left="227" w:hanging="227"/>
    </w:pPr>
    <w:rPr>
      <w:sz w:val="16"/>
    </w:rPr>
  </w:style>
  <w:style w:type="paragraph" w:styleId="ListBullet5">
    <w:name w:val="List Bullet 5"/>
    <w:basedOn w:val="Normal"/>
    <w:uiPriority w:val="17"/>
    <w:rsid w:val="00C30A1B"/>
    <w:pPr>
      <w:numPr>
        <w:ilvl w:val="4"/>
        <w:numId w:val="11"/>
      </w:numPr>
      <w:contextualSpacing/>
    </w:pPr>
  </w:style>
  <w:style w:type="numbering" w:styleId="111111">
    <w:name w:val="Outline List 2"/>
    <w:basedOn w:val="NoList"/>
    <w:uiPriority w:val="99"/>
    <w:semiHidden/>
    <w:unhideWhenUsed/>
    <w:rsid w:val="00C30A1B"/>
    <w:pPr>
      <w:numPr>
        <w:numId w:val="1"/>
      </w:numPr>
    </w:pPr>
  </w:style>
  <w:style w:type="numbering" w:styleId="1ai">
    <w:name w:val="Outline List 1"/>
    <w:basedOn w:val="NoList"/>
    <w:uiPriority w:val="99"/>
    <w:semiHidden/>
    <w:unhideWhenUsed/>
    <w:rsid w:val="00C30A1B"/>
    <w:pPr>
      <w:numPr>
        <w:numId w:val="2"/>
      </w:numPr>
    </w:pPr>
  </w:style>
  <w:style w:type="paragraph" w:styleId="ListNumber">
    <w:name w:val="List Number"/>
    <w:basedOn w:val="Normal"/>
    <w:uiPriority w:val="99"/>
    <w:rsid w:val="00C30A1B"/>
    <w:pPr>
      <w:numPr>
        <w:numId w:val="9"/>
      </w:numPr>
      <w:contextualSpacing/>
    </w:pPr>
  </w:style>
  <w:style w:type="paragraph" w:styleId="ListNumber2">
    <w:name w:val="List Number 2"/>
    <w:basedOn w:val="Normal"/>
    <w:uiPriority w:val="99"/>
    <w:rsid w:val="00C30A1B"/>
    <w:pPr>
      <w:numPr>
        <w:ilvl w:val="1"/>
        <w:numId w:val="9"/>
      </w:numPr>
      <w:contextualSpacing/>
    </w:pPr>
  </w:style>
  <w:style w:type="paragraph" w:styleId="ListNumber3">
    <w:name w:val="List Number 3"/>
    <w:basedOn w:val="Normal"/>
    <w:uiPriority w:val="99"/>
    <w:rsid w:val="00C30A1B"/>
    <w:pPr>
      <w:numPr>
        <w:ilvl w:val="2"/>
        <w:numId w:val="9"/>
      </w:numPr>
      <w:contextualSpacing/>
    </w:pPr>
  </w:style>
  <w:style w:type="paragraph" w:styleId="ListNumber4">
    <w:name w:val="List Number 4"/>
    <w:basedOn w:val="Normal"/>
    <w:uiPriority w:val="99"/>
    <w:rsid w:val="00C30A1B"/>
    <w:pPr>
      <w:numPr>
        <w:ilvl w:val="3"/>
        <w:numId w:val="9"/>
      </w:numPr>
      <w:contextualSpacing/>
    </w:pPr>
  </w:style>
  <w:style w:type="paragraph" w:styleId="ListNumber5">
    <w:name w:val="List Number 5"/>
    <w:basedOn w:val="Normal"/>
    <w:uiPriority w:val="99"/>
    <w:rsid w:val="00C30A1B"/>
    <w:pPr>
      <w:numPr>
        <w:ilvl w:val="4"/>
        <w:numId w:val="9"/>
      </w:numPr>
      <w:contextualSpacing/>
    </w:pPr>
  </w:style>
  <w:style w:type="character" w:customStyle="1" w:styleId="FootnoteTextChar">
    <w:name w:val="Footnote Text Char"/>
    <w:basedOn w:val="DefaultParagraphFont"/>
    <w:link w:val="FootnoteText"/>
    <w:uiPriority w:val="99"/>
    <w:rsid w:val="00C30A1B"/>
    <w:rPr>
      <w:sz w:val="16"/>
    </w:rPr>
  </w:style>
  <w:style w:type="character" w:styleId="FootnoteReference">
    <w:name w:val="footnote reference"/>
    <w:basedOn w:val="DefaultParagraphFont"/>
    <w:uiPriority w:val="99"/>
    <w:semiHidden/>
    <w:rsid w:val="00C30A1B"/>
    <w:rPr>
      <w:vertAlign w:val="superscript"/>
    </w:rPr>
  </w:style>
  <w:style w:type="paragraph" w:styleId="Caption">
    <w:name w:val="caption"/>
    <w:basedOn w:val="Normal"/>
    <w:next w:val="Normal"/>
    <w:uiPriority w:val="35"/>
    <w:qFormat/>
    <w:rsid w:val="00C30A1B"/>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C30A1B"/>
    <w:pPr>
      <w:spacing w:before="60"/>
    </w:pPr>
    <w:rPr>
      <w:i/>
    </w:rPr>
  </w:style>
  <w:style w:type="character" w:customStyle="1" w:styleId="StatementChar">
    <w:name w:val="Statement Char"/>
    <w:basedOn w:val="DefaultParagraphFont"/>
    <w:link w:val="Statement"/>
    <w:uiPriority w:val="23"/>
    <w:rsid w:val="00C30A1B"/>
    <w:rPr>
      <w:i/>
    </w:rPr>
  </w:style>
  <w:style w:type="paragraph" w:styleId="IntenseQuote">
    <w:name w:val="Intense Quote"/>
    <w:basedOn w:val="Normal"/>
    <w:next w:val="Normal"/>
    <w:link w:val="IntenseQuoteChar"/>
    <w:uiPriority w:val="30"/>
    <w:semiHidden/>
    <w:rsid w:val="00C30A1B"/>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C30A1B"/>
    <w:rPr>
      <w:b/>
      <w:iCs/>
      <w:color w:val="075D5F" w:themeColor="accent1"/>
      <w:sz w:val="26"/>
    </w:rPr>
  </w:style>
  <w:style w:type="paragraph" w:styleId="Salutation">
    <w:name w:val="Salutation"/>
    <w:basedOn w:val="Normal"/>
    <w:next w:val="Normal"/>
    <w:link w:val="SalutationChar"/>
    <w:uiPriority w:val="34"/>
    <w:semiHidden/>
    <w:rsid w:val="00C30A1B"/>
    <w:pPr>
      <w:spacing w:after="0"/>
    </w:pPr>
    <w:rPr>
      <w:b/>
    </w:rPr>
  </w:style>
  <w:style w:type="character" w:customStyle="1" w:styleId="SalutationChar">
    <w:name w:val="Salutation Char"/>
    <w:basedOn w:val="DefaultParagraphFont"/>
    <w:link w:val="Salutation"/>
    <w:uiPriority w:val="34"/>
    <w:semiHidden/>
    <w:rsid w:val="00C30A1B"/>
    <w:rPr>
      <w:b/>
    </w:rPr>
  </w:style>
  <w:style w:type="paragraph" w:styleId="Signature">
    <w:name w:val="Signature"/>
    <w:basedOn w:val="Normal"/>
    <w:link w:val="SignatureChar"/>
    <w:uiPriority w:val="34"/>
    <w:semiHidden/>
    <w:rsid w:val="00C30A1B"/>
    <w:pPr>
      <w:spacing w:before="720" w:after="0"/>
      <w:contextualSpacing/>
    </w:pPr>
  </w:style>
  <w:style w:type="character" w:customStyle="1" w:styleId="SignatureChar">
    <w:name w:val="Signature Char"/>
    <w:basedOn w:val="DefaultParagraphFont"/>
    <w:link w:val="Signature"/>
    <w:uiPriority w:val="34"/>
    <w:semiHidden/>
    <w:rsid w:val="00C30A1B"/>
  </w:style>
  <w:style w:type="paragraph" w:styleId="Date">
    <w:name w:val="Date"/>
    <w:basedOn w:val="Normal"/>
    <w:next w:val="Normal"/>
    <w:link w:val="DateChar"/>
    <w:uiPriority w:val="34"/>
    <w:semiHidden/>
    <w:rsid w:val="00C30A1B"/>
  </w:style>
  <w:style w:type="character" w:customStyle="1" w:styleId="DateChar">
    <w:name w:val="Date Char"/>
    <w:basedOn w:val="DefaultParagraphFont"/>
    <w:link w:val="Date"/>
    <w:uiPriority w:val="34"/>
    <w:semiHidden/>
    <w:rsid w:val="00C30A1B"/>
  </w:style>
  <w:style w:type="paragraph" w:styleId="EnvelopeAddress">
    <w:name w:val="envelope address"/>
    <w:basedOn w:val="Normal"/>
    <w:uiPriority w:val="34"/>
    <w:semiHidden/>
    <w:rsid w:val="00C30A1B"/>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C30A1B"/>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C30A1B"/>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C30A1B"/>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C30A1B"/>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C30A1B"/>
    <w:rPr>
      <w:rFonts w:eastAsiaTheme="minorEastAsia" w:cstheme="majorBidi"/>
      <w:b/>
      <w:color w:val="075D5F" w:themeColor="accent1"/>
      <w:sz w:val="22"/>
      <w:szCs w:val="22"/>
    </w:rPr>
  </w:style>
  <w:style w:type="table" w:styleId="TableGrid">
    <w:name w:val="Table Grid"/>
    <w:basedOn w:val="TableNormal"/>
    <w:rsid w:val="00C30A1B"/>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C30A1B"/>
    <w:rPr>
      <w:color w:val="212429" w:themeColor="text2"/>
      <w:bdr w:val="none" w:sz="0" w:space="0" w:color="auto"/>
      <w:shd w:val="clear" w:color="auto" w:fill="D3D3D3"/>
    </w:rPr>
  </w:style>
  <w:style w:type="table" w:styleId="ListTable1Light">
    <w:name w:val="List Table 1 Light"/>
    <w:basedOn w:val="TableNormal"/>
    <w:uiPriority w:val="46"/>
    <w:locked/>
    <w:rsid w:val="00C30A1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C30A1B"/>
    <w:pPr>
      <w:numPr>
        <w:numId w:val="23"/>
      </w:numPr>
    </w:pPr>
  </w:style>
  <w:style w:type="paragraph" w:styleId="Quote">
    <w:name w:val="Quote"/>
    <w:basedOn w:val="Normal"/>
    <w:next w:val="Normal"/>
    <w:link w:val="QuoteChar"/>
    <w:uiPriority w:val="29"/>
    <w:semiHidden/>
    <w:qFormat/>
    <w:rsid w:val="00C30A1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30A1B"/>
    <w:rPr>
      <w:i/>
      <w:iCs/>
      <w:color w:val="404040" w:themeColor="text1" w:themeTint="BF"/>
    </w:rPr>
  </w:style>
  <w:style w:type="paragraph" w:styleId="TOCHeading">
    <w:name w:val="TOC Heading"/>
    <w:basedOn w:val="Heading1"/>
    <w:next w:val="Normal"/>
    <w:uiPriority w:val="39"/>
    <w:rsid w:val="00C30A1B"/>
    <w:pPr>
      <w:spacing w:after="0"/>
      <w:outlineLvl w:val="9"/>
    </w:pPr>
  </w:style>
  <w:style w:type="paragraph" w:styleId="TOC1">
    <w:name w:val="toc 1"/>
    <w:basedOn w:val="Normal"/>
    <w:next w:val="Normal"/>
    <w:autoRedefine/>
    <w:uiPriority w:val="39"/>
    <w:rsid w:val="00C30A1B"/>
    <w:pPr>
      <w:tabs>
        <w:tab w:val="right" w:leader="underscore" w:pos="10773"/>
      </w:tabs>
      <w:spacing w:before="240" w:after="100"/>
    </w:pPr>
    <w:rPr>
      <w:b/>
    </w:rPr>
  </w:style>
  <w:style w:type="paragraph" w:styleId="TOC2">
    <w:name w:val="toc 2"/>
    <w:basedOn w:val="Normal"/>
    <w:next w:val="Normal"/>
    <w:autoRedefine/>
    <w:uiPriority w:val="39"/>
    <w:rsid w:val="00C30A1B"/>
    <w:pPr>
      <w:tabs>
        <w:tab w:val="right" w:leader="underscore" w:pos="10773"/>
      </w:tabs>
      <w:spacing w:after="100"/>
    </w:pPr>
  </w:style>
  <w:style w:type="character" w:styleId="Hyperlink">
    <w:name w:val="Hyperlink"/>
    <w:basedOn w:val="DefaultParagraphFont"/>
    <w:uiPriority w:val="99"/>
    <w:unhideWhenUsed/>
    <w:rsid w:val="00C30A1B"/>
    <w:rPr>
      <w:color w:val="36383D" w:themeColor="accent6"/>
      <w:u w:val="single"/>
    </w:rPr>
  </w:style>
  <w:style w:type="paragraph" w:customStyle="1" w:styleId="Heading1-Numbered">
    <w:name w:val="Heading 1 - Numbered"/>
    <w:basedOn w:val="Heading1"/>
    <w:next w:val="Normal"/>
    <w:uiPriority w:val="9"/>
    <w:qFormat/>
    <w:rsid w:val="00C30A1B"/>
    <w:pPr>
      <w:numPr>
        <w:numId w:val="4"/>
      </w:numPr>
    </w:pPr>
  </w:style>
  <w:style w:type="paragraph" w:customStyle="1" w:styleId="Heading3-Numbered">
    <w:name w:val="Heading 3 - Numbered"/>
    <w:basedOn w:val="Heading3"/>
    <w:next w:val="Normal"/>
    <w:uiPriority w:val="9"/>
    <w:qFormat/>
    <w:rsid w:val="00C30A1B"/>
    <w:pPr>
      <w:numPr>
        <w:ilvl w:val="2"/>
        <w:numId w:val="4"/>
      </w:numPr>
    </w:pPr>
  </w:style>
  <w:style w:type="paragraph" w:customStyle="1" w:styleId="Heading2-Numbered">
    <w:name w:val="Heading 2 - Numbered"/>
    <w:basedOn w:val="Heading2"/>
    <w:next w:val="Normal"/>
    <w:link w:val="Heading2-NumberedChar"/>
    <w:uiPriority w:val="9"/>
    <w:qFormat/>
    <w:rsid w:val="00C30A1B"/>
    <w:pPr>
      <w:numPr>
        <w:ilvl w:val="1"/>
        <w:numId w:val="4"/>
      </w:numPr>
    </w:pPr>
  </w:style>
  <w:style w:type="character" w:customStyle="1" w:styleId="Heading2-NumberedChar">
    <w:name w:val="Heading 2 - Numbered Char"/>
    <w:basedOn w:val="Heading2Char"/>
    <w:link w:val="Heading2-Numbered"/>
    <w:uiPriority w:val="9"/>
    <w:rsid w:val="00C30A1B"/>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C30A1B"/>
    <w:pPr>
      <w:numPr>
        <w:ilvl w:val="3"/>
        <w:numId w:val="4"/>
      </w:numPr>
      <w:spacing w:before="60"/>
    </w:pPr>
    <w:rPr>
      <w:b w:val="0"/>
      <w:caps/>
      <w:sz w:val="18"/>
    </w:rPr>
  </w:style>
  <w:style w:type="paragraph" w:customStyle="1" w:styleId="Introduction">
    <w:name w:val="Introduction"/>
    <w:basedOn w:val="Normal"/>
    <w:next w:val="Normal"/>
    <w:uiPriority w:val="10"/>
    <w:semiHidden/>
    <w:qFormat/>
    <w:rsid w:val="00C30A1B"/>
    <w:pPr>
      <w:keepLines/>
      <w:spacing w:before="240" w:after="240"/>
    </w:pPr>
    <w:rPr>
      <w:b/>
      <w:color w:val="212429" w:themeColor="text2"/>
    </w:rPr>
  </w:style>
  <w:style w:type="paragraph" w:styleId="Header">
    <w:name w:val="header"/>
    <w:basedOn w:val="Normal"/>
    <w:link w:val="HeaderChar"/>
    <w:uiPriority w:val="44"/>
    <w:rsid w:val="00C30A1B"/>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C30A1B"/>
    <w:rPr>
      <w:color w:val="36383D" w:themeColor="accent6"/>
      <w:sz w:val="14"/>
    </w:rPr>
  </w:style>
  <w:style w:type="paragraph" w:styleId="Footer">
    <w:name w:val="footer"/>
    <w:basedOn w:val="Normal"/>
    <w:link w:val="FooterChar"/>
    <w:uiPriority w:val="44"/>
    <w:rsid w:val="00C30A1B"/>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C30A1B"/>
    <w:rPr>
      <w:color w:val="36383D" w:themeColor="accent6"/>
      <w:sz w:val="14"/>
    </w:rPr>
  </w:style>
  <w:style w:type="paragraph" w:styleId="TableofFigures">
    <w:name w:val="table of figures"/>
    <w:basedOn w:val="Normal"/>
    <w:next w:val="Normal"/>
    <w:uiPriority w:val="99"/>
    <w:semiHidden/>
    <w:rsid w:val="00C30A1B"/>
    <w:pPr>
      <w:tabs>
        <w:tab w:val="right" w:leader="underscore" w:pos="10773"/>
      </w:tabs>
      <w:spacing w:after="100"/>
    </w:pPr>
  </w:style>
  <w:style w:type="paragraph" w:styleId="ListContinue">
    <w:name w:val="List Continue"/>
    <w:basedOn w:val="Normal"/>
    <w:uiPriority w:val="17"/>
    <w:rsid w:val="00C30A1B"/>
    <w:pPr>
      <w:numPr>
        <w:numId w:val="5"/>
      </w:numPr>
      <w:contextualSpacing/>
    </w:pPr>
  </w:style>
  <w:style w:type="paragraph" w:styleId="ListContinue2">
    <w:name w:val="List Continue 2"/>
    <w:basedOn w:val="Normal"/>
    <w:uiPriority w:val="17"/>
    <w:rsid w:val="00C30A1B"/>
    <w:pPr>
      <w:numPr>
        <w:ilvl w:val="1"/>
        <w:numId w:val="5"/>
      </w:numPr>
      <w:contextualSpacing/>
    </w:pPr>
  </w:style>
  <w:style w:type="paragraph" w:styleId="ListContinue3">
    <w:name w:val="List Continue 3"/>
    <w:basedOn w:val="Normal"/>
    <w:uiPriority w:val="17"/>
    <w:rsid w:val="00C30A1B"/>
    <w:pPr>
      <w:numPr>
        <w:ilvl w:val="2"/>
        <w:numId w:val="5"/>
      </w:numPr>
      <w:contextualSpacing/>
    </w:pPr>
  </w:style>
  <w:style w:type="paragraph" w:styleId="ListContinue4">
    <w:name w:val="List Continue 4"/>
    <w:basedOn w:val="Normal"/>
    <w:uiPriority w:val="17"/>
    <w:rsid w:val="00C30A1B"/>
    <w:pPr>
      <w:numPr>
        <w:ilvl w:val="3"/>
        <w:numId w:val="5"/>
      </w:numPr>
      <w:contextualSpacing/>
    </w:pPr>
  </w:style>
  <w:style w:type="paragraph" w:styleId="ListContinue5">
    <w:name w:val="List Continue 5"/>
    <w:basedOn w:val="Normal"/>
    <w:uiPriority w:val="17"/>
    <w:rsid w:val="00C30A1B"/>
    <w:pPr>
      <w:numPr>
        <w:ilvl w:val="4"/>
        <w:numId w:val="5"/>
      </w:numPr>
      <w:contextualSpacing/>
    </w:pPr>
  </w:style>
  <w:style w:type="paragraph" w:styleId="ListBullet3">
    <w:name w:val="List Bullet 3"/>
    <w:basedOn w:val="Normal"/>
    <w:rsid w:val="00C30A1B"/>
    <w:pPr>
      <w:numPr>
        <w:ilvl w:val="2"/>
        <w:numId w:val="11"/>
      </w:numPr>
      <w:contextualSpacing/>
    </w:pPr>
  </w:style>
  <w:style w:type="paragraph" w:styleId="TOC3">
    <w:name w:val="toc 3"/>
    <w:basedOn w:val="Normal"/>
    <w:next w:val="Normal"/>
    <w:autoRedefine/>
    <w:uiPriority w:val="39"/>
    <w:rsid w:val="00C30A1B"/>
    <w:pPr>
      <w:tabs>
        <w:tab w:val="right" w:leader="underscore" w:pos="10773"/>
      </w:tabs>
      <w:spacing w:after="100"/>
      <w:ind w:left="284"/>
    </w:pPr>
  </w:style>
  <w:style w:type="paragraph" w:styleId="TOC4">
    <w:name w:val="toc 4"/>
    <w:basedOn w:val="Normal"/>
    <w:next w:val="Normal"/>
    <w:autoRedefine/>
    <w:uiPriority w:val="39"/>
    <w:rsid w:val="00CA022C"/>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C30A1B"/>
    <w:pPr>
      <w:numPr>
        <w:numId w:val="5"/>
      </w:numPr>
    </w:pPr>
  </w:style>
  <w:style w:type="paragraph" w:styleId="List">
    <w:name w:val="List"/>
    <w:basedOn w:val="Normal"/>
    <w:uiPriority w:val="17"/>
    <w:rsid w:val="00C30A1B"/>
    <w:pPr>
      <w:numPr>
        <w:numId w:val="10"/>
      </w:numPr>
      <w:contextualSpacing/>
    </w:pPr>
  </w:style>
  <w:style w:type="paragraph" w:styleId="List2">
    <w:name w:val="List 2"/>
    <w:basedOn w:val="Normal"/>
    <w:uiPriority w:val="17"/>
    <w:rsid w:val="00C30A1B"/>
    <w:pPr>
      <w:numPr>
        <w:ilvl w:val="1"/>
        <w:numId w:val="10"/>
      </w:numPr>
      <w:contextualSpacing/>
    </w:pPr>
  </w:style>
  <w:style w:type="paragraph" w:styleId="List3">
    <w:name w:val="List 3"/>
    <w:basedOn w:val="Normal"/>
    <w:uiPriority w:val="17"/>
    <w:rsid w:val="00C30A1B"/>
    <w:pPr>
      <w:numPr>
        <w:ilvl w:val="2"/>
        <w:numId w:val="10"/>
      </w:numPr>
      <w:contextualSpacing/>
    </w:pPr>
  </w:style>
  <w:style w:type="paragraph" w:styleId="List4">
    <w:name w:val="List 4"/>
    <w:basedOn w:val="Normal"/>
    <w:uiPriority w:val="17"/>
    <w:rsid w:val="00C30A1B"/>
    <w:pPr>
      <w:numPr>
        <w:ilvl w:val="3"/>
        <w:numId w:val="10"/>
      </w:numPr>
      <w:contextualSpacing/>
    </w:pPr>
  </w:style>
  <w:style w:type="paragraph" w:styleId="List5">
    <w:name w:val="List 5"/>
    <w:basedOn w:val="Normal"/>
    <w:uiPriority w:val="17"/>
    <w:rsid w:val="00C30A1B"/>
    <w:pPr>
      <w:numPr>
        <w:ilvl w:val="4"/>
        <w:numId w:val="10"/>
      </w:numPr>
      <w:contextualSpacing/>
    </w:pPr>
  </w:style>
  <w:style w:type="paragraph" w:customStyle="1" w:styleId="TableListContinue2">
    <w:name w:val="Table List Continue 2"/>
    <w:basedOn w:val="Normal"/>
    <w:uiPriority w:val="18"/>
    <w:rsid w:val="00C30A1B"/>
    <w:pPr>
      <w:numPr>
        <w:ilvl w:val="1"/>
        <w:numId w:val="7"/>
      </w:numPr>
      <w:contextualSpacing/>
    </w:pPr>
  </w:style>
  <w:style w:type="paragraph" w:customStyle="1" w:styleId="TableListContinue">
    <w:name w:val="Table List Continue"/>
    <w:basedOn w:val="Normal"/>
    <w:uiPriority w:val="18"/>
    <w:rsid w:val="00C30A1B"/>
    <w:pPr>
      <w:numPr>
        <w:numId w:val="7"/>
      </w:numPr>
      <w:contextualSpacing/>
    </w:pPr>
  </w:style>
  <w:style w:type="paragraph" w:customStyle="1" w:styleId="TableListContinue3">
    <w:name w:val="Table List Continue 3"/>
    <w:basedOn w:val="Normal"/>
    <w:uiPriority w:val="18"/>
    <w:rsid w:val="00C30A1B"/>
    <w:pPr>
      <w:numPr>
        <w:ilvl w:val="2"/>
        <w:numId w:val="7"/>
      </w:numPr>
      <w:contextualSpacing/>
    </w:pPr>
  </w:style>
  <w:style w:type="paragraph" w:customStyle="1" w:styleId="TableListContinue4">
    <w:name w:val="Table List Continue 4"/>
    <w:basedOn w:val="Normal"/>
    <w:uiPriority w:val="18"/>
    <w:semiHidden/>
    <w:rsid w:val="00C30A1B"/>
    <w:pPr>
      <w:numPr>
        <w:ilvl w:val="3"/>
        <w:numId w:val="7"/>
      </w:numPr>
      <w:contextualSpacing/>
    </w:pPr>
  </w:style>
  <w:style w:type="paragraph" w:customStyle="1" w:styleId="TableListContinue5">
    <w:name w:val="Table List Continue 5"/>
    <w:basedOn w:val="Normal"/>
    <w:uiPriority w:val="18"/>
    <w:semiHidden/>
    <w:rsid w:val="00C30A1B"/>
    <w:pPr>
      <w:numPr>
        <w:ilvl w:val="4"/>
        <w:numId w:val="7"/>
      </w:numPr>
      <w:contextualSpacing/>
    </w:pPr>
  </w:style>
  <w:style w:type="numbering" w:customStyle="1" w:styleId="TableCellLists">
    <w:name w:val="Table Cell Lists"/>
    <w:basedOn w:val="NoList"/>
    <w:uiPriority w:val="99"/>
    <w:rsid w:val="00C30A1B"/>
    <w:pPr>
      <w:numPr>
        <w:numId w:val="25"/>
      </w:numPr>
    </w:pPr>
  </w:style>
  <w:style w:type="paragraph" w:customStyle="1" w:styleId="TableCellList">
    <w:name w:val="Table Cell List"/>
    <w:basedOn w:val="Normal"/>
    <w:uiPriority w:val="17"/>
    <w:rsid w:val="00C30A1B"/>
    <w:pPr>
      <w:numPr>
        <w:numId w:val="8"/>
      </w:numPr>
      <w:contextualSpacing/>
    </w:pPr>
  </w:style>
  <w:style w:type="paragraph" w:customStyle="1" w:styleId="TableCellList2">
    <w:name w:val="Table Cell List 2"/>
    <w:basedOn w:val="Normal"/>
    <w:uiPriority w:val="17"/>
    <w:rsid w:val="00C30A1B"/>
    <w:pPr>
      <w:numPr>
        <w:ilvl w:val="1"/>
        <w:numId w:val="8"/>
      </w:numPr>
      <w:contextualSpacing/>
    </w:pPr>
  </w:style>
  <w:style w:type="paragraph" w:customStyle="1" w:styleId="TableCellList3">
    <w:name w:val="Table Cell List 3"/>
    <w:basedOn w:val="Normal"/>
    <w:uiPriority w:val="17"/>
    <w:rsid w:val="00C30A1B"/>
    <w:pPr>
      <w:numPr>
        <w:ilvl w:val="2"/>
        <w:numId w:val="8"/>
      </w:numPr>
      <w:contextualSpacing/>
    </w:pPr>
  </w:style>
  <w:style w:type="paragraph" w:customStyle="1" w:styleId="TableCellList4">
    <w:name w:val="Table Cell List 4"/>
    <w:basedOn w:val="Normal"/>
    <w:uiPriority w:val="17"/>
    <w:semiHidden/>
    <w:rsid w:val="00C30A1B"/>
    <w:pPr>
      <w:numPr>
        <w:ilvl w:val="3"/>
        <w:numId w:val="8"/>
      </w:numPr>
      <w:contextualSpacing/>
    </w:pPr>
  </w:style>
  <w:style w:type="paragraph" w:customStyle="1" w:styleId="TableCellList5">
    <w:name w:val="Table Cell List 5"/>
    <w:basedOn w:val="Normal"/>
    <w:uiPriority w:val="17"/>
    <w:semiHidden/>
    <w:rsid w:val="00C30A1B"/>
    <w:pPr>
      <w:numPr>
        <w:ilvl w:val="4"/>
        <w:numId w:val="8"/>
      </w:numPr>
      <w:contextualSpacing/>
    </w:pPr>
  </w:style>
  <w:style w:type="numbering" w:customStyle="1" w:styleId="TableListContinueSet">
    <w:name w:val="Table List Continue Set"/>
    <w:basedOn w:val="NoList"/>
    <w:uiPriority w:val="99"/>
    <w:rsid w:val="00C30A1B"/>
    <w:pPr>
      <w:numPr>
        <w:numId w:val="7"/>
      </w:numPr>
    </w:pPr>
  </w:style>
  <w:style w:type="paragraph" w:customStyle="1" w:styleId="ListParagraph2">
    <w:name w:val="List Paragraph 2"/>
    <w:basedOn w:val="Normal"/>
    <w:uiPriority w:val="34"/>
    <w:rsid w:val="00C30A1B"/>
    <w:pPr>
      <w:ind w:left="567"/>
      <w:contextualSpacing/>
    </w:pPr>
  </w:style>
  <w:style w:type="paragraph" w:customStyle="1" w:styleId="ListParagraph3">
    <w:name w:val="List Paragraph 3"/>
    <w:basedOn w:val="Normal"/>
    <w:uiPriority w:val="34"/>
    <w:rsid w:val="00C30A1B"/>
    <w:pPr>
      <w:ind w:left="851"/>
      <w:contextualSpacing/>
    </w:pPr>
  </w:style>
  <w:style w:type="paragraph" w:customStyle="1" w:styleId="ListParagraph4">
    <w:name w:val="List Paragraph 4"/>
    <w:basedOn w:val="Normal"/>
    <w:uiPriority w:val="34"/>
    <w:rsid w:val="00C30A1B"/>
    <w:pPr>
      <w:ind w:left="1134"/>
      <w:contextualSpacing/>
    </w:pPr>
  </w:style>
  <w:style w:type="paragraph" w:customStyle="1" w:styleId="ListParagraph5">
    <w:name w:val="List Paragraph 5"/>
    <w:basedOn w:val="Normal"/>
    <w:uiPriority w:val="34"/>
    <w:rsid w:val="00C30A1B"/>
    <w:pPr>
      <w:ind w:left="1418"/>
      <w:contextualSpacing/>
    </w:pPr>
  </w:style>
  <w:style w:type="character" w:customStyle="1" w:styleId="Bold">
    <w:name w:val="Bold"/>
    <w:basedOn w:val="DefaultParagraphFont"/>
    <w:uiPriority w:val="23"/>
    <w:qFormat/>
    <w:rsid w:val="00C30A1B"/>
    <w:rPr>
      <w:b/>
      <w:color w:val="auto"/>
    </w:rPr>
  </w:style>
  <w:style w:type="paragraph" w:customStyle="1" w:styleId="GreyText">
    <w:name w:val="Grey Text"/>
    <w:basedOn w:val="Normal"/>
    <w:link w:val="GreyTextChar"/>
    <w:uiPriority w:val="23"/>
    <w:qFormat/>
    <w:rsid w:val="00C30A1B"/>
    <w:rPr>
      <w:color w:val="36383D" w:themeColor="accent6"/>
    </w:rPr>
  </w:style>
  <w:style w:type="character" w:customStyle="1" w:styleId="GreyTextChar">
    <w:name w:val="Grey Text Char"/>
    <w:basedOn w:val="DefaultParagraphFont"/>
    <w:link w:val="GreyText"/>
    <w:uiPriority w:val="23"/>
    <w:rsid w:val="00C30A1B"/>
    <w:rPr>
      <w:color w:val="36383D" w:themeColor="accent6"/>
    </w:rPr>
  </w:style>
  <w:style w:type="paragraph" w:customStyle="1" w:styleId="Instructional">
    <w:name w:val="Instructional"/>
    <w:basedOn w:val="Normal"/>
    <w:link w:val="InstructionalChar"/>
    <w:uiPriority w:val="23"/>
    <w:qFormat/>
    <w:rsid w:val="00C30A1B"/>
    <w:pPr>
      <w:spacing w:after="0"/>
    </w:pPr>
    <w:rPr>
      <w:i/>
      <w:color w:val="0000FF"/>
    </w:rPr>
  </w:style>
  <w:style w:type="character" w:customStyle="1" w:styleId="InstructionalChar">
    <w:name w:val="Instructional Char"/>
    <w:basedOn w:val="DefaultParagraphFont"/>
    <w:link w:val="Instructional"/>
    <w:uiPriority w:val="23"/>
    <w:rsid w:val="00C30A1B"/>
    <w:rPr>
      <w:i/>
      <w:color w:val="0000FF"/>
    </w:rPr>
  </w:style>
  <w:style w:type="paragraph" w:styleId="TOC5">
    <w:name w:val="toc 5"/>
    <w:basedOn w:val="Normal"/>
    <w:next w:val="Normal"/>
    <w:autoRedefine/>
    <w:uiPriority w:val="39"/>
    <w:rsid w:val="00CA022C"/>
    <w:pPr>
      <w:tabs>
        <w:tab w:val="right" w:leader="underscore" w:pos="10773"/>
      </w:tabs>
      <w:spacing w:after="100"/>
      <w:ind w:left="720" w:hanging="720"/>
    </w:pPr>
  </w:style>
  <w:style w:type="paragraph" w:styleId="TOC6">
    <w:name w:val="toc 6"/>
    <w:basedOn w:val="Normal"/>
    <w:next w:val="Normal"/>
    <w:autoRedefine/>
    <w:uiPriority w:val="39"/>
    <w:rsid w:val="001C3F71"/>
    <w:pPr>
      <w:tabs>
        <w:tab w:val="right" w:leader="underscore" w:pos="10773"/>
      </w:tabs>
      <w:spacing w:after="100"/>
      <w:ind w:left="992" w:hanging="709"/>
    </w:pPr>
  </w:style>
  <w:style w:type="paragraph" w:customStyle="1" w:styleId="Pull-outQuote">
    <w:name w:val="Pull-out Quote"/>
    <w:basedOn w:val="Normal"/>
    <w:uiPriority w:val="30"/>
    <w:qFormat/>
    <w:rsid w:val="00C30A1B"/>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C30A1B"/>
    <w:rPr>
      <w:b/>
    </w:rPr>
  </w:style>
  <w:style w:type="paragraph" w:customStyle="1" w:styleId="FooterPageNumber">
    <w:name w:val="Footer Page Number"/>
    <w:basedOn w:val="Footer"/>
    <w:uiPriority w:val="99"/>
    <w:rsid w:val="00C30A1B"/>
    <w:pPr>
      <w:framePr w:wrap="around" w:vAnchor="text" w:hAnchor="margin" w:xAlign="right" w:y="1"/>
      <w:ind w:right="0"/>
    </w:pPr>
    <w:rPr>
      <w:rFonts w:ascii="VIC Medium" w:hAnsi="VIC Medium"/>
    </w:rPr>
  </w:style>
  <w:style w:type="paragraph" w:customStyle="1" w:styleId="FooterLight">
    <w:name w:val="Footer Light"/>
    <w:basedOn w:val="Footer"/>
    <w:uiPriority w:val="99"/>
    <w:rsid w:val="00C30A1B"/>
    <w:rPr>
      <w:rFonts w:ascii="VIC Light" w:hAnsi="VIC Light"/>
    </w:rPr>
  </w:style>
  <w:style w:type="paragraph" w:customStyle="1" w:styleId="DarkReportTitle">
    <w:name w:val="Dark Report Title"/>
    <w:basedOn w:val="Normal"/>
    <w:next w:val="DarkReportSubtitle"/>
    <w:uiPriority w:val="36"/>
    <w:semiHidden/>
    <w:unhideWhenUsed/>
    <w:rsid w:val="00C30A1B"/>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C30A1B"/>
    <w:rPr>
      <w:color w:val="36383D" w:themeColor="accent6"/>
    </w:rPr>
  </w:style>
  <w:style w:type="paragraph" w:customStyle="1" w:styleId="LightReportSubtitle">
    <w:name w:val="Light Report Subtitle"/>
    <w:basedOn w:val="DarkReportSubtitle"/>
    <w:next w:val="LightVersion"/>
    <w:uiPriority w:val="36"/>
    <w:unhideWhenUsed/>
    <w:rsid w:val="00C30A1B"/>
    <w:rPr>
      <w:color w:val="36383D" w:themeColor="accent6"/>
    </w:rPr>
  </w:style>
  <w:style w:type="paragraph" w:customStyle="1" w:styleId="DarkTextualReportSubtitle">
    <w:name w:val="Dark Textual Report Subtitle"/>
    <w:basedOn w:val="DarkReportSubtitle"/>
    <w:uiPriority w:val="36"/>
    <w:semiHidden/>
    <w:unhideWhenUsed/>
    <w:rsid w:val="00C30A1B"/>
    <w:pPr>
      <w:framePr w:wrap="around" w:vAnchor="page" w:hAnchor="page" w:x="557" w:y="12690"/>
    </w:pPr>
  </w:style>
  <w:style w:type="paragraph" w:styleId="NormalWeb">
    <w:name w:val="Normal (Web)"/>
    <w:basedOn w:val="Normal"/>
    <w:uiPriority w:val="99"/>
    <w:semiHidden/>
    <w:rsid w:val="00C30A1B"/>
    <w:rPr>
      <w:rFonts w:cs="Times New Roman"/>
      <w:szCs w:val="24"/>
    </w:rPr>
  </w:style>
  <w:style w:type="table" w:customStyle="1" w:styleId="TablePlain">
    <w:name w:val="Table Plain"/>
    <w:basedOn w:val="TableNormal"/>
    <w:uiPriority w:val="99"/>
    <w:rsid w:val="00C30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C30A1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C30A1B"/>
    <w:pPr>
      <w:numPr>
        <w:numId w:val="3"/>
      </w:numPr>
    </w:pPr>
  </w:style>
  <w:style w:type="paragraph" w:styleId="BalloonText">
    <w:name w:val="Balloon Text"/>
    <w:basedOn w:val="Normal"/>
    <w:link w:val="BalloonTextChar"/>
    <w:uiPriority w:val="99"/>
    <w:semiHidden/>
    <w:locked/>
    <w:rsid w:val="00C30A1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A1B"/>
    <w:rPr>
      <w:rFonts w:ascii="Segoe UI" w:hAnsi="Segoe UI" w:cs="Segoe UI"/>
      <w:sz w:val="18"/>
      <w:szCs w:val="18"/>
    </w:rPr>
  </w:style>
  <w:style w:type="paragraph" w:styleId="Bibliography">
    <w:name w:val="Bibliography"/>
    <w:basedOn w:val="Normal"/>
    <w:next w:val="Normal"/>
    <w:uiPriority w:val="37"/>
    <w:semiHidden/>
    <w:locked/>
    <w:rsid w:val="00C30A1B"/>
  </w:style>
  <w:style w:type="paragraph" w:styleId="BlockText">
    <w:name w:val="Block Text"/>
    <w:basedOn w:val="Normal"/>
    <w:uiPriority w:val="99"/>
    <w:semiHidden/>
    <w:locked/>
    <w:rsid w:val="00C30A1B"/>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qFormat/>
    <w:rsid w:val="00C30A1B"/>
  </w:style>
  <w:style w:type="character" w:customStyle="1" w:styleId="BodyTextChar">
    <w:name w:val="Body Text Char"/>
    <w:basedOn w:val="DefaultParagraphFont"/>
    <w:link w:val="BodyText"/>
    <w:rsid w:val="00C30A1B"/>
  </w:style>
  <w:style w:type="paragraph" w:styleId="BodyText2">
    <w:name w:val="Body Text 2"/>
    <w:basedOn w:val="Normal"/>
    <w:link w:val="BodyText2Char"/>
    <w:uiPriority w:val="99"/>
    <w:semiHidden/>
    <w:rsid w:val="00C30A1B"/>
    <w:pPr>
      <w:spacing w:line="480" w:lineRule="auto"/>
    </w:pPr>
  </w:style>
  <w:style w:type="character" w:customStyle="1" w:styleId="BodyText2Char">
    <w:name w:val="Body Text 2 Char"/>
    <w:basedOn w:val="DefaultParagraphFont"/>
    <w:link w:val="BodyText2"/>
    <w:uiPriority w:val="99"/>
    <w:semiHidden/>
    <w:rsid w:val="00C30A1B"/>
  </w:style>
  <w:style w:type="paragraph" w:styleId="BodyText3">
    <w:name w:val="Body Text 3"/>
    <w:basedOn w:val="Normal"/>
    <w:link w:val="BodyText3Char"/>
    <w:uiPriority w:val="99"/>
    <w:semiHidden/>
    <w:locked/>
    <w:rsid w:val="00C30A1B"/>
    <w:rPr>
      <w:sz w:val="16"/>
      <w:szCs w:val="16"/>
    </w:rPr>
  </w:style>
  <w:style w:type="character" w:customStyle="1" w:styleId="BodyText3Char">
    <w:name w:val="Body Text 3 Char"/>
    <w:basedOn w:val="DefaultParagraphFont"/>
    <w:link w:val="BodyText3"/>
    <w:uiPriority w:val="99"/>
    <w:semiHidden/>
    <w:rsid w:val="00C30A1B"/>
    <w:rPr>
      <w:sz w:val="16"/>
      <w:szCs w:val="16"/>
    </w:rPr>
  </w:style>
  <w:style w:type="paragraph" w:styleId="BodyTextFirstIndent">
    <w:name w:val="Body Text First Indent"/>
    <w:basedOn w:val="BodyText"/>
    <w:link w:val="BodyTextFirstIndentChar"/>
    <w:uiPriority w:val="99"/>
    <w:semiHidden/>
    <w:rsid w:val="00C30A1B"/>
    <w:pPr>
      <w:ind w:firstLine="360"/>
    </w:pPr>
  </w:style>
  <w:style w:type="character" w:customStyle="1" w:styleId="BodyTextFirstIndentChar">
    <w:name w:val="Body Text First Indent Char"/>
    <w:basedOn w:val="BodyTextChar"/>
    <w:link w:val="BodyTextFirstIndent"/>
    <w:uiPriority w:val="99"/>
    <w:semiHidden/>
    <w:rsid w:val="00C30A1B"/>
  </w:style>
  <w:style w:type="paragraph" w:styleId="BodyTextIndent">
    <w:name w:val="Body Text Indent"/>
    <w:basedOn w:val="Normal"/>
    <w:link w:val="BodyTextIndentChar"/>
    <w:uiPriority w:val="99"/>
    <w:semiHidden/>
    <w:rsid w:val="00C30A1B"/>
    <w:pPr>
      <w:ind w:left="283"/>
    </w:pPr>
  </w:style>
  <w:style w:type="character" w:customStyle="1" w:styleId="BodyTextIndentChar">
    <w:name w:val="Body Text Indent Char"/>
    <w:basedOn w:val="DefaultParagraphFont"/>
    <w:link w:val="BodyTextIndent"/>
    <w:uiPriority w:val="99"/>
    <w:semiHidden/>
    <w:rsid w:val="00C30A1B"/>
  </w:style>
  <w:style w:type="paragraph" w:styleId="BodyTextFirstIndent2">
    <w:name w:val="Body Text First Indent 2"/>
    <w:basedOn w:val="BodyTextIndent"/>
    <w:link w:val="BodyTextFirstIndent2Char"/>
    <w:uiPriority w:val="99"/>
    <w:semiHidden/>
    <w:rsid w:val="00C30A1B"/>
    <w:pPr>
      <w:ind w:left="360" w:firstLine="360"/>
    </w:pPr>
  </w:style>
  <w:style w:type="character" w:customStyle="1" w:styleId="BodyTextFirstIndent2Char">
    <w:name w:val="Body Text First Indent 2 Char"/>
    <w:basedOn w:val="BodyTextIndentChar"/>
    <w:link w:val="BodyTextFirstIndent2"/>
    <w:uiPriority w:val="99"/>
    <w:semiHidden/>
    <w:rsid w:val="00C30A1B"/>
  </w:style>
  <w:style w:type="paragraph" w:styleId="BodyTextIndent2">
    <w:name w:val="Body Text Indent 2"/>
    <w:basedOn w:val="Normal"/>
    <w:link w:val="BodyTextIndent2Char"/>
    <w:uiPriority w:val="99"/>
    <w:semiHidden/>
    <w:rsid w:val="00C30A1B"/>
    <w:pPr>
      <w:spacing w:line="480" w:lineRule="auto"/>
      <w:ind w:left="283"/>
    </w:pPr>
  </w:style>
  <w:style w:type="character" w:customStyle="1" w:styleId="BodyTextIndent2Char">
    <w:name w:val="Body Text Indent 2 Char"/>
    <w:basedOn w:val="DefaultParagraphFont"/>
    <w:link w:val="BodyTextIndent2"/>
    <w:uiPriority w:val="99"/>
    <w:semiHidden/>
    <w:rsid w:val="00C30A1B"/>
  </w:style>
  <w:style w:type="paragraph" w:styleId="BodyTextIndent3">
    <w:name w:val="Body Text Indent 3"/>
    <w:basedOn w:val="Normal"/>
    <w:link w:val="BodyTextIndent3Char"/>
    <w:uiPriority w:val="99"/>
    <w:semiHidden/>
    <w:rsid w:val="00C30A1B"/>
    <w:pPr>
      <w:ind w:left="283"/>
    </w:pPr>
    <w:rPr>
      <w:sz w:val="16"/>
      <w:szCs w:val="16"/>
    </w:rPr>
  </w:style>
  <w:style w:type="character" w:customStyle="1" w:styleId="BodyTextIndent3Char">
    <w:name w:val="Body Text Indent 3 Char"/>
    <w:basedOn w:val="DefaultParagraphFont"/>
    <w:link w:val="BodyTextIndent3"/>
    <w:uiPriority w:val="99"/>
    <w:semiHidden/>
    <w:rsid w:val="00C30A1B"/>
    <w:rPr>
      <w:sz w:val="16"/>
      <w:szCs w:val="16"/>
    </w:rPr>
  </w:style>
  <w:style w:type="character" w:styleId="BookTitle">
    <w:name w:val="Book Title"/>
    <w:basedOn w:val="DefaultParagraphFont"/>
    <w:uiPriority w:val="33"/>
    <w:semiHidden/>
    <w:qFormat/>
    <w:locked/>
    <w:rsid w:val="00C30A1B"/>
    <w:rPr>
      <w:b/>
      <w:bCs/>
      <w:i/>
      <w:iCs/>
      <w:spacing w:val="5"/>
    </w:rPr>
  </w:style>
  <w:style w:type="paragraph" w:styleId="Closing">
    <w:name w:val="Closing"/>
    <w:basedOn w:val="Normal"/>
    <w:link w:val="ClosingChar"/>
    <w:uiPriority w:val="99"/>
    <w:semiHidden/>
    <w:locked/>
    <w:rsid w:val="00C30A1B"/>
    <w:pPr>
      <w:spacing w:before="0" w:after="0"/>
      <w:ind w:left="4252"/>
    </w:pPr>
  </w:style>
  <w:style w:type="character" w:customStyle="1" w:styleId="ClosingChar">
    <w:name w:val="Closing Char"/>
    <w:basedOn w:val="DefaultParagraphFont"/>
    <w:link w:val="Closing"/>
    <w:uiPriority w:val="99"/>
    <w:semiHidden/>
    <w:rsid w:val="00C30A1B"/>
  </w:style>
  <w:style w:type="character" w:styleId="CommentReference">
    <w:name w:val="annotation reference"/>
    <w:basedOn w:val="DefaultParagraphFont"/>
    <w:uiPriority w:val="99"/>
    <w:semiHidden/>
    <w:locked/>
    <w:rsid w:val="00C30A1B"/>
    <w:rPr>
      <w:sz w:val="16"/>
      <w:szCs w:val="16"/>
    </w:rPr>
  </w:style>
  <w:style w:type="paragraph" w:styleId="CommentText">
    <w:name w:val="annotation text"/>
    <w:basedOn w:val="Normal"/>
    <w:link w:val="CommentTextChar"/>
    <w:uiPriority w:val="99"/>
    <w:locked/>
    <w:rsid w:val="00C30A1B"/>
  </w:style>
  <w:style w:type="character" w:customStyle="1" w:styleId="CommentTextChar">
    <w:name w:val="Comment Text Char"/>
    <w:basedOn w:val="DefaultParagraphFont"/>
    <w:link w:val="CommentText"/>
    <w:uiPriority w:val="99"/>
    <w:rsid w:val="00C30A1B"/>
  </w:style>
  <w:style w:type="paragraph" w:styleId="CommentSubject">
    <w:name w:val="annotation subject"/>
    <w:basedOn w:val="CommentText"/>
    <w:next w:val="CommentText"/>
    <w:link w:val="CommentSubjectChar"/>
    <w:uiPriority w:val="99"/>
    <w:semiHidden/>
    <w:locked/>
    <w:rsid w:val="00C30A1B"/>
    <w:rPr>
      <w:b/>
      <w:bCs/>
    </w:rPr>
  </w:style>
  <w:style w:type="character" w:customStyle="1" w:styleId="CommentSubjectChar">
    <w:name w:val="Comment Subject Char"/>
    <w:basedOn w:val="CommentTextChar"/>
    <w:link w:val="CommentSubject"/>
    <w:uiPriority w:val="99"/>
    <w:semiHidden/>
    <w:rsid w:val="00C30A1B"/>
    <w:rPr>
      <w:b/>
      <w:bCs/>
    </w:rPr>
  </w:style>
  <w:style w:type="paragraph" w:styleId="DocumentMap">
    <w:name w:val="Document Map"/>
    <w:basedOn w:val="Normal"/>
    <w:link w:val="DocumentMapChar"/>
    <w:uiPriority w:val="99"/>
    <w:semiHidden/>
    <w:locked/>
    <w:rsid w:val="00C30A1B"/>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30A1B"/>
    <w:rPr>
      <w:rFonts w:ascii="Segoe UI" w:hAnsi="Segoe UI" w:cs="Segoe UI"/>
      <w:sz w:val="16"/>
      <w:szCs w:val="16"/>
    </w:rPr>
  </w:style>
  <w:style w:type="paragraph" w:styleId="E-mailSignature">
    <w:name w:val="E-mail Signature"/>
    <w:basedOn w:val="Normal"/>
    <w:link w:val="E-mailSignatureChar"/>
    <w:uiPriority w:val="99"/>
    <w:semiHidden/>
    <w:locked/>
    <w:rsid w:val="00C30A1B"/>
    <w:pPr>
      <w:spacing w:before="0" w:after="0"/>
    </w:pPr>
  </w:style>
  <w:style w:type="character" w:customStyle="1" w:styleId="E-mailSignatureChar">
    <w:name w:val="E-mail Signature Char"/>
    <w:basedOn w:val="DefaultParagraphFont"/>
    <w:link w:val="E-mailSignature"/>
    <w:uiPriority w:val="99"/>
    <w:semiHidden/>
    <w:rsid w:val="00C30A1B"/>
  </w:style>
  <w:style w:type="character" w:styleId="Emphasis">
    <w:name w:val="Emphasis"/>
    <w:basedOn w:val="DefaultParagraphFont"/>
    <w:uiPriority w:val="20"/>
    <w:semiHidden/>
    <w:qFormat/>
    <w:locked/>
    <w:rsid w:val="00C30A1B"/>
    <w:rPr>
      <w:i/>
      <w:iCs/>
    </w:rPr>
  </w:style>
  <w:style w:type="character" w:styleId="EndnoteReference">
    <w:name w:val="endnote reference"/>
    <w:basedOn w:val="DefaultParagraphFont"/>
    <w:uiPriority w:val="99"/>
    <w:semiHidden/>
    <w:locked/>
    <w:rsid w:val="00C30A1B"/>
    <w:rPr>
      <w:vertAlign w:val="superscript"/>
    </w:rPr>
  </w:style>
  <w:style w:type="paragraph" w:styleId="EndnoteText">
    <w:name w:val="endnote text"/>
    <w:basedOn w:val="Normal"/>
    <w:link w:val="EndnoteTextChar"/>
    <w:uiPriority w:val="99"/>
    <w:semiHidden/>
    <w:locked/>
    <w:rsid w:val="00C30A1B"/>
    <w:pPr>
      <w:spacing w:before="0" w:after="0"/>
    </w:pPr>
  </w:style>
  <w:style w:type="character" w:customStyle="1" w:styleId="EndnoteTextChar">
    <w:name w:val="Endnote Text Char"/>
    <w:basedOn w:val="DefaultParagraphFont"/>
    <w:link w:val="EndnoteText"/>
    <w:uiPriority w:val="99"/>
    <w:semiHidden/>
    <w:rsid w:val="00C30A1B"/>
  </w:style>
  <w:style w:type="paragraph" w:styleId="EnvelopeReturn">
    <w:name w:val="envelope return"/>
    <w:basedOn w:val="Normal"/>
    <w:uiPriority w:val="99"/>
    <w:semiHidden/>
    <w:rsid w:val="00C30A1B"/>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C30A1B"/>
    <w:rPr>
      <w:color w:val="2B579A"/>
      <w:shd w:val="clear" w:color="auto" w:fill="E1DFDD"/>
    </w:rPr>
  </w:style>
  <w:style w:type="character" w:styleId="HTMLAcronym">
    <w:name w:val="HTML Acronym"/>
    <w:basedOn w:val="DefaultParagraphFont"/>
    <w:uiPriority w:val="99"/>
    <w:semiHidden/>
    <w:locked/>
    <w:rsid w:val="00C30A1B"/>
  </w:style>
  <w:style w:type="paragraph" w:styleId="HTMLAddress">
    <w:name w:val="HTML Address"/>
    <w:basedOn w:val="Normal"/>
    <w:link w:val="HTMLAddressChar"/>
    <w:uiPriority w:val="99"/>
    <w:semiHidden/>
    <w:locked/>
    <w:rsid w:val="00C30A1B"/>
    <w:pPr>
      <w:spacing w:before="0" w:after="0"/>
    </w:pPr>
    <w:rPr>
      <w:i/>
      <w:iCs/>
    </w:rPr>
  </w:style>
  <w:style w:type="character" w:customStyle="1" w:styleId="HTMLAddressChar">
    <w:name w:val="HTML Address Char"/>
    <w:basedOn w:val="DefaultParagraphFont"/>
    <w:link w:val="HTMLAddress"/>
    <w:uiPriority w:val="99"/>
    <w:semiHidden/>
    <w:rsid w:val="00C30A1B"/>
    <w:rPr>
      <w:i/>
      <w:iCs/>
    </w:rPr>
  </w:style>
  <w:style w:type="character" w:styleId="HTMLCite">
    <w:name w:val="HTML Cite"/>
    <w:basedOn w:val="DefaultParagraphFont"/>
    <w:uiPriority w:val="99"/>
    <w:semiHidden/>
    <w:locked/>
    <w:rsid w:val="00C30A1B"/>
    <w:rPr>
      <w:i/>
      <w:iCs/>
    </w:rPr>
  </w:style>
  <w:style w:type="character" w:styleId="HTMLCode">
    <w:name w:val="HTML Code"/>
    <w:basedOn w:val="DefaultParagraphFont"/>
    <w:uiPriority w:val="99"/>
    <w:semiHidden/>
    <w:locked/>
    <w:rsid w:val="00C30A1B"/>
    <w:rPr>
      <w:rFonts w:ascii="Consolas" w:hAnsi="Consolas"/>
      <w:sz w:val="20"/>
      <w:szCs w:val="20"/>
    </w:rPr>
  </w:style>
  <w:style w:type="character" w:styleId="HTMLDefinition">
    <w:name w:val="HTML Definition"/>
    <w:basedOn w:val="DefaultParagraphFont"/>
    <w:uiPriority w:val="99"/>
    <w:semiHidden/>
    <w:locked/>
    <w:rsid w:val="00C30A1B"/>
    <w:rPr>
      <w:i/>
      <w:iCs/>
    </w:rPr>
  </w:style>
  <w:style w:type="character" w:styleId="HTMLKeyboard">
    <w:name w:val="HTML Keyboard"/>
    <w:basedOn w:val="DefaultParagraphFont"/>
    <w:uiPriority w:val="99"/>
    <w:semiHidden/>
    <w:locked/>
    <w:rsid w:val="00C30A1B"/>
    <w:rPr>
      <w:rFonts w:ascii="Consolas" w:hAnsi="Consolas"/>
      <w:sz w:val="20"/>
      <w:szCs w:val="20"/>
    </w:rPr>
  </w:style>
  <w:style w:type="paragraph" w:styleId="HTMLPreformatted">
    <w:name w:val="HTML Preformatted"/>
    <w:basedOn w:val="Normal"/>
    <w:link w:val="HTMLPreformattedChar"/>
    <w:uiPriority w:val="99"/>
    <w:semiHidden/>
    <w:locked/>
    <w:rsid w:val="00C30A1B"/>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C30A1B"/>
    <w:rPr>
      <w:rFonts w:ascii="Consolas" w:hAnsi="Consolas"/>
    </w:rPr>
  </w:style>
  <w:style w:type="character" w:styleId="HTMLSample">
    <w:name w:val="HTML Sample"/>
    <w:basedOn w:val="DefaultParagraphFont"/>
    <w:uiPriority w:val="99"/>
    <w:semiHidden/>
    <w:locked/>
    <w:rsid w:val="00C30A1B"/>
    <w:rPr>
      <w:rFonts w:ascii="Consolas" w:hAnsi="Consolas"/>
      <w:sz w:val="24"/>
      <w:szCs w:val="24"/>
    </w:rPr>
  </w:style>
  <w:style w:type="character" w:styleId="HTMLTypewriter">
    <w:name w:val="HTML Typewriter"/>
    <w:basedOn w:val="DefaultParagraphFont"/>
    <w:uiPriority w:val="99"/>
    <w:semiHidden/>
    <w:locked/>
    <w:rsid w:val="00C30A1B"/>
    <w:rPr>
      <w:rFonts w:ascii="Consolas" w:hAnsi="Consolas"/>
      <w:sz w:val="20"/>
      <w:szCs w:val="20"/>
    </w:rPr>
  </w:style>
  <w:style w:type="character" w:styleId="HTMLVariable">
    <w:name w:val="HTML Variable"/>
    <w:basedOn w:val="DefaultParagraphFont"/>
    <w:uiPriority w:val="99"/>
    <w:semiHidden/>
    <w:locked/>
    <w:rsid w:val="00C30A1B"/>
    <w:rPr>
      <w:i/>
      <w:iCs/>
    </w:rPr>
  </w:style>
  <w:style w:type="paragraph" w:styleId="Index1">
    <w:name w:val="index 1"/>
    <w:basedOn w:val="Normal"/>
    <w:next w:val="Normal"/>
    <w:autoRedefine/>
    <w:uiPriority w:val="99"/>
    <w:semiHidden/>
    <w:locked/>
    <w:rsid w:val="00C30A1B"/>
    <w:pPr>
      <w:spacing w:before="0" w:after="0"/>
      <w:ind w:left="200" w:hanging="200"/>
    </w:pPr>
  </w:style>
  <w:style w:type="paragraph" w:styleId="Index2">
    <w:name w:val="index 2"/>
    <w:basedOn w:val="Normal"/>
    <w:next w:val="Normal"/>
    <w:autoRedefine/>
    <w:uiPriority w:val="99"/>
    <w:semiHidden/>
    <w:locked/>
    <w:rsid w:val="00C30A1B"/>
    <w:pPr>
      <w:spacing w:before="0" w:after="0"/>
      <w:ind w:left="400" w:hanging="200"/>
    </w:pPr>
  </w:style>
  <w:style w:type="paragraph" w:styleId="Index3">
    <w:name w:val="index 3"/>
    <w:basedOn w:val="Normal"/>
    <w:next w:val="Normal"/>
    <w:autoRedefine/>
    <w:uiPriority w:val="99"/>
    <w:semiHidden/>
    <w:locked/>
    <w:rsid w:val="00C30A1B"/>
    <w:pPr>
      <w:spacing w:before="0" w:after="0"/>
      <w:ind w:left="600" w:hanging="200"/>
    </w:pPr>
  </w:style>
  <w:style w:type="paragraph" w:styleId="Index4">
    <w:name w:val="index 4"/>
    <w:basedOn w:val="Normal"/>
    <w:next w:val="Normal"/>
    <w:autoRedefine/>
    <w:uiPriority w:val="99"/>
    <w:semiHidden/>
    <w:locked/>
    <w:rsid w:val="00C30A1B"/>
    <w:pPr>
      <w:spacing w:before="0" w:after="0"/>
      <w:ind w:left="800" w:hanging="200"/>
    </w:pPr>
  </w:style>
  <w:style w:type="paragraph" w:styleId="Index5">
    <w:name w:val="index 5"/>
    <w:basedOn w:val="Normal"/>
    <w:next w:val="Normal"/>
    <w:autoRedefine/>
    <w:uiPriority w:val="99"/>
    <w:semiHidden/>
    <w:locked/>
    <w:rsid w:val="00C30A1B"/>
    <w:pPr>
      <w:spacing w:before="0" w:after="0"/>
      <w:ind w:left="1000" w:hanging="200"/>
    </w:pPr>
  </w:style>
  <w:style w:type="paragraph" w:styleId="Index6">
    <w:name w:val="index 6"/>
    <w:basedOn w:val="Normal"/>
    <w:next w:val="Normal"/>
    <w:autoRedefine/>
    <w:uiPriority w:val="99"/>
    <w:semiHidden/>
    <w:locked/>
    <w:rsid w:val="00C30A1B"/>
    <w:pPr>
      <w:spacing w:before="0" w:after="0"/>
      <w:ind w:left="1200" w:hanging="200"/>
    </w:pPr>
  </w:style>
  <w:style w:type="paragraph" w:styleId="Index7">
    <w:name w:val="index 7"/>
    <w:basedOn w:val="Normal"/>
    <w:next w:val="Normal"/>
    <w:autoRedefine/>
    <w:uiPriority w:val="99"/>
    <w:semiHidden/>
    <w:locked/>
    <w:rsid w:val="00C30A1B"/>
    <w:pPr>
      <w:spacing w:before="0" w:after="0"/>
      <w:ind w:left="1400" w:hanging="200"/>
    </w:pPr>
  </w:style>
  <w:style w:type="paragraph" w:styleId="Index8">
    <w:name w:val="index 8"/>
    <w:basedOn w:val="Normal"/>
    <w:next w:val="Normal"/>
    <w:autoRedefine/>
    <w:uiPriority w:val="99"/>
    <w:semiHidden/>
    <w:locked/>
    <w:rsid w:val="00C30A1B"/>
    <w:pPr>
      <w:spacing w:before="0" w:after="0"/>
      <w:ind w:left="1600" w:hanging="200"/>
    </w:pPr>
  </w:style>
  <w:style w:type="paragraph" w:styleId="Index9">
    <w:name w:val="index 9"/>
    <w:basedOn w:val="Normal"/>
    <w:next w:val="Normal"/>
    <w:autoRedefine/>
    <w:uiPriority w:val="99"/>
    <w:semiHidden/>
    <w:locked/>
    <w:rsid w:val="00C30A1B"/>
    <w:pPr>
      <w:spacing w:before="0" w:after="0"/>
      <w:ind w:left="1800" w:hanging="200"/>
    </w:pPr>
  </w:style>
  <w:style w:type="paragraph" w:styleId="IndexHeading">
    <w:name w:val="index heading"/>
    <w:basedOn w:val="Normal"/>
    <w:next w:val="Index1"/>
    <w:uiPriority w:val="99"/>
    <w:semiHidden/>
    <w:locked/>
    <w:rsid w:val="00C30A1B"/>
    <w:rPr>
      <w:rFonts w:asciiTheme="majorHAnsi" w:eastAsiaTheme="majorEastAsia" w:hAnsiTheme="majorHAnsi" w:cstheme="majorBidi"/>
      <w:b/>
      <w:bCs/>
    </w:rPr>
  </w:style>
  <w:style w:type="character" w:styleId="IntenseEmphasis">
    <w:name w:val="Intense Emphasis"/>
    <w:basedOn w:val="DefaultParagraphFont"/>
    <w:uiPriority w:val="21"/>
    <w:semiHidden/>
    <w:rsid w:val="00C30A1B"/>
    <w:rPr>
      <w:i/>
      <w:iCs/>
      <w:color w:val="075D5F" w:themeColor="accent1"/>
    </w:rPr>
  </w:style>
  <w:style w:type="character" w:styleId="IntenseReference">
    <w:name w:val="Intense Reference"/>
    <w:basedOn w:val="DefaultParagraphFont"/>
    <w:uiPriority w:val="32"/>
    <w:semiHidden/>
    <w:rsid w:val="00C30A1B"/>
    <w:rPr>
      <w:b/>
      <w:bCs/>
      <w:smallCaps/>
      <w:color w:val="075D5F" w:themeColor="accent1"/>
      <w:spacing w:val="5"/>
    </w:rPr>
  </w:style>
  <w:style w:type="character" w:styleId="LineNumber">
    <w:name w:val="line number"/>
    <w:basedOn w:val="DefaultParagraphFont"/>
    <w:uiPriority w:val="99"/>
    <w:semiHidden/>
    <w:locked/>
    <w:rsid w:val="00C30A1B"/>
  </w:style>
  <w:style w:type="paragraph" w:styleId="MacroText">
    <w:name w:val="macro"/>
    <w:link w:val="MacroTextChar"/>
    <w:uiPriority w:val="99"/>
    <w:semiHidden/>
    <w:locked/>
    <w:rsid w:val="00C30A1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C30A1B"/>
    <w:rPr>
      <w:rFonts w:ascii="Consolas" w:hAnsi="Consolas"/>
    </w:rPr>
  </w:style>
  <w:style w:type="character" w:styleId="Mention">
    <w:name w:val="Mention"/>
    <w:basedOn w:val="DefaultParagraphFont"/>
    <w:uiPriority w:val="99"/>
    <w:semiHidden/>
    <w:locked/>
    <w:rsid w:val="00C30A1B"/>
    <w:rPr>
      <w:color w:val="2B579A"/>
      <w:shd w:val="clear" w:color="auto" w:fill="E1DFDD"/>
    </w:rPr>
  </w:style>
  <w:style w:type="paragraph" w:styleId="MessageHeader">
    <w:name w:val="Message Header"/>
    <w:basedOn w:val="Normal"/>
    <w:link w:val="MessageHeaderChar"/>
    <w:uiPriority w:val="99"/>
    <w:semiHidden/>
    <w:locked/>
    <w:rsid w:val="00C30A1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30A1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C30A1B"/>
    <w:pPr>
      <w:ind w:left="720"/>
    </w:pPr>
  </w:style>
  <w:style w:type="paragraph" w:styleId="NoteHeading">
    <w:name w:val="Note Heading"/>
    <w:basedOn w:val="Normal"/>
    <w:next w:val="Normal"/>
    <w:link w:val="NoteHeadingChar"/>
    <w:uiPriority w:val="37"/>
    <w:semiHidden/>
    <w:rsid w:val="00C30A1B"/>
    <w:pPr>
      <w:spacing w:before="0" w:after="0"/>
    </w:pPr>
  </w:style>
  <w:style w:type="character" w:customStyle="1" w:styleId="NoteHeadingChar">
    <w:name w:val="Note Heading Char"/>
    <w:basedOn w:val="DefaultParagraphFont"/>
    <w:link w:val="NoteHeading"/>
    <w:uiPriority w:val="37"/>
    <w:semiHidden/>
    <w:rsid w:val="00C30A1B"/>
  </w:style>
  <w:style w:type="character" w:styleId="PageNumber">
    <w:name w:val="page number"/>
    <w:basedOn w:val="DefaultParagraphFont"/>
    <w:uiPriority w:val="99"/>
    <w:semiHidden/>
    <w:locked/>
    <w:rsid w:val="00C30A1B"/>
  </w:style>
  <w:style w:type="paragraph" w:styleId="PlainText">
    <w:name w:val="Plain Text"/>
    <w:basedOn w:val="Normal"/>
    <w:link w:val="PlainTextChar"/>
    <w:uiPriority w:val="99"/>
    <w:semiHidden/>
    <w:rsid w:val="00C30A1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C30A1B"/>
    <w:rPr>
      <w:rFonts w:ascii="Consolas" w:hAnsi="Consolas"/>
      <w:sz w:val="21"/>
      <w:szCs w:val="21"/>
    </w:rPr>
  </w:style>
  <w:style w:type="character" w:styleId="SmartHyperlink">
    <w:name w:val="Smart Hyperlink"/>
    <w:basedOn w:val="DefaultParagraphFont"/>
    <w:uiPriority w:val="99"/>
    <w:semiHidden/>
    <w:locked/>
    <w:rsid w:val="00C30A1B"/>
    <w:rPr>
      <w:u w:val="dotted"/>
    </w:rPr>
  </w:style>
  <w:style w:type="character" w:styleId="SmartLink">
    <w:name w:val="Smart Link"/>
    <w:basedOn w:val="DefaultParagraphFont"/>
    <w:uiPriority w:val="99"/>
    <w:semiHidden/>
    <w:locked/>
    <w:rsid w:val="00C30A1B"/>
    <w:rPr>
      <w:color w:val="0000FF"/>
      <w:u w:val="single"/>
      <w:shd w:val="clear" w:color="auto" w:fill="F3F2F1"/>
    </w:rPr>
  </w:style>
  <w:style w:type="character" w:styleId="Strong">
    <w:name w:val="Strong"/>
    <w:basedOn w:val="DefaultParagraphFont"/>
    <w:uiPriority w:val="22"/>
    <w:qFormat/>
    <w:rsid w:val="00C30A1B"/>
    <w:rPr>
      <w:b/>
      <w:bCs/>
    </w:rPr>
  </w:style>
  <w:style w:type="character" w:styleId="SubtleEmphasis">
    <w:name w:val="Subtle Emphasis"/>
    <w:basedOn w:val="DefaultParagraphFont"/>
    <w:uiPriority w:val="19"/>
    <w:semiHidden/>
    <w:rsid w:val="00C30A1B"/>
    <w:rPr>
      <w:i/>
      <w:iCs/>
      <w:color w:val="404040" w:themeColor="text1" w:themeTint="BF"/>
    </w:rPr>
  </w:style>
  <w:style w:type="character" w:styleId="SubtleReference">
    <w:name w:val="Subtle Reference"/>
    <w:basedOn w:val="DefaultParagraphFont"/>
    <w:uiPriority w:val="31"/>
    <w:semiHidden/>
    <w:rsid w:val="00C30A1B"/>
    <w:rPr>
      <w:smallCaps/>
      <w:color w:val="5A5A5A" w:themeColor="text1" w:themeTint="A5"/>
    </w:rPr>
  </w:style>
  <w:style w:type="paragraph" w:styleId="TableofAuthorities">
    <w:name w:val="table of authorities"/>
    <w:basedOn w:val="Normal"/>
    <w:next w:val="Normal"/>
    <w:uiPriority w:val="99"/>
    <w:semiHidden/>
    <w:rsid w:val="00C30A1B"/>
    <w:pPr>
      <w:spacing w:after="0"/>
      <w:ind w:left="200" w:hanging="200"/>
    </w:pPr>
  </w:style>
  <w:style w:type="paragraph" w:styleId="TOAHeading">
    <w:name w:val="toa heading"/>
    <w:basedOn w:val="Normal"/>
    <w:next w:val="Normal"/>
    <w:uiPriority w:val="99"/>
    <w:semiHidden/>
    <w:rsid w:val="00C30A1B"/>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rsid w:val="00C30A1B"/>
    <w:pPr>
      <w:spacing w:after="100"/>
      <w:ind w:left="1200"/>
    </w:pPr>
  </w:style>
  <w:style w:type="paragraph" w:styleId="TOC8">
    <w:name w:val="toc 8"/>
    <w:basedOn w:val="Normal"/>
    <w:next w:val="Normal"/>
    <w:autoRedefine/>
    <w:uiPriority w:val="39"/>
    <w:rsid w:val="00C30A1B"/>
    <w:pPr>
      <w:spacing w:after="100"/>
      <w:ind w:left="1400"/>
    </w:pPr>
  </w:style>
  <w:style w:type="paragraph" w:styleId="TOC9">
    <w:name w:val="toc 9"/>
    <w:basedOn w:val="Normal"/>
    <w:next w:val="Normal"/>
    <w:autoRedefine/>
    <w:uiPriority w:val="39"/>
    <w:rsid w:val="00C30A1B"/>
    <w:pPr>
      <w:spacing w:after="100"/>
      <w:ind w:left="1600"/>
    </w:pPr>
  </w:style>
  <w:style w:type="character" w:styleId="UnresolvedMention">
    <w:name w:val="Unresolved Mention"/>
    <w:basedOn w:val="DefaultParagraphFont"/>
    <w:uiPriority w:val="99"/>
    <w:semiHidden/>
    <w:locked/>
    <w:rsid w:val="00C30A1B"/>
    <w:rPr>
      <w:color w:val="605E5C"/>
      <w:shd w:val="clear" w:color="auto" w:fill="E1DFDD"/>
    </w:rPr>
  </w:style>
  <w:style w:type="table" w:customStyle="1" w:styleId="TablePlainNoSpacing">
    <w:name w:val="Table Plain No Spacing"/>
    <w:basedOn w:val="TablePlain"/>
    <w:uiPriority w:val="99"/>
    <w:rsid w:val="00C30A1B"/>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C30A1B"/>
    <w:rPr>
      <w:color w:val="FFFFFF" w:themeColor="background1"/>
    </w:rPr>
  </w:style>
  <w:style w:type="paragraph" w:customStyle="1" w:styleId="DarkVersion">
    <w:name w:val="Dark Version"/>
    <w:basedOn w:val="LightVersion"/>
    <w:uiPriority w:val="36"/>
    <w:semiHidden/>
    <w:unhideWhenUsed/>
    <w:rsid w:val="00C30A1B"/>
    <w:rPr>
      <w:color w:val="FFFFFF" w:themeColor="background1"/>
    </w:rPr>
  </w:style>
  <w:style w:type="paragraph" w:customStyle="1" w:styleId="LightDocumentType">
    <w:name w:val="Light Document Type"/>
    <w:basedOn w:val="Normal"/>
    <w:uiPriority w:val="36"/>
    <w:unhideWhenUsed/>
    <w:rsid w:val="00C30A1B"/>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C30A1B"/>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C30A1B"/>
    <w:pPr>
      <w:framePr w:wrap="around" w:vAnchor="page" w:hAnchor="page" w:x="557" w:y="12690"/>
    </w:pPr>
  </w:style>
  <w:style w:type="paragraph" w:customStyle="1" w:styleId="DarkBackCoverText">
    <w:name w:val="Dark Back Cover Text"/>
    <w:basedOn w:val="Normal"/>
    <w:uiPriority w:val="36"/>
    <w:semiHidden/>
    <w:unhideWhenUsed/>
    <w:rsid w:val="00C30A1B"/>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C30A1B"/>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C30A1B"/>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C30A1B"/>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C30A1B"/>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C30A1B"/>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C30A1B"/>
    <w:pPr>
      <w:spacing w:before="480"/>
      <w:ind w:left="1021"/>
    </w:pPr>
  </w:style>
  <w:style w:type="paragraph" w:customStyle="1" w:styleId="ProjectPlanCoverSubtitle">
    <w:name w:val="Project Plan Cover Subtitle"/>
    <w:basedOn w:val="DarkReportSubtitle"/>
    <w:uiPriority w:val="36"/>
    <w:semiHidden/>
    <w:unhideWhenUsed/>
    <w:rsid w:val="00C30A1B"/>
    <w:pPr>
      <w:spacing w:after="5500"/>
      <w:contextualSpacing/>
    </w:pPr>
  </w:style>
  <w:style w:type="paragraph" w:customStyle="1" w:styleId="BannerTitle">
    <w:name w:val="Banner Title"/>
    <w:basedOn w:val="Header"/>
    <w:next w:val="BannerSubtitle"/>
    <w:uiPriority w:val="99"/>
    <w:rsid w:val="00C30A1B"/>
    <w:rPr>
      <w:rFonts w:ascii="VIC Light" w:hAnsi="VIC Light"/>
      <w:sz w:val="48"/>
    </w:rPr>
  </w:style>
  <w:style w:type="paragraph" w:customStyle="1" w:styleId="BannerSubtitle">
    <w:name w:val="Banner Subtitle"/>
    <w:basedOn w:val="BannerTitle"/>
    <w:uiPriority w:val="99"/>
    <w:rsid w:val="00C30A1B"/>
    <w:pPr>
      <w:spacing w:after="300"/>
      <w:contextualSpacing/>
    </w:pPr>
    <w:rPr>
      <w:sz w:val="22"/>
    </w:rPr>
  </w:style>
  <w:style w:type="numbering" w:customStyle="1" w:styleId="Numbering">
    <w:name w:val="Numbering"/>
    <w:uiPriority w:val="99"/>
    <w:rsid w:val="00C30A1B"/>
    <w:pPr>
      <w:numPr>
        <w:numId w:val="6"/>
      </w:numPr>
    </w:pPr>
  </w:style>
  <w:style w:type="paragraph" w:customStyle="1" w:styleId="Heading1NoTOC">
    <w:name w:val="Heading 1 No TOC"/>
    <w:basedOn w:val="Heading1"/>
    <w:next w:val="Normal"/>
    <w:uiPriority w:val="9"/>
    <w:qFormat/>
    <w:rsid w:val="00C30A1B"/>
  </w:style>
  <w:style w:type="paragraph" w:customStyle="1" w:styleId="Heading2NoTOC">
    <w:name w:val="Heading 2 No TOC"/>
    <w:basedOn w:val="Heading2"/>
    <w:next w:val="Normal"/>
    <w:uiPriority w:val="9"/>
    <w:qFormat/>
    <w:rsid w:val="00C30A1B"/>
  </w:style>
  <w:style w:type="paragraph" w:customStyle="1" w:styleId="Heading3NoTOC">
    <w:name w:val="Heading 3 No TOC"/>
    <w:basedOn w:val="Heading3"/>
    <w:next w:val="Normal"/>
    <w:uiPriority w:val="9"/>
    <w:qFormat/>
    <w:rsid w:val="00C30A1B"/>
  </w:style>
  <w:style w:type="paragraph" w:customStyle="1" w:styleId="LightBackCoverTextLandscape">
    <w:name w:val="Light Back Cover Text Landscape"/>
    <w:basedOn w:val="LightBackCoverText"/>
    <w:uiPriority w:val="36"/>
    <w:rsid w:val="00C30A1B"/>
    <w:pPr>
      <w:framePr w:w="4366" w:wrap="around" w:x="11341" w:y="10264"/>
    </w:pPr>
  </w:style>
  <w:style w:type="paragraph" w:customStyle="1" w:styleId="CaptionDescriptive">
    <w:name w:val="Caption Descriptive"/>
    <w:basedOn w:val="BodyText"/>
    <w:next w:val="BodyText"/>
    <w:rsid w:val="00E014B0"/>
    <w:pPr>
      <w:spacing w:before="60" w:after="60"/>
      <w:ind w:right="227"/>
    </w:pPr>
    <w:rPr>
      <w:rFonts w:eastAsia="Times New Roman" w:cs="Times New Roman"/>
      <w:i/>
      <w:sz w:val="18"/>
      <w:szCs w:val="14"/>
    </w:rPr>
  </w:style>
  <w:style w:type="paragraph" w:customStyle="1" w:styleId="ListAlpha">
    <w:name w:val="List Alpha"/>
    <w:basedOn w:val="Normal"/>
    <w:qFormat/>
    <w:rsid w:val="00E014B0"/>
    <w:pPr>
      <w:spacing w:before="120" w:line="240" w:lineRule="atLeast"/>
      <w:ind w:left="680" w:hanging="340"/>
    </w:pPr>
    <w:rPr>
      <w:rFonts w:eastAsia="Times New Roman" w:cs="Arial"/>
      <w:lang w:eastAsia="en-AU"/>
    </w:rPr>
  </w:style>
  <w:style w:type="paragraph" w:customStyle="1" w:styleId="ListAlpha2">
    <w:name w:val="List Alpha 2"/>
    <w:basedOn w:val="Normal"/>
    <w:qFormat/>
    <w:rsid w:val="00E014B0"/>
    <w:pPr>
      <w:spacing w:before="120" w:line="240" w:lineRule="atLeast"/>
      <w:ind w:left="1049" w:hanging="369"/>
    </w:pPr>
    <w:rPr>
      <w:rFonts w:eastAsia="Times New Roman" w:cs="Arial"/>
      <w:lang w:eastAsia="en-AU"/>
    </w:rPr>
  </w:style>
  <w:style w:type="paragraph" w:customStyle="1" w:styleId="ListAlpha3">
    <w:name w:val="List Alpha 3"/>
    <w:basedOn w:val="Normal"/>
    <w:qFormat/>
    <w:rsid w:val="00E014B0"/>
    <w:pPr>
      <w:spacing w:before="120" w:line="240" w:lineRule="atLeast"/>
      <w:ind w:left="1389" w:hanging="340"/>
    </w:pPr>
    <w:rPr>
      <w:rFonts w:eastAsia="Times New Roman" w:cs="Arial"/>
      <w:lang w:eastAsia="en-AU"/>
    </w:rPr>
  </w:style>
  <w:style w:type="numbering" w:customStyle="1" w:styleId="DELWPHeadings">
    <w:name w:val="DELWP Headings"/>
    <w:basedOn w:val="NoList"/>
    <w:rsid w:val="0091438B"/>
    <w:pPr>
      <w:numPr>
        <w:numId w:val="14"/>
      </w:numPr>
    </w:pPr>
  </w:style>
  <w:style w:type="paragraph" w:customStyle="1" w:styleId="TableTextLeft">
    <w:name w:val="Table Text Left"/>
    <w:basedOn w:val="Normal"/>
    <w:link w:val="TableTextLeftChar"/>
    <w:qFormat/>
    <w:rsid w:val="00F528D3"/>
    <w:pPr>
      <w:spacing w:before="60" w:after="60" w:line="220" w:lineRule="atLeast"/>
      <w:ind w:left="113" w:right="113"/>
    </w:pPr>
    <w:rPr>
      <w:rFonts w:eastAsia="Times New Roman" w:cs="Arial"/>
      <w:sz w:val="18"/>
      <w:lang w:eastAsia="en-AU"/>
    </w:rPr>
  </w:style>
  <w:style w:type="character" w:customStyle="1" w:styleId="TableTextLeftChar">
    <w:name w:val="Table Text Left Char"/>
    <w:basedOn w:val="DefaultParagraphFont"/>
    <w:link w:val="TableTextLeft"/>
    <w:rsid w:val="00F528D3"/>
    <w:rPr>
      <w:rFonts w:eastAsia="Times New Roman" w:cs="Arial"/>
      <w:sz w:val="18"/>
      <w:lang w:eastAsia="en-AU"/>
    </w:rPr>
  </w:style>
  <w:style w:type="paragraph" w:styleId="Revision">
    <w:name w:val="Revision"/>
    <w:hidden/>
    <w:uiPriority w:val="99"/>
    <w:semiHidden/>
    <w:rsid w:val="005E7152"/>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410018">
      <w:bodyDiv w:val="1"/>
      <w:marLeft w:val="0"/>
      <w:marRight w:val="0"/>
      <w:marTop w:val="0"/>
      <w:marBottom w:val="0"/>
      <w:divBdr>
        <w:top w:val="none" w:sz="0" w:space="0" w:color="auto"/>
        <w:left w:val="none" w:sz="0" w:space="0" w:color="auto"/>
        <w:bottom w:val="none" w:sz="0" w:space="0" w:color="auto"/>
        <w:right w:val="none" w:sz="0" w:space="0" w:color="auto"/>
      </w:divBdr>
    </w:div>
    <w:div w:id="856309104">
      <w:bodyDiv w:val="1"/>
      <w:marLeft w:val="0"/>
      <w:marRight w:val="0"/>
      <w:marTop w:val="0"/>
      <w:marBottom w:val="0"/>
      <w:divBdr>
        <w:top w:val="none" w:sz="0" w:space="0" w:color="auto"/>
        <w:left w:val="none" w:sz="0" w:space="0" w:color="auto"/>
        <w:bottom w:val="none" w:sz="0" w:space="0" w:color="auto"/>
        <w:right w:val="none" w:sz="0" w:space="0" w:color="auto"/>
      </w:divBdr>
    </w:div>
    <w:div w:id="1155562372">
      <w:bodyDiv w:val="1"/>
      <w:marLeft w:val="0"/>
      <w:marRight w:val="0"/>
      <w:marTop w:val="0"/>
      <w:marBottom w:val="0"/>
      <w:divBdr>
        <w:top w:val="none" w:sz="0" w:space="0" w:color="auto"/>
        <w:left w:val="none" w:sz="0" w:space="0" w:color="auto"/>
        <w:bottom w:val="none" w:sz="0" w:space="0" w:color="auto"/>
        <w:right w:val="none" w:sz="0" w:space="0" w:color="auto"/>
      </w:divBdr>
    </w:div>
    <w:div w:id="1553924220">
      <w:bodyDiv w:val="1"/>
      <w:marLeft w:val="0"/>
      <w:marRight w:val="0"/>
      <w:marTop w:val="0"/>
      <w:marBottom w:val="0"/>
      <w:divBdr>
        <w:top w:val="none" w:sz="0" w:space="0" w:color="auto"/>
        <w:left w:val="none" w:sz="0" w:space="0" w:color="auto"/>
        <w:bottom w:val="none" w:sz="0" w:space="0" w:color="auto"/>
        <w:right w:val="none" w:sz="0" w:space="0" w:color="auto"/>
      </w:divBdr>
    </w:div>
    <w:div w:id="1742093848">
      <w:bodyDiv w:val="1"/>
      <w:marLeft w:val="0"/>
      <w:marRight w:val="0"/>
      <w:marTop w:val="0"/>
      <w:marBottom w:val="0"/>
      <w:divBdr>
        <w:top w:val="none" w:sz="0" w:space="0" w:color="auto"/>
        <w:left w:val="none" w:sz="0" w:space="0" w:color="auto"/>
        <w:bottom w:val="none" w:sz="0" w:space="0" w:color="auto"/>
        <w:right w:val="none" w:sz="0" w:space="0" w:color="auto"/>
      </w:divBdr>
    </w:div>
    <w:div w:id="1758205181">
      <w:bodyDiv w:val="1"/>
      <w:marLeft w:val="0"/>
      <w:marRight w:val="0"/>
      <w:marTop w:val="0"/>
      <w:marBottom w:val="0"/>
      <w:divBdr>
        <w:top w:val="none" w:sz="0" w:space="0" w:color="auto"/>
        <w:left w:val="none" w:sz="0" w:space="0" w:color="auto"/>
        <w:bottom w:val="none" w:sz="0" w:space="0" w:color="auto"/>
        <w:right w:val="none" w:sz="0" w:space="0" w:color="auto"/>
      </w:divBdr>
    </w:div>
    <w:div w:id="205010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1.xml"/><Relationship Id="rId42" Type="http://schemas.openxmlformats.org/officeDocument/2006/relationships/hyperlink" Target="https://www.land.vic.gov.au/surveying/services/survey-marks-enquiry-service" TargetMode="External"/><Relationship Id="rId47" Type="http://schemas.openxmlformats.org/officeDocument/2006/relationships/hyperlink" Target="mailto:smes.support@transport.vic.gov.au" TargetMode="External"/><Relationship Id="rId63" Type="http://schemas.openxmlformats.org/officeDocument/2006/relationships/hyperlink" Target="https://www.land.vic.gov.au/surveying/cadastral-survey/practice-directives" TargetMode="External"/><Relationship Id="rId68" Type="http://schemas.openxmlformats.org/officeDocument/2006/relationships/hyperlink" Target="https://www.land.vic.gov.au/surveying/professional-resources/ambulatory-boundaries" TargetMode="Externa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hyperlink" Target="https://maps.land.vic.gov.au/lassi/SmesUI.jsp" TargetMode="External"/><Relationship Id="rId37" Type="http://schemas.openxmlformats.org/officeDocument/2006/relationships/hyperlink" Target="https://www.icsm.gov.au/publications/standard-australian-survey-control-network-v22" TargetMode="External"/><Relationship Id="rId53" Type="http://schemas.openxmlformats.org/officeDocument/2006/relationships/hyperlink" Target="https://www.land.vic.gov.au/surveying/cadastral-survey/practice-directives" TargetMode="External"/><Relationship Id="rId58" Type="http://schemas.openxmlformats.org/officeDocument/2006/relationships/hyperlink" Target="https://www.land.vic.gov.au/surveying/cadastral-survey/practice-directives" TargetMode="External"/><Relationship Id="rId74" Type="http://schemas.openxmlformats.org/officeDocument/2006/relationships/hyperlink" Target="https://www.land.vic.gov.au/surveying/cadastral-survey/practice-directives" TargetMode="External"/><Relationship Id="rId79" Type="http://schemas.openxmlformats.org/officeDocument/2006/relationships/image" Target="media/image11.png"/><Relationship Id="rId5" Type="http://schemas.openxmlformats.org/officeDocument/2006/relationships/customXml" Target="../customXml/item5.xml"/><Relationship Id="rId61" Type="http://schemas.openxmlformats.org/officeDocument/2006/relationships/hyperlink" Target="https://www.land.vic.gov.au/surveying/cadastral-survey/practice-directives" TargetMode="External"/><Relationship Id="rId82"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www.legislation.vic.gov.au" TargetMode="External"/><Relationship Id="rId30" Type="http://schemas.openxmlformats.org/officeDocument/2006/relationships/hyperlink" Target="http://www.surveyorsboard.vic.gov.au/content/91/surveypracticehandbook.aspx" TargetMode="External"/><Relationship Id="rId35" Type="http://schemas.openxmlformats.org/officeDocument/2006/relationships/hyperlink" Target="https://www.land.vic.gov.au/surveying/services/positioning" TargetMode="External"/><Relationship Id="rId43" Type="http://schemas.openxmlformats.org/officeDocument/2006/relationships/hyperlink" Target="https://www.land.vic.gov.au/surveying/services/survey-marks-enquiry-service" TargetMode="External"/><Relationship Id="rId48" Type="http://schemas.openxmlformats.org/officeDocument/2006/relationships/hyperlink" Target="https://www.spear.land.vic.gov.au/spear/" TargetMode="External"/><Relationship Id="rId56" Type="http://schemas.openxmlformats.org/officeDocument/2006/relationships/hyperlink" Target="https://www.land.vic.gov.au/surveying/cadastral-survey/practice-directives" TargetMode="External"/><Relationship Id="rId64" Type="http://schemas.openxmlformats.org/officeDocument/2006/relationships/hyperlink" Target="https://maps.land.vic.gov.au/lassi/EdmBookingUI.jsp" TargetMode="External"/><Relationship Id="rId69" Type="http://schemas.openxmlformats.org/officeDocument/2006/relationships/hyperlink" Target="https://www.land.vic.gov.au/surveying/professional-resources/ambulatory-boundaries" TargetMode="External"/><Relationship Id="rId77" Type="http://schemas.openxmlformats.org/officeDocument/2006/relationships/hyperlink" Target="https://www.land.vic.gov.au/surveying" TargetMode="External"/><Relationship Id="rId8" Type="http://schemas.openxmlformats.org/officeDocument/2006/relationships/settings" Target="settings.xml"/><Relationship Id="rId51" Type="http://schemas.openxmlformats.org/officeDocument/2006/relationships/hyperlink" Target="https://www.land.vic.gov.au/surveying/cadastral-survey/practice-directives" TargetMode="External"/><Relationship Id="rId72" Type="http://schemas.openxmlformats.org/officeDocument/2006/relationships/hyperlink" Target="https://www.land.vic.gov.au/surveying/cadastral-survey/practice-directiv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mailto:surveyor.general@transport.vic.gov.au" TargetMode="External"/><Relationship Id="rId25" Type="http://schemas.openxmlformats.org/officeDocument/2006/relationships/footer" Target="footer4.xml"/><Relationship Id="rId33" Type="http://schemas.openxmlformats.org/officeDocument/2006/relationships/hyperlink" Target="https://www.land.vic.gov.au/surveying/services/survey-marks-enquiry-service" TargetMode="External"/><Relationship Id="rId38" Type="http://schemas.openxmlformats.org/officeDocument/2006/relationships/hyperlink" Target="https://www.icsm.gov.au/publications/guideline-control-surveys-gnss-v22" TargetMode="External"/><Relationship Id="rId46" Type="http://schemas.openxmlformats.org/officeDocument/2006/relationships/hyperlink" Target="mailto:smes.support@transport.vic.gov.au" TargetMode="External"/><Relationship Id="rId59" Type="http://schemas.openxmlformats.org/officeDocument/2006/relationships/hyperlink" Target="https://www.land.vic.gov.au/surveying/cadastral-survey/practice-directives" TargetMode="External"/><Relationship Id="rId67" Type="http://schemas.openxmlformats.org/officeDocument/2006/relationships/hyperlink" Target="mailto:surveyor.general@transport.vic.gov.au" TargetMode="External"/><Relationship Id="rId20" Type="http://schemas.openxmlformats.org/officeDocument/2006/relationships/header" Target="header2.xml"/><Relationship Id="rId41" Type="http://schemas.openxmlformats.org/officeDocument/2006/relationships/hyperlink" Target="https://vicroads.sharepoint.com/sites/LandUseVictoria-AllStaff/Shared%20Documents/Strategies%20and%20frameworks/Surveyor-General%20Victoria/Vic%20Cadastral%20Surveys%20Practice%20Directives/www.surveyorsboard.vic.gov.au" TargetMode="External"/><Relationship Id="rId54" Type="http://schemas.openxmlformats.org/officeDocument/2006/relationships/hyperlink" Target="http://www.spear.land.vic.gov.au/spear/pages/applicants/how-do-i-set-up-my-plan-templates.shtml" TargetMode="External"/><Relationship Id="rId62" Type="http://schemas.openxmlformats.org/officeDocument/2006/relationships/hyperlink" Target="https://www.land.vic.gov.au/surveying/cadastral-survey/practice-directives" TargetMode="External"/><Relationship Id="rId70" Type="http://schemas.openxmlformats.org/officeDocument/2006/relationships/hyperlink" Target="https://www.surveyorsboard.vic.gov.au/content/91/surveypracticehandbook.aspx" TargetMode="External"/><Relationship Id="rId75" Type="http://schemas.openxmlformats.org/officeDocument/2006/relationships/hyperlink" Target="https://www.land.vic.gov.au/surveying/cadastral-survey/practice-directives" TargetMode="External"/><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s://www.land.vic.gov.au/surveying/cadastral-survey/survey-audit-program" TargetMode="External"/><Relationship Id="rId36" Type="http://schemas.openxmlformats.org/officeDocument/2006/relationships/hyperlink" Target="mailto:smes.support@transport.vic.gov.au" TargetMode="External"/><Relationship Id="rId49" Type="http://schemas.openxmlformats.org/officeDocument/2006/relationships/hyperlink" Target="http://www.spear.land.vic.gov.au" TargetMode="External"/><Relationship Id="rId57" Type="http://schemas.openxmlformats.org/officeDocument/2006/relationships/hyperlink" Target="https://www.land.vic.gov.au/surveying/cadastral-survey/practice-directives" TargetMode="External"/><Relationship Id="rId10" Type="http://schemas.openxmlformats.org/officeDocument/2006/relationships/footnotes" Target="footnotes.xml"/><Relationship Id="rId31" Type="http://schemas.openxmlformats.org/officeDocument/2006/relationships/hyperlink" Target="http://www.surveyorsboard.vic.gov.au" TargetMode="External"/><Relationship Id="rId44" Type="http://schemas.openxmlformats.org/officeDocument/2006/relationships/hyperlink" Target="http://www.ga.gov.au/scientific-topics/positioning-navigation/geodesy/auspos" TargetMode="External"/><Relationship Id="rId52" Type="http://schemas.openxmlformats.org/officeDocument/2006/relationships/hyperlink" Target="https://www.land.vic.gov.au/surveying/cadastral-survey/practice-directives" TargetMode="External"/><Relationship Id="rId60" Type="http://schemas.openxmlformats.org/officeDocument/2006/relationships/hyperlink" Target="https://www.land.vic.gov.au/surveying/cadastral-survey/practice-directives" TargetMode="External"/><Relationship Id="rId65" Type="http://schemas.openxmlformats.org/officeDocument/2006/relationships/hyperlink" Target="https://www.land.vic.gov.au/surveying/services/equipment-calibration-services" TargetMode="External"/><Relationship Id="rId73" Type="http://schemas.openxmlformats.org/officeDocument/2006/relationships/hyperlink" Target="https://www.land.vic.gov.au/surveying/cadastral-survey/practice-directives" TargetMode="External"/><Relationship Id="rId78" Type="http://schemas.openxmlformats.org/officeDocument/2006/relationships/image" Target="media/image10.png"/><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land.vic.gov.au/surveying/cadastral-survey/practice-directives" TargetMode="External"/><Relationship Id="rId39" Type="http://schemas.openxmlformats.org/officeDocument/2006/relationships/hyperlink" Target="http://www.icsm.gov.au/publications" TargetMode="External"/><Relationship Id="rId34" Type="http://schemas.openxmlformats.org/officeDocument/2006/relationships/hyperlink" Target="http://gnss.vicpos.com.au/" TargetMode="External"/><Relationship Id="rId50" Type="http://schemas.openxmlformats.org/officeDocument/2006/relationships/hyperlink" Target="https://www.land.vic.gov.au/surveying/cadastral-survey/practice-directives" TargetMode="External"/><Relationship Id="rId55" Type="http://schemas.openxmlformats.org/officeDocument/2006/relationships/image" Target="media/image9.jpg"/><Relationship Id="rId76" Type="http://schemas.openxmlformats.org/officeDocument/2006/relationships/hyperlink" Target="https://www.land.vic.gov.au/surveying/cadastral-survey/practice-directives" TargetMode="External"/><Relationship Id="rId7" Type="http://schemas.openxmlformats.org/officeDocument/2006/relationships/styles" Target="styles.xml"/><Relationship Id="rId71" Type="http://schemas.openxmlformats.org/officeDocument/2006/relationships/hyperlink" Target="https://www.land.vic.gov.au/surveying/cadastral-survey/practice-directives" TargetMode="External"/><Relationship Id="rId2" Type="http://schemas.openxmlformats.org/officeDocument/2006/relationships/customXml" Target="../customXml/item2.xml"/><Relationship Id="rId29" Type="http://schemas.openxmlformats.org/officeDocument/2006/relationships/hyperlink" Target="https://www.land.vic.gov.au/surveying/cadastral-survey/survey-audit-program" TargetMode="External"/><Relationship Id="rId24" Type="http://schemas.openxmlformats.org/officeDocument/2006/relationships/footer" Target="footer3.xml"/><Relationship Id="rId40" Type="http://schemas.openxmlformats.org/officeDocument/2006/relationships/hyperlink" Target="http://www.surveyorsboard.vic.gov.au/content/91/surveypracticehandbook.aspx" TargetMode="External"/><Relationship Id="rId45" Type="http://schemas.openxmlformats.org/officeDocument/2006/relationships/hyperlink" Target="mailto:smes.support@transport.vic.gov.au" TargetMode="External"/><Relationship Id="rId66" Type="http://schemas.openxmlformats.org/officeDocument/2006/relationships/hyperlink" Target="https://www.land.vic.gov.au/surveying/services/equipment-calibration-servi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67A647D87E42E38D1112EAA0B71417"/>
        <w:category>
          <w:name w:val="General"/>
          <w:gallery w:val="placeholder"/>
        </w:category>
        <w:types>
          <w:type w:val="bbPlcHdr"/>
        </w:types>
        <w:behaviors>
          <w:behavior w:val="content"/>
        </w:behaviors>
        <w:guid w:val="{BDA86F76-CDB8-4755-B281-8441D3ABE5A5}"/>
      </w:docPartPr>
      <w:docPartBody>
        <w:p w:rsidR="00024A84" w:rsidRDefault="00024A84">
          <w:pPr>
            <w:pStyle w:val="4C67A647D87E42E38D1112EAA0B71417"/>
          </w:pPr>
          <w:r w:rsidRPr="00A1580B">
            <w:rPr>
              <w:rStyle w:val="PlaceholderText"/>
            </w:rPr>
            <w:t>[Document type]</w:t>
          </w:r>
        </w:p>
      </w:docPartBody>
    </w:docPart>
    <w:docPart>
      <w:docPartPr>
        <w:name w:val="EB7890949F6044F99755EBF3ED0C9B68"/>
        <w:category>
          <w:name w:val="General"/>
          <w:gallery w:val="placeholder"/>
        </w:category>
        <w:types>
          <w:type w:val="bbPlcHdr"/>
        </w:types>
        <w:behaviors>
          <w:behavior w:val="content"/>
        </w:behaviors>
        <w:guid w:val="{AE553A80-ABDE-47D4-B2D0-61DF70DA4C6D}"/>
      </w:docPartPr>
      <w:docPartBody>
        <w:p w:rsidR="00024A84" w:rsidRDefault="00024A84">
          <w:pPr>
            <w:pStyle w:val="EB7890949F6044F99755EBF3ED0C9B68"/>
          </w:pPr>
          <w:r w:rsidRPr="00A1580B">
            <w:rPr>
              <w:rStyle w:val="PlaceholderText"/>
            </w:rPr>
            <w:t>[XXX–XXX]</w:t>
          </w:r>
        </w:p>
      </w:docPartBody>
    </w:docPart>
    <w:docPart>
      <w:docPartPr>
        <w:name w:val="8C3544B6BF764FBBB5B5E769CCAAA88F"/>
        <w:category>
          <w:name w:val="General"/>
          <w:gallery w:val="placeholder"/>
        </w:category>
        <w:types>
          <w:type w:val="bbPlcHdr"/>
        </w:types>
        <w:behaviors>
          <w:behavior w:val="content"/>
        </w:behaviors>
        <w:guid w:val="{F78BCBFC-08D0-424C-B68B-F6A7F1BD2FDD}"/>
      </w:docPartPr>
      <w:docPartBody>
        <w:p w:rsidR="00024A84" w:rsidRDefault="00024A84">
          <w:pPr>
            <w:pStyle w:val="8C3544B6BF764FBBB5B5E769CCAAA88F"/>
          </w:pPr>
          <w:r w:rsidRPr="00A1580B">
            <w:rPr>
              <w:rStyle w:val="PlaceholderText"/>
            </w:rPr>
            <w:t>[Title]</w:t>
          </w:r>
        </w:p>
      </w:docPartBody>
    </w:docPart>
    <w:docPart>
      <w:docPartPr>
        <w:name w:val="8CF9D8E7C3D3411D9447E6D4C25E82CC"/>
        <w:category>
          <w:name w:val="General"/>
          <w:gallery w:val="placeholder"/>
        </w:category>
        <w:types>
          <w:type w:val="bbPlcHdr"/>
        </w:types>
        <w:behaviors>
          <w:behavior w:val="content"/>
        </w:behaviors>
        <w:guid w:val="{A0254AC0-C1B5-450E-9281-DC31D1DC481A}"/>
      </w:docPartPr>
      <w:docPartBody>
        <w:p w:rsidR="00024A84" w:rsidRDefault="00024A84">
          <w:pPr>
            <w:pStyle w:val="8CF9D8E7C3D3411D9447E6D4C25E82CC"/>
          </w:pPr>
          <w:r w:rsidRPr="00A1580B">
            <w:rPr>
              <w:rStyle w:val="PlaceholderText"/>
            </w:rPr>
            <w:t>[Click to add sub-title]</w:t>
          </w:r>
        </w:p>
      </w:docPartBody>
    </w:docPart>
    <w:docPart>
      <w:docPartPr>
        <w:name w:val="B3539C0786CD44319265F8A668253754"/>
        <w:category>
          <w:name w:val="General"/>
          <w:gallery w:val="placeholder"/>
        </w:category>
        <w:types>
          <w:type w:val="bbPlcHdr"/>
        </w:types>
        <w:behaviors>
          <w:behavior w:val="content"/>
        </w:behaviors>
        <w:guid w:val="{6FE3D6C7-1C30-4EE6-BD51-CC9FD6630799}"/>
      </w:docPartPr>
      <w:docPartBody>
        <w:p w:rsidR="00024A84" w:rsidRDefault="00024A84">
          <w:pPr>
            <w:pStyle w:val="B3539C0786CD44319265F8A668253754"/>
          </w:pPr>
          <w:r w:rsidRPr="001279D3">
            <w:rPr>
              <w:rStyle w:val="PlaceholderText"/>
              <w:color w:val="4EA72E" w:themeColor="accent6"/>
            </w:rPr>
            <w:t>[1.1]</w:t>
          </w:r>
        </w:p>
      </w:docPartBody>
    </w:docPart>
    <w:docPart>
      <w:docPartPr>
        <w:name w:val="714F47FF3AB94E6195060DAAE94E84F7"/>
        <w:category>
          <w:name w:val="General"/>
          <w:gallery w:val="placeholder"/>
        </w:category>
        <w:types>
          <w:type w:val="bbPlcHdr"/>
        </w:types>
        <w:behaviors>
          <w:behavior w:val="content"/>
        </w:behaviors>
        <w:guid w:val="{5B29B1E2-41F1-46FE-A5C7-A0F1CD11A856}"/>
      </w:docPartPr>
      <w:docPartBody>
        <w:p w:rsidR="00024A84" w:rsidRDefault="00024A84">
          <w:pPr>
            <w:pStyle w:val="714F47FF3AB94E6195060DAAE94E84F7"/>
          </w:pPr>
          <w:r w:rsidRPr="00560AC8">
            <w:rPr>
              <w:rStyle w:val="PlaceholderText"/>
            </w:rPr>
            <w:t>Click or tap here to enter text.</w:t>
          </w:r>
        </w:p>
      </w:docPartBody>
    </w:docPart>
    <w:docPart>
      <w:docPartPr>
        <w:name w:val="375CF880383A48729C4D1146B8FFCFD8"/>
        <w:category>
          <w:name w:val="General"/>
          <w:gallery w:val="placeholder"/>
        </w:category>
        <w:types>
          <w:type w:val="bbPlcHdr"/>
        </w:types>
        <w:behaviors>
          <w:behavior w:val="content"/>
        </w:behaviors>
        <w:guid w:val="{44E52169-CDAC-4536-A9C6-013F5021B5DB}"/>
      </w:docPartPr>
      <w:docPartBody>
        <w:p w:rsidR="00024A84" w:rsidRDefault="00024A84" w:rsidP="00024A84">
          <w:pPr>
            <w:pStyle w:val="375CF880383A48729C4D1146B8FFCFD8"/>
          </w:pPr>
          <w:r w:rsidRPr="004C1BD0">
            <w:rPr>
              <w:rStyle w:val="PlaceholderText"/>
            </w:rPr>
            <w:t>[Title]</w:t>
          </w:r>
        </w:p>
      </w:docPartBody>
    </w:docPart>
    <w:docPart>
      <w:docPartPr>
        <w:name w:val="CAA4EB0280CF431A8E27CE92488BDF38"/>
        <w:category>
          <w:name w:val="General"/>
          <w:gallery w:val="placeholder"/>
        </w:category>
        <w:types>
          <w:type w:val="bbPlcHdr"/>
        </w:types>
        <w:behaviors>
          <w:behavior w:val="content"/>
        </w:behaviors>
        <w:guid w:val="{01656C90-511E-4D94-9C28-6465E79F52E8}"/>
      </w:docPartPr>
      <w:docPartBody>
        <w:p w:rsidR="00145605" w:rsidRDefault="00145605" w:rsidP="00145605">
          <w:pPr>
            <w:pStyle w:val="CAA4EB0280CF431A8E27CE92488BDF38"/>
          </w:pPr>
          <w:r w:rsidRPr="00A1580B">
            <w:rPr>
              <w:rStyle w:val="PlaceholderText"/>
            </w:rPr>
            <w:t>[Document type]</w:t>
          </w:r>
        </w:p>
      </w:docPartBody>
    </w:docPart>
    <w:docPart>
      <w:docPartPr>
        <w:name w:val="A12E3DDA50FD43B29D4231C660A36148"/>
        <w:category>
          <w:name w:val="General"/>
          <w:gallery w:val="placeholder"/>
        </w:category>
        <w:types>
          <w:type w:val="bbPlcHdr"/>
        </w:types>
        <w:behaviors>
          <w:behavior w:val="content"/>
        </w:behaviors>
        <w:guid w:val="{832A1DE0-A343-494F-8F8A-D46DB57C7AAA}"/>
      </w:docPartPr>
      <w:docPartBody>
        <w:p w:rsidR="00145605" w:rsidRDefault="00145605" w:rsidP="00145605">
          <w:pPr>
            <w:pStyle w:val="A12E3DDA50FD43B29D4231C660A36148"/>
          </w:pPr>
          <w:r w:rsidRPr="00A1580B">
            <w:rPr>
              <w:rStyle w:val="PlaceholderText"/>
            </w:rPr>
            <w:t>[XXX–XXX]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VIC Light">
    <w:altName w:val="Calibri"/>
    <w:panose1 w:val="000004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
    <w:panose1 w:val="020B0604020202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A84"/>
    <w:rsid w:val="00011914"/>
    <w:rsid w:val="00024A84"/>
    <w:rsid w:val="000C1F36"/>
    <w:rsid w:val="00145605"/>
    <w:rsid w:val="001A5264"/>
    <w:rsid w:val="001A68C4"/>
    <w:rsid w:val="00295CFC"/>
    <w:rsid w:val="002C32FB"/>
    <w:rsid w:val="00303C57"/>
    <w:rsid w:val="00304F76"/>
    <w:rsid w:val="00334B68"/>
    <w:rsid w:val="003C175E"/>
    <w:rsid w:val="003D4096"/>
    <w:rsid w:val="00400337"/>
    <w:rsid w:val="00435E7A"/>
    <w:rsid w:val="0045083A"/>
    <w:rsid w:val="00455D62"/>
    <w:rsid w:val="00487C7B"/>
    <w:rsid w:val="005226D4"/>
    <w:rsid w:val="00582D4C"/>
    <w:rsid w:val="005B0166"/>
    <w:rsid w:val="005E2AFA"/>
    <w:rsid w:val="005E54C3"/>
    <w:rsid w:val="00674168"/>
    <w:rsid w:val="00691D5E"/>
    <w:rsid w:val="006E3F6A"/>
    <w:rsid w:val="00774B4E"/>
    <w:rsid w:val="007B2D50"/>
    <w:rsid w:val="008122D3"/>
    <w:rsid w:val="00883F90"/>
    <w:rsid w:val="008C7949"/>
    <w:rsid w:val="00914A52"/>
    <w:rsid w:val="009777A3"/>
    <w:rsid w:val="009B1D64"/>
    <w:rsid w:val="009B25A6"/>
    <w:rsid w:val="00AA59CD"/>
    <w:rsid w:val="00B504A7"/>
    <w:rsid w:val="00BF5457"/>
    <w:rsid w:val="00C41FD9"/>
    <w:rsid w:val="00C75D55"/>
    <w:rsid w:val="00C95778"/>
    <w:rsid w:val="00CC328F"/>
    <w:rsid w:val="00CC577C"/>
    <w:rsid w:val="00CE7819"/>
    <w:rsid w:val="00D22492"/>
    <w:rsid w:val="00D56D67"/>
    <w:rsid w:val="00D927DB"/>
    <w:rsid w:val="00D96BBF"/>
    <w:rsid w:val="00E222DA"/>
    <w:rsid w:val="00E3584E"/>
    <w:rsid w:val="00E4260E"/>
    <w:rsid w:val="00E51E06"/>
    <w:rsid w:val="00F55DC7"/>
    <w:rsid w:val="00F85D2F"/>
    <w:rsid w:val="00FF70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5605"/>
    <w:rPr>
      <w:color w:val="0E2841" w:themeColor="text2"/>
      <w:bdr w:val="none" w:sz="0" w:space="0" w:color="auto"/>
      <w:shd w:val="clear" w:color="auto" w:fill="D3D3D3"/>
    </w:rPr>
  </w:style>
  <w:style w:type="paragraph" w:customStyle="1" w:styleId="4C67A647D87E42E38D1112EAA0B71417">
    <w:name w:val="4C67A647D87E42E38D1112EAA0B71417"/>
  </w:style>
  <w:style w:type="paragraph" w:customStyle="1" w:styleId="EB7890949F6044F99755EBF3ED0C9B68">
    <w:name w:val="EB7890949F6044F99755EBF3ED0C9B68"/>
  </w:style>
  <w:style w:type="paragraph" w:customStyle="1" w:styleId="8C3544B6BF764FBBB5B5E769CCAAA88F">
    <w:name w:val="8C3544B6BF764FBBB5B5E769CCAAA88F"/>
  </w:style>
  <w:style w:type="paragraph" w:customStyle="1" w:styleId="8CF9D8E7C3D3411D9447E6D4C25E82CC">
    <w:name w:val="8CF9D8E7C3D3411D9447E6D4C25E82CC"/>
  </w:style>
  <w:style w:type="paragraph" w:customStyle="1" w:styleId="B3539C0786CD44319265F8A668253754">
    <w:name w:val="B3539C0786CD44319265F8A668253754"/>
  </w:style>
  <w:style w:type="paragraph" w:customStyle="1" w:styleId="714F47FF3AB94E6195060DAAE94E84F7">
    <w:name w:val="714F47FF3AB94E6195060DAAE94E84F7"/>
  </w:style>
  <w:style w:type="paragraph" w:customStyle="1" w:styleId="375CF880383A48729C4D1146B8FFCFD8">
    <w:name w:val="375CF880383A48729C4D1146B8FFCFD8"/>
    <w:rsid w:val="00024A84"/>
  </w:style>
  <w:style w:type="paragraph" w:customStyle="1" w:styleId="CAA4EB0280CF431A8E27CE92488BDF38">
    <w:name w:val="CAA4EB0280CF431A8E27CE92488BDF38"/>
    <w:rsid w:val="00145605"/>
  </w:style>
  <w:style w:type="paragraph" w:customStyle="1" w:styleId="A12E3DDA50FD43B29D4231C660A36148">
    <w:name w:val="A12E3DDA50FD43B29D4231C660A36148"/>
    <w:rsid w:val="001456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f29d2d-d610-404b-899c-5d955c18a87d">
      <Terms xmlns="http://schemas.microsoft.com/office/infopath/2007/PartnerControls"/>
    </lcf76f155ced4ddcb4097134ff3c332f>
    <TaxCatchAll xmlns="a3ba1c96-4f57-4fcd-b5d1-f3c6c6c27b84" xsi:nil="true"/>
    <eeb4b0dcc0cd4bf2a77d10a670caf5ab xmlns="2df29d2d-d610-404b-899c-5d955c18a87d">
      <Terms xmlns="http://schemas.microsoft.com/office/infopath/2007/PartnerControls"/>
    </eeb4b0dcc0cd4bf2a77d10a670caf5ab>
    <Teamowner xmlns="2df29d2d-d610-404b-899c-5d955c18a87d" xsi:nil="true"/>
    <Documentstatus xmlns="2df29d2d-d610-404b-899c-5d955c18a87d" xsi:nil="true"/>
    <Documenttype xmlns="2df29d2d-d610-404b-899c-5d955c18a87d" xsi:nil="true"/>
    <Go_x002d_livedate xmlns="2df29d2d-d610-404b-899c-5d955c18a8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B7A13D40F1DE4FA823411F36053DD0" ma:contentTypeVersion="17" ma:contentTypeDescription="Create a new document." ma:contentTypeScope="" ma:versionID="3c07859052122df19c07687e7bf92911">
  <xsd:schema xmlns:xsd="http://www.w3.org/2001/XMLSchema" xmlns:xs="http://www.w3.org/2001/XMLSchema" xmlns:p="http://schemas.microsoft.com/office/2006/metadata/properties" xmlns:ns2="2df29d2d-d610-404b-899c-5d955c18a87d" xmlns:ns3="a3ba1c96-4f57-4fcd-b5d1-f3c6c6c27b84" targetNamespace="http://schemas.microsoft.com/office/2006/metadata/properties" ma:root="true" ma:fieldsID="31c9f0c0189ad41616f4dd5066bb7496" ns2:_="" ns3:_="">
    <xsd:import namespace="2df29d2d-d610-404b-899c-5d955c18a87d"/>
    <xsd:import namespace="a3ba1c96-4f57-4fcd-b5d1-f3c6c6c27b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eeb4b0dcc0cd4bf2a77d10a670caf5ab" minOccurs="0"/>
                <xsd:element ref="ns3:TaxCatchAll" minOccurs="0"/>
                <xsd:element ref="ns2:Teamowner" minOccurs="0"/>
                <xsd:element ref="ns2:Documenttype" minOccurs="0"/>
                <xsd:element ref="ns2:Go_x002d_livedate"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Document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29d2d-d610-404b-899c-5d955c18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eeb4b0dcc0cd4bf2a77d10a670caf5ab" ma:index="12" nillable="true" ma:taxonomy="true" ma:internalName="eeb4b0dcc0cd4bf2a77d10a670caf5ab" ma:taxonomyFieldName="Document_x0020_audience" ma:displayName="Document audience" ma:default="" ma:fieldId="{eeb4b0dc-c0cd-4bf2-a77d-10a670caf5ab}" ma:sspId="02e39827-7633-4725-95e2-462bd363dd90" ma:termSetId="b22b6611-69e6-4c39-b0e3-e022cd84b799" ma:anchorId="00000000-0000-0000-0000-000000000000" ma:open="false" ma:isKeyword="false">
      <xsd:complexType>
        <xsd:sequence>
          <xsd:element ref="pc:Terms" minOccurs="0" maxOccurs="1"/>
        </xsd:sequence>
      </xsd:complexType>
    </xsd:element>
    <xsd:element name="Teamowner" ma:index="14" nillable="true" ma:displayName="Team owner" ma:format="Dropdown" ma:indexed="true" ma:list="551973d8-87e0-4e5a-8105-a7339e7fc4b9" ma:internalName="Teamowner" ma:showField="Title">
      <xsd:simpleType>
        <xsd:restriction base="dms:Lookup"/>
      </xsd:simpleType>
    </xsd:element>
    <xsd:element name="Documenttype" ma:index="15" nillable="true" ma:displayName="Document type" ma:format="Dropdown" ma:internalName="Documenttype">
      <xsd:simpleType>
        <xsd:restriction base="dms:Choice">
          <xsd:enumeration value="Correspondence"/>
          <xsd:enumeration value="Intranet news"/>
          <xsd:enumeration value="Internal newsletter"/>
          <xsd:enumeration value="Internal email"/>
          <xsd:enumeration value="Project plan"/>
          <xsd:enumeration value="Dashboard"/>
          <xsd:enumeration value="Briefing / correspondence"/>
        </xsd:restriction>
      </xsd:simpleType>
    </xsd:element>
    <xsd:element name="Go_x002d_livedate" ma:index="16" nillable="true" ma:displayName="Go-live date" ma:format="DateOnly" ma:internalName="Go_x002d_livedate">
      <xsd:simpleType>
        <xsd:restriction base="dms:DateTim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Documentstatus" ma:index="23" nillable="true" ma:displayName="Document status" ma:format="Dropdown" ma:internalName="Documentstatus">
      <xsd:simpleType>
        <xsd:restriction base="dms:Choice">
          <xsd:enumeration value="In draft"/>
          <xsd:enumeration value="In review"/>
          <xsd:enumeration value="Pending approval"/>
          <xsd:enumeration value="Approved - not live"/>
          <xsd:enumeration value="Approved - live"/>
          <xsd:enumeration value="On hold"/>
          <xsd:enumeration value="Superseded"/>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ba1c96-4f57-4fcd-b5d1-f3c6c6c27b8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69cffd-54b1-4e87-86c7-5c3b0a4bd889}" ma:internalName="TaxCatchAll" ma:showField="CatchAllData" ma:web="a3ba1c96-4f57-4fcd-b5d1-f3c6c6c27b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2df29d2d-d610-404b-899c-5d955c18a87d"/>
    <ds:schemaRef ds:uri="a3ba1c96-4f57-4fcd-b5d1-f3c6c6c27b84"/>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9E739891-4BA7-4679-B3C1-8399DE33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29d2d-d610-404b-899c-5d955c18a87d"/>
    <ds:schemaRef ds:uri="a3ba1c96-4f57-4fcd-b5d1-f3c6c6c27b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37</Pages>
  <Words>15480</Words>
  <Characters>88241</Characters>
  <Application>Microsoft Office Word</Application>
  <DocSecurity>8</DocSecurity>
  <Lines>735</Lines>
  <Paragraphs>207</Paragraphs>
  <ScaleCrop>false</ScaleCrop>
  <Company>DTP</Company>
  <LinksUpToDate>false</LinksUpToDate>
  <CharactersWithSpaces>103514</CharactersWithSpaces>
  <SharedDoc>false</SharedDoc>
  <HLinks>
    <vt:vector size="858" baseType="variant">
      <vt:variant>
        <vt:i4>1245202</vt:i4>
      </vt:variant>
      <vt:variant>
        <vt:i4>693</vt:i4>
      </vt:variant>
      <vt:variant>
        <vt:i4>0</vt:i4>
      </vt:variant>
      <vt:variant>
        <vt:i4>5</vt:i4>
      </vt:variant>
      <vt:variant>
        <vt:lpwstr>https://www.land.vic.gov.au/surveying</vt:lpwstr>
      </vt:variant>
      <vt:variant>
        <vt:lpwstr/>
      </vt:variant>
      <vt:variant>
        <vt:i4>2621488</vt:i4>
      </vt:variant>
      <vt:variant>
        <vt:i4>690</vt:i4>
      </vt:variant>
      <vt:variant>
        <vt:i4>0</vt:i4>
      </vt:variant>
      <vt:variant>
        <vt:i4>5</vt:i4>
      </vt:variant>
      <vt:variant>
        <vt:lpwstr>https://www.land.vic.gov.au/surveying/cadastral-survey/practice-directives</vt:lpwstr>
      </vt:variant>
      <vt:variant>
        <vt:lpwstr/>
      </vt:variant>
      <vt:variant>
        <vt:i4>2621488</vt:i4>
      </vt:variant>
      <vt:variant>
        <vt:i4>687</vt:i4>
      </vt:variant>
      <vt:variant>
        <vt:i4>0</vt:i4>
      </vt:variant>
      <vt:variant>
        <vt:i4>5</vt:i4>
      </vt:variant>
      <vt:variant>
        <vt:lpwstr>https://www.land.vic.gov.au/surveying/cadastral-survey/practice-directives</vt:lpwstr>
      </vt:variant>
      <vt:variant>
        <vt:lpwstr/>
      </vt:variant>
      <vt:variant>
        <vt:i4>2621488</vt:i4>
      </vt:variant>
      <vt:variant>
        <vt:i4>684</vt:i4>
      </vt:variant>
      <vt:variant>
        <vt:i4>0</vt:i4>
      </vt:variant>
      <vt:variant>
        <vt:i4>5</vt:i4>
      </vt:variant>
      <vt:variant>
        <vt:lpwstr>https://www.land.vic.gov.au/surveying/cadastral-survey/practice-directives</vt:lpwstr>
      </vt:variant>
      <vt:variant>
        <vt:lpwstr/>
      </vt:variant>
      <vt:variant>
        <vt:i4>2621488</vt:i4>
      </vt:variant>
      <vt:variant>
        <vt:i4>681</vt:i4>
      </vt:variant>
      <vt:variant>
        <vt:i4>0</vt:i4>
      </vt:variant>
      <vt:variant>
        <vt:i4>5</vt:i4>
      </vt:variant>
      <vt:variant>
        <vt:lpwstr>https://www.land.vic.gov.au/surveying/cadastral-survey/practice-directives</vt:lpwstr>
      </vt:variant>
      <vt:variant>
        <vt:lpwstr/>
      </vt:variant>
      <vt:variant>
        <vt:i4>2621488</vt:i4>
      </vt:variant>
      <vt:variant>
        <vt:i4>678</vt:i4>
      </vt:variant>
      <vt:variant>
        <vt:i4>0</vt:i4>
      </vt:variant>
      <vt:variant>
        <vt:i4>5</vt:i4>
      </vt:variant>
      <vt:variant>
        <vt:lpwstr>https://www.land.vic.gov.au/surveying/cadastral-survey/practice-directives</vt:lpwstr>
      </vt:variant>
      <vt:variant>
        <vt:lpwstr/>
      </vt:variant>
      <vt:variant>
        <vt:i4>2621488</vt:i4>
      </vt:variant>
      <vt:variant>
        <vt:i4>675</vt:i4>
      </vt:variant>
      <vt:variant>
        <vt:i4>0</vt:i4>
      </vt:variant>
      <vt:variant>
        <vt:i4>5</vt:i4>
      </vt:variant>
      <vt:variant>
        <vt:lpwstr>https://www.land.vic.gov.au/surveying/cadastral-survey/practice-directives</vt:lpwstr>
      </vt:variant>
      <vt:variant>
        <vt:lpwstr/>
      </vt:variant>
      <vt:variant>
        <vt:i4>4849669</vt:i4>
      </vt:variant>
      <vt:variant>
        <vt:i4>672</vt:i4>
      </vt:variant>
      <vt:variant>
        <vt:i4>0</vt:i4>
      </vt:variant>
      <vt:variant>
        <vt:i4>5</vt:i4>
      </vt:variant>
      <vt:variant>
        <vt:lpwstr>https://www.surveyorsboard.vic.gov.au/content/91/surveypracticehandbook.aspx</vt:lpwstr>
      </vt:variant>
      <vt:variant>
        <vt:lpwstr/>
      </vt:variant>
      <vt:variant>
        <vt:i4>6946918</vt:i4>
      </vt:variant>
      <vt:variant>
        <vt:i4>669</vt:i4>
      </vt:variant>
      <vt:variant>
        <vt:i4>0</vt:i4>
      </vt:variant>
      <vt:variant>
        <vt:i4>5</vt:i4>
      </vt:variant>
      <vt:variant>
        <vt:lpwstr>https://www.land.vic.gov.au/surveying/professional-resources/ambulatory-boundaries</vt:lpwstr>
      </vt:variant>
      <vt:variant>
        <vt:lpwstr/>
      </vt:variant>
      <vt:variant>
        <vt:i4>6946918</vt:i4>
      </vt:variant>
      <vt:variant>
        <vt:i4>666</vt:i4>
      </vt:variant>
      <vt:variant>
        <vt:i4>0</vt:i4>
      </vt:variant>
      <vt:variant>
        <vt:i4>5</vt:i4>
      </vt:variant>
      <vt:variant>
        <vt:lpwstr>https://www.land.vic.gov.au/surveying/professional-resources/ambulatory-boundaries</vt:lpwstr>
      </vt:variant>
      <vt:variant>
        <vt:lpwstr/>
      </vt:variant>
      <vt:variant>
        <vt:i4>2424909</vt:i4>
      </vt:variant>
      <vt:variant>
        <vt:i4>663</vt:i4>
      </vt:variant>
      <vt:variant>
        <vt:i4>0</vt:i4>
      </vt:variant>
      <vt:variant>
        <vt:i4>5</vt:i4>
      </vt:variant>
      <vt:variant>
        <vt:lpwstr>mailto:surveyor.general@transport.vic.gov.au</vt:lpwstr>
      </vt:variant>
      <vt:variant>
        <vt:lpwstr/>
      </vt:variant>
      <vt:variant>
        <vt:i4>4718685</vt:i4>
      </vt:variant>
      <vt:variant>
        <vt:i4>660</vt:i4>
      </vt:variant>
      <vt:variant>
        <vt:i4>0</vt:i4>
      </vt:variant>
      <vt:variant>
        <vt:i4>5</vt:i4>
      </vt:variant>
      <vt:variant>
        <vt:lpwstr>https://www.land.vic.gov.au/surveying/services/equipment-calibration-services</vt:lpwstr>
      </vt:variant>
      <vt:variant>
        <vt:lpwstr/>
      </vt:variant>
      <vt:variant>
        <vt:i4>4718685</vt:i4>
      </vt:variant>
      <vt:variant>
        <vt:i4>657</vt:i4>
      </vt:variant>
      <vt:variant>
        <vt:i4>0</vt:i4>
      </vt:variant>
      <vt:variant>
        <vt:i4>5</vt:i4>
      </vt:variant>
      <vt:variant>
        <vt:lpwstr>https://www.land.vic.gov.au/surveying/services/equipment-calibration-services</vt:lpwstr>
      </vt:variant>
      <vt:variant>
        <vt:lpwstr/>
      </vt:variant>
      <vt:variant>
        <vt:i4>6291557</vt:i4>
      </vt:variant>
      <vt:variant>
        <vt:i4>654</vt:i4>
      </vt:variant>
      <vt:variant>
        <vt:i4>0</vt:i4>
      </vt:variant>
      <vt:variant>
        <vt:i4>5</vt:i4>
      </vt:variant>
      <vt:variant>
        <vt:lpwstr>https://maps.land.vic.gov.au/lassi/EdmBookingUI.jsp</vt:lpwstr>
      </vt:variant>
      <vt:variant>
        <vt:lpwstr/>
      </vt:variant>
      <vt:variant>
        <vt:i4>4718685</vt:i4>
      </vt:variant>
      <vt:variant>
        <vt:i4>651</vt:i4>
      </vt:variant>
      <vt:variant>
        <vt:i4>0</vt:i4>
      </vt:variant>
      <vt:variant>
        <vt:i4>5</vt:i4>
      </vt:variant>
      <vt:variant>
        <vt:lpwstr>https://www.land.vic.gov.au/surveying/services/equipment-calibration-services</vt:lpwstr>
      </vt:variant>
      <vt:variant>
        <vt:lpwstr/>
      </vt:variant>
      <vt:variant>
        <vt:i4>4718685</vt:i4>
      </vt:variant>
      <vt:variant>
        <vt:i4>648</vt:i4>
      </vt:variant>
      <vt:variant>
        <vt:i4>0</vt:i4>
      </vt:variant>
      <vt:variant>
        <vt:i4>5</vt:i4>
      </vt:variant>
      <vt:variant>
        <vt:lpwstr>https://www.land.vic.gov.au/surveying/services/equipment-calibration-services</vt:lpwstr>
      </vt:variant>
      <vt:variant>
        <vt:lpwstr/>
      </vt:variant>
      <vt:variant>
        <vt:i4>4718685</vt:i4>
      </vt:variant>
      <vt:variant>
        <vt:i4>645</vt:i4>
      </vt:variant>
      <vt:variant>
        <vt:i4>0</vt:i4>
      </vt:variant>
      <vt:variant>
        <vt:i4>5</vt:i4>
      </vt:variant>
      <vt:variant>
        <vt:lpwstr>https://www.land.vic.gov.au/surveying/services/equipment-calibration-services</vt:lpwstr>
      </vt:variant>
      <vt:variant>
        <vt:lpwstr/>
      </vt:variant>
      <vt:variant>
        <vt:i4>2621488</vt:i4>
      </vt:variant>
      <vt:variant>
        <vt:i4>642</vt:i4>
      </vt:variant>
      <vt:variant>
        <vt:i4>0</vt:i4>
      </vt:variant>
      <vt:variant>
        <vt:i4>5</vt:i4>
      </vt:variant>
      <vt:variant>
        <vt:lpwstr>https://www.land.vic.gov.au/surveying/cadastral-survey/practice-directives</vt:lpwstr>
      </vt:variant>
      <vt:variant>
        <vt:lpwstr/>
      </vt:variant>
      <vt:variant>
        <vt:i4>2621488</vt:i4>
      </vt:variant>
      <vt:variant>
        <vt:i4>639</vt:i4>
      </vt:variant>
      <vt:variant>
        <vt:i4>0</vt:i4>
      </vt:variant>
      <vt:variant>
        <vt:i4>5</vt:i4>
      </vt:variant>
      <vt:variant>
        <vt:lpwstr>https://www.land.vic.gov.au/surveying/cadastral-survey/practice-directives</vt:lpwstr>
      </vt:variant>
      <vt:variant>
        <vt:lpwstr/>
      </vt:variant>
      <vt:variant>
        <vt:i4>2621488</vt:i4>
      </vt:variant>
      <vt:variant>
        <vt:i4>636</vt:i4>
      </vt:variant>
      <vt:variant>
        <vt:i4>0</vt:i4>
      </vt:variant>
      <vt:variant>
        <vt:i4>5</vt:i4>
      </vt:variant>
      <vt:variant>
        <vt:lpwstr>https://www.land.vic.gov.au/surveying/cadastral-survey/practice-directives</vt:lpwstr>
      </vt:variant>
      <vt:variant>
        <vt:lpwstr/>
      </vt:variant>
      <vt:variant>
        <vt:i4>2621488</vt:i4>
      </vt:variant>
      <vt:variant>
        <vt:i4>633</vt:i4>
      </vt:variant>
      <vt:variant>
        <vt:i4>0</vt:i4>
      </vt:variant>
      <vt:variant>
        <vt:i4>5</vt:i4>
      </vt:variant>
      <vt:variant>
        <vt:lpwstr>https://www.land.vic.gov.au/surveying/cadastral-survey/practice-directives</vt:lpwstr>
      </vt:variant>
      <vt:variant>
        <vt:lpwstr/>
      </vt:variant>
      <vt:variant>
        <vt:i4>2621488</vt:i4>
      </vt:variant>
      <vt:variant>
        <vt:i4>630</vt:i4>
      </vt:variant>
      <vt:variant>
        <vt:i4>0</vt:i4>
      </vt:variant>
      <vt:variant>
        <vt:i4>5</vt:i4>
      </vt:variant>
      <vt:variant>
        <vt:lpwstr>https://www.land.vic.gov.au/surveying/cadastral-survey/practice-directives</vt:lpwstr>
      </vt:variant>
      <vt:variant>
        <vt:lpwstr/>
      </vt:variant>
      <vt:variant>
        <vt:i4>2621488</vt:i4>
      </vt:variant>
      <vt:variant>
        <vt:i4>627</vt:i4>
      </vt:variant>
      <vt:variant>
        <vt:i4>0</vt:i4>
      </vt:variant>
      <vt:variant>
        <vt:i4>5</vt:i4>
      </vt:variant>
      <vt:variant>
        <vt:lpwstr>https://www.land.vic.gov.au/surveying/cadastral-survey/practice-directives</vt:lpwstr>
      </vt:variant>
      <vt:variant>
        <vt:lpwstr/>
      </vt:variant>
      <vt:variant>
        <vt:i4>2621488</vt:i4>
      </vt:variant>
      <vt:variant>
        <vt:i4>624</vt:i4>
      </vt:variant>
      <vt:variant>
        <vt:i4>0</vt:i4>
      </vt:variant>
      <vt:variant>
        <vt:i4>5</vt:i4>
      </vt:variant>
      <vt:variant>
        <vt:lpwstr>https://www.land.vic.gov.au/surveying/cadastral-survey/practice-directives</vt:lpwstr>
      </vt:variant>
      <vt:variant>
        <vt:lpwstr/>
      </vt:variant>
      <vt:variant>
        <vt:i4>2621488</vt:i4>
      </vt:variant>
      <vt:variant>
        <vt:i4>621</vt:i4>
      </vt:variant>
      <vt:variant>
        <vt:i4>0</vt:i4>
      </vt:variant>
      <vt:variant>
        <vt:i4>5</vt:i4>
      </vt:variant>
      <vt:variant>
        <vt:lpwstr>https://www.land.vic.gov.au/surveying/cadastral-survey/practice-directives</vt:lpwstr>
      </vt:variant>
      <vt:variant>
        <vt:lpwstr/>
      </vt:variant>
      <vt:variant>
        <vt:i4>3538979</vt:i4>
      </vt:variant>
      <vt:variant>
        <vt:i4>618</vt:i4>
      </vt:variant>
      <vt:variant>
        <vt:i4>0</vt:i4>
      </vt:variant>
      <vt:variant>
        <vt:i4>5</vt:i4>
      </vt:variant>
      <vt:variant>
        <vt:lpwstr>http://www.spear.land.vic.gov.au/spear/pages/applicants/how-do-i-set-up-my-plan-templates.shtml</vt:lpwstr>
      </vt:variant>
      <vt:variant>
        <vt:lpwstr/>
      </vt:variant>
      <vt:variant>
        <vt:i4>2621488</vt:i4>
      </vt:variant>
      <vt:variant>
        <vt:i4>615</vt:i4>
      </vt:variant>
      <vt:variant>
        <vt:i4>0</vt:i4>
      </vt:variant>
      <vt:variant>
        <vt:i4>5</vt:i4>
      </vt:variant>
      <vt:variant>
        <vt:lpwstr>https://www.land.vic.gov.au/surveying/cadastral-survey/practice-directives</vt:lpwstr>
      </vt:variant>
      <vt:variant>
        <vt:lpwstr/>
      </vt:variant>
      <vt:variant>
        <vt:i4>2621488</vt:i4>
      </vt:variant>
      <vt:variant>
        <vt:i4>612</vt:i4>
      </vt:variant>
      <vt:variant>
        <vt:i4>0</vt:i4>
      </vt:variant>
      <vt:variant>
        <vt:i4>5</vt:i4>
      </vt:variant>
      <vt:variant>
        <vt:lpwstr>https://www.land.vic.gov.au/surveying/cadastral-survey/practice-directives</vt:lpwstr>
      </vt:variant>
      <vt:variant>
        <vt:lpwstr/>
      </vt:variant>
      <vt:variant>
        <vt:i4>2621488</vt:i4>
      </vt:variant>
      <vt:variant>
        <vt:i4>609</vt:i4>
      </vt:variant>
      <vt:variant>
        <vt:i4>0</vt:i4>
      </vt:variant>
      <vt:variant>
        <vt:i4>5</vt:i4>
      </vt:variant>
      <vt:variant>
        <vt:lpwstr>https://www.land.vic.gov.au/surveying/cadastral-survey/practice-directives</vt:lpwstr>
      </vt:variant>
      <vt:variant>
        <vt:lpwstr/>
      </vt:variant>
      <vt:variant>
        <vt:i4>2621488</vt:i4>
      </vt:variant>
      <vt:variant>
        <vt:i4>606</vt:i4>
      </vt:variant>
      <vt:variant>
        <vt:i4>0</vt:i4>
      </vt:variant>
      <vt:variant>
        <vt:i4>5</vt:i4>
      </vt:variant>
      <vt:variant>
        <vt:lpwstr>https://www.land.vic.gov.au/surveying/cadastral-survey/practice-directives</vt:lpwstr>
      </vt:variant>
      <vt:variant>
        <vt:lpwstr/>
      </vt:variant>
      <vt:variant>
        <vt:i4>1048591</vt:i4>
      </vt:variant>
      <vt:variant>
        <vt:i4>603</vt:i4>
      </vt:variant>
      <vt:variant>
        <vt:i4>0</vt:i4>
      </vt:variant>
      <vt:variant>
        <vt:i4>5</vt:i4>
      </vt:variant>
      <vt:variant>
        <vt:lpwstr>http://www.spear.land.vic.gov.au/</vt:lpwstr>
      </vt:variant>
      <vt:variant>
        <vt:lpwstr/>
      </vt:variant>
      <vt:variant>
        <vt:i4>393247</vt:i4>
      </vt:variant>
      <vt:variant>
        <vt:i4>600</vt:i4>
      </vt:variant>
      <vt:variant>
        <vt:i4>0</vt:i4>
      </vt:variant>
      <vt:variant>
        <vt:i4>5</vt:i4>
      </vt:variant>
      <vt:variant>
        <vt:lpwstr>https://www.spear.land.vic.gov.au/spear/</vt:lpwstr>
      </vt:variant>
      <vt:variant>
        <vt:lpwstr/>
      </vt:variant>
      <vt:variant>
        <vt:i4>3014740</vt:i4>
      </vt:variant>
      <vt:variant>
        <vt:i4>597</vt:i4>
      </vt:variant>
      <vt:variant>
        <vt:i4>0</vt:i4>
      </vt:variant>
      <vt:variant>
        <vt:i4>5</vt:i4>
      </vt:variant>
      <vt:variant>
        <vt:lpwstr>mailto:smes.support@transport.vic.gov.au</vt:lpwstr>
      </vt:variant>
      <vt:variant>
        <vt:lpwstr/>
      </vt:variant>
      <vt:variant>
        <vt:i4>3014740</vt:i4>
      </vt:variant>
      <vt:variant>
        <vt:i4>594</vt:i4>
      </vt:variant>
      <vt:variant>
        <vt:i4>0</vt:i4>
      </vt:variant>
      <vt:variant>
        <vt:i4>5</vt:i4>
      </vt:variant>
      <vt:variant>
        <vt:lpwstr>mailto:smes.support@transport.vic.gov.au</vt:lpwstr>
      </vt:variant>
      <vt:variant>
        <vt:lpwstr/>
      </vt:variant>
      <vt:variant>
        <vt:i4>3014740</vt:i4>
      </vt:variant>
      <vt:variant>
        <vt:i4>591</vt:i4>
      </vt:variant>
      <vt:variant>
        <vt:i4>0</vt:i4>
      </vt:variant>
      <vt:variant>
        <vt:i4>5</vt:i4>
      </vt:variant>
      <vt:variant>
        <vt:lpwstr>mailto:smes.support@transport.vic.gov.au</vt:lpwstr>
      </vt:variant>
      <vt:variant>
        <vt:lpwstr/>
      </vt:variant>
      <vt:variant>
        <vt:i4>786452</vt:i4>
      </vt:variant>
      <vt:variant>
        <vt:i4>588</vt:i4>
      </vt:variant>
      <vt:variant>
        <vt:i4>0</vt:i4>
      </vt:variant>
      <vt:variant>
        <vt:i4>5</vt:i4>
      </vt:variant>
      <vt:variant>
        <vt:lpwstr>http://www.ga.gov.au/scientific-topics/positioning-navigation/geodesy/auspos</vt:lpwstr>
      </vt:variant>
      <vt:variant>
        <vt:lpwstr/>
      </vt:variant>
      <vt:variant>
        <vt:i4>6619181</vt:i4>
      </vt:variant>
      <vt:variant>
        <vt:i4>585</vt:i4>
      </vt:variant>
      <vt:variant>
        <vt:i4>0</vt:i4>
      </vt:variant>
      <vt:variant>
        <vt:i4>5</vt:i4>
      </vt:variant>
      <vt:variant>
        <vt:lpwstr>https://www.land.vic.gov.au/surveying/services/survey-marks-enquiry-service</vt:lpwstr>
      </vt:variant>
      <vt:variant>
        <vt:lpwstr/>
      </vt:variant>
      <vt:variant>
        <vt:i4>6619181</vt:i4>
      </vt:variant>
      <vt:variant>
        <vt:i4>582</vt:i4>
      </vt:variant>
      <vt:variant>
        <vt:i4>0</vt:i4>
      </vt:variant>
      <vt:variant>
        <vt:i4>5</vt:i4>
      </vt:variant>
      <vt:variant>
        <vt:lpwstr>https://www.land.vic.gov.au/surveying/services/survey-marks-enquiry-service</vt:lpwstr>
      </vt:variant>
      <vt:variant>
        <vt:lpwstr/>
      </vt:variant>
      <vt:variant>
        <vt:i4>5439565</vt:i4>
      </vt:variant>
      <vt:variant>
        <vt:i4>579</vt:i4>
      </vt:variant>
      <vt:variant>
        <vt:i4>0</vt:i4>
      </vt:variant>
      <vt:variant>
        <vt:i4>5</vt:i4>
      </vt:variant>
      <vt:variant>
        <vt:lpwstr>www.surveyorsboard.vic.gov.au</vt:lpwstr>
      </vt:variant>
      <vt:variant>
        <vt:lpwstr/>
      </vt:variant>
      <vt:variant>
        <vt:i4>7209002</vt:i4>
      </vt:variant>
      <vt:variant>
        <vt:i4>576</vt:i4>
      </vt:variant>
      <vt:variant>
        <vt:i4>0</vt:i4>
      </vt:variant>
      <vt:variant>
        <vt:i4>5</vt:i4>
      </vt:variant>
      <vt:variant>
        <vt:lpwstr>http://www.surveyorsboard.vic.gov.au/content/91/surveypracticehandbook.aspx</vt:lpwstr>
      </vt:variant>
      <vt:variant>
        <vt:lpwstr/>
      </vt:variant>
      <vt:variant>
        <vt:i4>3539040</vt:i4>
      </vt:variant>
      <vt:variant>
        <vt:i4>573</vt:i4>
      </vt:variant>
      <vt:variant>
        <vt:i4>0</vt:i4>
      </vt:variant>
      <vt:variant>
        <vt:i4>5</vt:i4>
      </vt:variant>
      <vt:variant>
        <vt:lpwstr>http://www.icsm.gov.au/publications</vt:lpwstr>
      </vt:variant>
      <vt:variant>
        <vt:lpwstr/>
      </vt:variant>
      <vt:variant>
        <vt:i4>6488105</vt:i4>
      </vt:variant>
      <vt:variant>
        <vt:i4>570</vt:i4>
      </vt:variant>
      <vt:variant>
        <vt:i4>0</vt:i4>
      </vt:variant>
      <vt:variant>
        <vt:i4>5</vt:i4>
      </vt:variant>
      <vt:variant>
        <vt:lpwstr>https://www.icsm.gov.au/publications/guideline-control-surveys-gnss-v22</vt:lpwstr>
      </vt:variant>
      <vt:variant>
        <vt:lpwstr/>
      </vt:variant>
      <vt:variant>
        <vt:i4>2752556</vt:i4>
      </vt:variant>
      <vt:variant>
        <vt:i4>567</vt:i4>
      </vt:variant>
      <vt:variant>
        <vt:i4>0</vt:i4>
      </vt:variant>
      <vt:variant>
        <vt:i4>5</vt:i4>
      </vt:variant>
      <vt:variant>
        <vt:lpwstr>https://www.icsm.gov.au/publications/standard-australian-survey-control-network-v22</vt:lpwstr>
      </vt:variant>
      <vt:variant>
        <vt:lpwstr/>
      </vt:variant>
      <vt:variant>
        <vt:i4>3014740</vt:i4>
      </vt:variant>
      <vt:variant>
        <vt:i4>564</vt:i4>
      </vt:variant>
      <vt:variant>
        <vt:i4>0</vt:i4>
      </vt:variant>
      <vt:variant>
        <vt:i4>5</vt:i4>
      </vt:variant>
      <vt:variant>
        <vt:lpwstr>mailto:smes.support@transport.vic.gov.au</vt:lpwstr>
      </vt:variant>
      <vt:variant>
        <vt:lpwstr/>
      </vt:variant>
      <vt:variant>
        <vt:i4>2687032</vt:i4>
      </vt:variant>
      <vt:variant>
        <vt:i4>561</vt:i4>
      </vt:variant>
      <vt:variant>
        <vt:i4>0</vt:i4>
      </vt:variant>
      <vt:variant>
        <vt:i4>5</vt:i4>
      </vt:variant>
      <vt:variant>
        <vt:lpwstr>https://www.land.vic.gov.au/surveying/services/positioning</vt:lpwstr>
      </vt:variant>
      <vt:variant>
        <vt:lpwstr/>
      </vt:variant>
      <vt:variant>
        <vt:i4>3866740</vt:i4>
      </vt:variant>
      <vt:variant>
        <vt:i4>558</vt:i4>
      </vt:variant>
      <vt:variant>
        <vt:i4>0</vt:i4>
      </vt:variant>
      <vt:variant>
        <vt:i4>5</vt:i4>
      </vt:variant>
      <vt:variant>
        <vt:lpwstr>http://gnss.vicpos.com.au/</vt:lpwstr>
      </vt:variant>
      <vt:variant>
        <vt:lpwstr/>
      </vt:variant>
      <vt:variant>
        <vt:i4>6619181</vt:i4>
      </vt:variant>
      <vt:variant>
        <vt:i4>555</vt:i4>
      </vt:variant>
      <vt:variant>
        <vt:i4>0</vt:i4>
      </vt:variant>
      <vt:variant>
        <vt:i4>5</vt:i4>
      </vt:variant>
      <vt:variant>
        <vt:lpwstr>https://www.land.vic.gov.au/surveying/services/survey-marks-enquiry-service</vt:lpwstr>
      </vt:variant>
      <vt:variant>
        <vt:lpwstr/>
      </vt:variant>
      <vt:variant>
        <vt:i4>1310748</vt:i4>
      </vt:variant>
      <vt:variant>
        <vt:i4>552</vt:i4>
      </vt:variant>
      <vt:variant>
        <vt:i4>0</vt:i4>
      </vt:variant>
      <vt:variant>
        <vt:i4>5</vt:i4>
      </vt:variant>
      <vt:variant>
        <vt:lpwstr>https://maps.land.vic.gov.au/lassi/SmesUI.jsp</vt:lpwstr>
      </vt:variant>
      <vt:variant>
        <vt:lpwstr/>
      </vt:variant>
      <vt:variant>
        <vt:i4>1245274</vt:i4>
      </vt:variant>
      <vt:variant>
        <vt:i4>549</vt:i4>
      </vt:variant>
      <vt:variant>
        <vt:i4>0</vt:i4>
      </vt:variant>
      <vt:variant>
        <vt:i4>5</vt:i4>
      </vt:variant>
      <vt:variant>
        <vt:lpwstr>http://www.surveyorsboard.vic.gov.au/</vt:lpwstr>
      </vt:variant>
      <vt:variant>
        <vt:lpwstr/>
      </vt:variant>
      <vt:variant>
        <vt:i4>7209002</vt:i4>
      </vt:variant>
      <vt:variant>
        <vt:i4>546</vt:i4>
      </vt:variant>
      <vt:variant>
        <vt:i4>0</vt:i4>
      </vt:variant>
      <vt:variant>
        <vt:i4>5</vt:i4>
      </vt:variant>
      <vt:variant>
        <vt:lpwstr>http://www.surveyorsboard.vic.gov.au/content/91/surveypracticehandbook.aspx</vt:lpwstr>
      </vt:variant>
      <vt:variant>
        <vt:lpwstr/>
      </vt:variant>
      <vt:variant>
        <vt:i4>7471154</vt:i4>
      </vt:variant>
      <vt:variant>
        <vt:i4>543</vt:i4>
      </vt:variant>
      <vt:variant>
        <vt:i4>0</vt:i4>
      </vt:variant>
      <vt:variant>
        <vt:i4>5</vt:i4>
      </vt:variant>
      <vt:variant>
        <vt:lpwstr>https://www.land.vic.gov.au/surveying/cadastral-survey/survey-audit-program</vt:lpwstr>
      </vt:variant>
      <vt:variant>
        <vt:lpwstr/>
      </vt:variant>
      <vt:variant>
        <vt:i4>7471154</vt:i4>
      </vt:variant>
      <vt:variant>
        <vt:i4>540</vt:i4>
      </vt:variant>
      <vt:variant>
        <vt:i4>0</vt:i4>
      </vt:variant>
      <vt:variant>
        <vt:i4>5</vt:i4>
      </vt:variant>
      <vt:variant>
        <vt:lpwstr>https://www.land.vic.gov.au/surveying/cadastral-survey/survey-audit-program</vt:lpwstr>
      </vt:variant>
      <vt:variant>
        <vt:lpwstr/>
      </vt:variant>
      <vt:variant>
        <vt:i4>8323190</vt:i4>
      </vt:variant>
      <vt:variant>
        <vt:i4>537</vt:i4>
      </vt:variant>
      <vt:variant>
        <vt:i4>0</vt:i4>
      </vt:variant>
      <vt:variant>
        <vt:i4>5</vt:i4>
      </vt:variant>
      <vt:variant>
        <vt:lpwstr>http://www.legislation.vic.gov.au/</vt:lpwstr>
      </vt:variant>
      <vt:variant>
        <vt:lpwstr/>
      </vt:variant>
      <vt:variant>
        <vt:i4>1048635</vt:i4>
      </vt:variant>
      <vt:variant>
        <vt:i4>530</vt:i4>
      </vt:variant>
      <vt:variant>
        <vt:i4>0</vt:i4>
      </vt:variant>
      <vt:variant>
        <vt:i4>5</vt:i4>
      </vt:variant>
      <vt:variant>
        <vt:lpwstr/>
      </vt:variant>
      <vt:variant>
        <vt:lpwstr>_Toc215483413</vt:lpwstr>
      </vt:variant>
      <vt:variant>
        <vt:i4>1048635</vt:i4>
      </vt:variant>
      <vt:variant>
        <vt:i4>524</vt:i4>
      </vt:variant>
      <vt:variant>
        <vt:i4>0</vt:i4>
      </vt:variant>
      <vt:variant>
        <vt:i4>5</vt:i4>
      </vt:variant>
      <vt:variant>
        <vt:lpwstr/>
      </vt:variant>
      <vt:variant>
        <vt:lpwstr>_Toc215483412</vt:lpwstr>
      </vt:variant>
      <vt:variant>
        <vt:i4>1048635</vt:i4>
      </vt:variant>
      <vt:variant>
        <vt:i4>518</vt:i4>
      </vt:variant>
      <vt:variant>
        <vt:i4>0</vt:i4>
      </vt:variant>
      <vt:variant>
        <vt:i4>5</vt:i4>
      </vt:variant>
      <vt:variant>
        <vt:lpwstr/>
      </vt:variant>
      <vt:variant>
        <vt:lpwstr>_Toc215483411</vt:lpwstr>
      </vt:variant>
      <vt:variant>
        <vt:i4>1048635</vt:i4>
      </vt:variant>
      <vt:variant>
        <vt:i4>512</vt:i4>
      </vt:variant>
      <vt:variant>
        <vt:i4>0</vt:i4>
      </vt:variant>
      <vt:variant>
        <vt:i4>5</vt:i4>
      </vt:variant>
      <vt:variant>
        <vt:lpwstr/>
      </vt:variant>
      <vt:variant>
        <vt:lpwstr>_Toc215483410</vt:lpwstr>
      </vt:variant>
      <vt:variant>
        <vt:i4>1114171</vt:i4>
      </vt:variant>
      <vt:variant>
        <vt:i4>506</vt:i4>
      </vt:variant>
      <vt:variant>
        <vt:i4>0</vt:i4>
      </vt:variant>
      <vt:variant>
        <vt:i4>5</vt:i4>
      </vt:variant>
      <vt:variant>
        <vt:lpwstr/>
      </vt:variant>
      <vt:variant>
        <vt:lpwstr>_Toc215483409</vt:lpwstr>
      </vt:variant>
      <vt:variant>
        <vt:i4>1114171</vt:i4>
      </vt:variant>
      <vt:variant>
        <vt:i4>500</vt:i4>
      </vt:variant>
      <vt:variant>
        <vt:i4>0</vt:i4>
      </vt:variant>
      <vt:variant>
        <vt:i4>5</vt:i4>
      </vt:variant>
      <vt:variant>
        <vt:lpwstr/>
      </vt:variant>
      <vt:variant>
        <vt:lpwstr>_Toc215483408</vt:lpwstr>
      </vt:variant>
      <vt:variant>
        <vt:i4>1114171</vt:i4>
      </vt:variant>
      <vt:variant>
        <vt:i4>494</vt:i4>
      </vt:variant>
      <vt:variant>
        <vt:i4>0</vt:i4>
      </vt:variant>
      <vt:variant>
        <vt:i4>5</vt:i4>
      </vt:variant>
      <vt:variant>
        <vt:lpwstr/>
      </vt:variant>
      <vt:variant>
        <vt:lpwstr>_Toc215483407</vt:lpwstr>
      </vt:variant>
      <vt:variant>
        <vt:i4>1114171</vt:i4>
      </vt:variant>
      <vt:variant>
        <vt:i4>488</vt:i4>
      </vt:variant>
      <vt:variant>
        <vt:i4>0</vt:i4>
      </vt:variant>
      <vt:variant>
        <vt:i4>5</vt:i4>
      </vt:variant>
      <vt:variant>
        <vt:lpwstr/>
      </vt:variant>
      <vt:variant>
        <vt:lpwstr>_Toc215483406</vt:lpwstr>
      </vt:variant>
      <vt:variant>
        <vt:i4>1114171</vt:i4>
      </vt:variant>
      <vt:variant>
        <vt:i4>482</vt:i4>
      </vt:variant>
      <vt:variant>
        <vt:i4>0</vt:i4>
      </vt:variant>
      <vt:variant>
        <vt:i4>5</vt:i4>
      </vt:variant>
      <vt:variant>
        <vt:lpwstr/>
      </vt:variant>
      <vt:variant>
        <vt:lpwstr>_Toc215483405</vt:lpwstr>
      </vt:variant>
      <vt:variant>
        <vt:i4>1114171</vt:i4>
      </vt:variant>
      <vt:variant>
        <vt:i4>476</vt:i4>
      </vt:variant>
      <vt:variant>
        <vt:i4>0</vt:i4>
      </vt:variant>
      <vt:variant>
        <vt:i4>5</vt:i4>
      </vt:variant>
      <vt:variant>
        <vt:lpwstr/>
      </vt:variant>
      <vt:variant>
        <vt:lpwstr>_Toc215483404</vt:lpwstr>
      </vt:variant>
      <vt:variant>
        <vt:i4>1114171</vt:i4>
      </vt:variant>
      <vt:variant>
        <vt:i4>470</vt:i4>
      </vt:variant>
      <vt:variant>
        <vt:i4>0</vt:i4>
      </vt:variant>
      <vt:variant>
        <vt:i4>5</vt:i4>
      </vt:variant>
      <vt:variant>
        <vt:lpwstr/>
      </vt:variant>
      <vt:variant>
        <vt:lpwstr>_Toc215483403</vt:lpwstr>
      </vt:variant>
      <vt:variant>
        <vt:i4>1114171</vt:i4>
      </vt:variant>
      <vt:variant>
        <vt:i4>464</vt:i4>
      </vt:variant>
      <vt:variant>
        <vt:i4>0</vt:i4>
      </vt:variant>
      <vt:variant>
        <vt:i4>5</vt:i4>
      </vt:variant>
      <vt:variant>
        <vt:lpwstr/>
      </vt:variant>
      <vt:variant>
        <vt:lpwstr>_Toc215483402</vt:lpwstr>
      </vt:variant>
      <vt:variant>
        <vt:i4>1114171</vt:i4>
      </vt:variant>
      <vt:variant>
        <vt:i4>458</vt:i4>
      </vt:variant>
      <vt:variant>
        <vt:i4>0</vt:i4>
      </vt:variant>
      <vt:variant>
        <vt:i4>5</vt:i4>
      </vt:variant>
      <vt:variant>
        <vt:lpwstr/>
      </vt:variant>
      <vt:variant>
        <vt:lpwstr>_Toc215483401</vt:lpwstr>
      </vt:variant>
      <vt:variant>
        <vt:i4>1114171</vt:i4>
      </vt:variant>
      <vt:variant>
        <vt:i4>452</vt:i4>
      </vt:variant>
      <vt:variant>
        <vt:i4>0</vt:i4>
      </vt:variant>
      <vt:variant>
        <vt:i4>5</vt:i4>
      </vt:variant>
      <vt:variant>
        <vt:lpwstr/>
      </vt:variant>
      <vt:variant>
        <vt:lpwstr>_Toc215483400</vt:lpwstr>
      </vt:variant>
      <vt:variant>
        <vt:i4>1572924</vt:i4>
      </vt:variant>
      <vt:variant>
        <vt:i4>446</vt:i4>
      </vt:variant>
      <vt:variant>
        <vt:i4>0</vt:i4>
      </vt:variant>
      <vt:variant>
        <vt:i4>5</vt:i4>
      </vt:variant>
      <vt:variant>
        <vt:lpwstr/>
      </vt:variant>
      <vt:variant>
        <vt:lpwstr>_Toc215483399</vt:lpwstr>
      </vt:variant>
      <vt:variant>
        <vt:i4>1572924</vt:i4>
      </vt:variant>
      <vt:variant>
        <vt:i4>440</vt:i4>
      </vt:variant>
      <vt:variant>
        <vt:i4>0</vt:i4>
      </vt:variant>
      <vt:variant>
        <vt:i4>5</vt:i4>
      </vt:variant>
      <vt:variant>
        <vt:lpwstr/>
      </vt:variant>
      <vt:variant>
        <vt:lpwstr>_Toc215483398</vt:lpwstr>
      </vt:variant>
      <vt:variant>
        <vt:i4>1572924</vt:i4>
      </vt:variant>
      <vt:variant>
        <vt:i4>434</vt:i4>
      </vt:variant>
      <vt:variant>
        <vt:i4>0</vt:i4>
      </vt:variant>
      <vt:variant>
        <vt:i4>5</vt:i4>
      </vt:variant>
      <vt:variant>
        <vt:lpwstr/>
      </vt:variant>
      <vt:variant>
        <vt:lpwstr>_Toc215483397</vt:lpwstr>
      </vt:variant>
      <vt:variant>
        <vt:i4>1572924</vt:i4>
      </vt:variant>
      <vt:variant>
        <vt:i4>428</vt:i4>
      </vt:variant>
      <vt:variant>
        <vt:i4>0</vt:i4>
      </vt:variant>
      <vt:variant>
        <vt:i4>5</vt:i4>
      </vt:variant>
      <vt:variant>
        <vt:lpwstr/>
      </vt:variant>
      <vt:variant>
        <vt:lpwstr>_Toc215483396</vt:lpwstr>
      </vt:variant>
      <vt:variant>
        <vt:i4>1572924</vt:i4>
      </vt:variant>
      <vt:variant>
        <vt:i4>422</vt:i4>
      </vt:variant>
      <vt:variant>
        <vt:i4>0</vt:i4>
      </vt:variant>
      <vt:variant>
        <vt:i4>5</vt:i4>
      </vt:variant>
      <vt:variant>
        <vt:lpwstr/>
      </vt:variant>
      <vt:variant>
        <vt:lpwstr>_Toc215483395</vt:lpwstr>
      </vt:variant>
      <vt:variant>
        <vt:i4>1572924</vt:i4>
      </vt:variant>
      <vt:variant>
        <vt:i4>416</vt:i4>
      </vt:variant>
      <vt:variant>
        <vt:i4>0</vt:i4>
      </vt:variant>
      <vt:variant>
        <vt:i4>5</vt:i4>
      </vt:variant>
      <vt:variant>
        <vt:lpwstr/>
      </vt:variant>
      <vt:variant>
        <vt:lpwstr>_Toc215483394</vt:lpwstr>
      </vt:variant>
      <vt:variant>
        <vt:i4>1572924</vt:i4>
      </vt:variant>
      <vt:variant>
        <vt:i4>410</vt:i4>
      </vt:variant>
      <vt:variant>
        <vt:i4>0</vt:i4>
      </vt:variant>
      <vt:variant>
        <vt:i4>5</vt:i4>
      </vt:variant>
      <vt:variant>
        <vt:lpwstr/>
      </vt:variant>
      <vt:variant>
        <vt:lpwstr>_Toc215483393</vt:lpwstr>
      </vt:variant>
      <vt:variant>
        <vt:i4>1572924</vt:i4>
      </vt:variant>
      <vt:variant>
        <vt:i4>404</vt:i4>
      </vt:variant>
      <vt:variant>
        <vt:i4>0</vt:i4>
      </vt:variant>
      <vt:variant>
        <vt:i4>5</vt:i4>
      </vt:variant>
      <vt:variant>
        <vt:lpwstr/>
      </vt:variant>
      <vt:variant>
        <vt:lpwstr>_Toc215483392</vt:lpwstr>
      </vt:variant>
      <vt:variant>
        <vt:i4>1572924</vt:i4>
      </vt:variant>
      <vt:variant>
        <vt:i4>398</vt:i4>
      </vt:variant>
      <vt:variant>
        <vt:i4>0</vt:i4>
      </vt:variant>
      <vt:variant>
        <vt:i4>5</vt:i4>
      </vt:variant>
      <vt:variant>
        <vt:lpwstr/>
      </vt:variant>
      <vt:variant>
        <vt:lpwstr>_Toc215483391</vt:lpwstr>
      </vt:variant>
      <vt:variant>
        <vt:i4>1572924</vt:i4>
      </vt:variant>
      <vt:variant>
        <vt:i4>392</vt:i4>
      </vt:variant>
      <vt:variant>
        <vt:i4>0</vt:i4>
      </vt:variant>
      <vt:variant>
        <vt:i4>5</vt:i4>
      </vt:variant>
      <vt:variant>
        <vt:lpwstr/>
      </vt:variant>
      <vt:variant>
        <vt:lpwstr>_Toc215483390</vt:lpwstr>
      </vt:variant>
      <vt:variant>
        <vt:i4>1638460</vt:i4>
      </vt:variant>
      <vt:variant>
        <vt:i4>386</vt:i4>
      </vt:variant>
      <vt:variant>
        <vt:i4>0</vt:i4>
      </vt:variant>
      <vt:variant>
        <vt:i4>5</vt:i4>
      </vt:variant>
      <vt:variant>
        <vt:lpwstr/>
      </vt:variant>
      <vt:variant>
        <vt:lpwstr>_Toc215483389</vt:lpwstr>
      </vt:variant>
      <vt:variant>
        <vt:i4>1638460</vt:i4>
      </vt:variant>
      <vt:variant>
        <vt:i4>380</vt:i4>
      </vt:variant>
      <vt:variant>
        <vt:i4>0</vt:i4>
      </vt:variant>
      <vt:variant>
        <vt:i4>5</vt:i4>
      </vt:variant>
      <vt:variant>
        <vt:lpwstr/>
      </vt:variant>
      <vt:variant>
        <vt:lpwstr>_Toc215483388</vt:lpwstr>
      </vt:variant>
      <vt:variant>
        <vt:i4>1638460</vt:i4>
      </vt:variant>
      <vt:variant>
        <vt:i4>374</vt:i4>
      </vt:variant>
      <vt:variant>
        <vt:i4>0</vt:i4>
      </vt:variant>
      <vt:variant>
        <vt:i4>5</vt:i4>
      </vt:variant>
      <vt:variant>
        <vt:lpwstr/>
      </vt:variant>
      <vt:variant>
        <vt:lpwstr>_Toc215483387</vt:lpwstr>
      </vt:variant>
      <vt:variant>
        <vt:i4>1638460</vt:i4>
      </vt:variant>
      <vt:variant>
        <vt:i4>368</vt:i4>
      </vt:variant>
      <vt:variant>
        <vt:i4>0</vt:i4>
      </vt:variant>
      <vt:variant>
        <vt:i4>5</vt:i4>
      </vt:variant>
      <vt:variant>
        <vt:lpwstr/>
      </vt:variant>
      <vt:variant>
        <vt:lpwstr>_Toc215483386</vt:lpwstr>
      </vt:variant>
      <vt:variant>
        <vt:i4>1638460</vt:i4>
      </vt:variant>
      <vt:variant>
        <vt:i4>362</vt:i4>
      </vt:variant>
      <vt:variant>
        <vt:i4>0</vt:i4>
      </vt:variant>
      <vt:variant>
        <vt:i4>5</vt:i4>
      </vt:variant>
      <vt:variant>
        <vt:lpwstr/>
      </vt:variant>
      <vt:variant>
        <vt:lpwstr>_Toc215483385</vt:lpwstr>
      </vt:variant>
      <vt:variant>
        <vt:i4>1638460</vt:i4>
      </vt:variant>
      <vt:variant>
        <vt:i4>356</vt:i4>
      </vt:variant>
      <vt:variant>
        <vt:i4>0</vt:i4>
      </vt:variant>
      <vt:variant>
        <vt:i4>5</vt:i4>
      </vt:variant>
      <vt:variant>
        <vt:lpwstr/>
      </vt:variant>
      <vt:variant>
        <vt:lpwstr>_Toc215483384</vt:lpwstr>
      </vt:variant>
      <vt:variant>
        <vt:i4>1638460</vt:i4>
      </vt:variant>
      <vt:variant>
        <vt:i4>350</vt:i4>
      </vt:variant>
      <vt:variant>
        <vt:i4>0</vt:i4>
      </vt:variant>
      <vt:variant>
        <vt:i4>5</vt:i4>
      </vt:variant>
      <vt:variant>
        <vt:lpwstr/>
      </vt:variant>
      <vt:variant>
        <vt:lpwstr>_Toc215483383</vt:lpwstr>
      </vt:variant>
      <vt:variant>
        <vt:i4>1638460</vt:i4>
      </vt:variant>
      <vt:variant>
        <vt:i4>344</vt:i4>
      </vt:variant>
      <vt:variant>
        <vt:i4>0</vt:i4>
      </vt:variant>
      <vt:variant>
        <vt:i4>5</vt:i4>
      </vt:variant>
      <vt:variant>
        <vt:lpwstr/>
      </vt:variant>
      <vt:variant>
        <vt:lpwstr>_Toc215483382</vt:lpwstr>
      </vt:variant>
      <vt:variant>
        <vt:i4>1638460</vt:i4>
      </vt:variant>
      <vt:variant>
        <vt:i4>338</vt:i4>
      </vt:variant>
      <vt:variant>
        <vt:i4>0</vt:i4>
      </vt:variant>
      <vt:variant>
        <vt:i4>5</vt:i4>
      </vt:variant>
      <vt:variant>
        <vt:lpwstr/>
      </vt:variant>
      <vt:variant>
        <vt:lpwstr>_Toc215483381</vt:lpwstr>
      </vt:variant>
      <vt:variant>
        <vt:i4>1638460</vt:i4>
      </vt:variant>
      <vt:variant>
        <vt:i4>332</vt:i4>
      </vt:variant>
      <vt:variant>
        <vt:i4>0</vt:i4>
      </vt:variant>
      <vt:variant>
        <vt:i4>5</vt:i4>
      </vt:variant>
      <vt:variant>
        <vt:lpwstr/>
      </vt:variant>
      <vt:variant>
        <vt:lpwstr>_Toc215483380</vt:lpwstr>
      </vt:variant>
      <vt:variant>
        <vt:i4>1441852</vt:i4>
      </vt:variant>
      <vt:variant>
        <vt:i4>326</vt:i4>
      </vt:variant>
      <vt:variant>
        <vt:i4>0</vt:i4>
      </vt:variant>
      <vt:variant>
        <vt:i4>5</vt:i4>
      </vt:variant>
      <vt:variant>
        <vt:lpwstr/>
      </vt:variant>
      <vt:variant>
        <vt:lpwstr>_Toc215483379</vt:lpwstr>
      </vt:variant>
      <vt:variant>
        <vt:i4>1441852</vt:i4>
      </vt:variant>
      <vt:variant>
        <vt:i4>320</vt:i4>
      </vt:variant>
      <vt:variant>
        <vt:i4>0</vt:i4>
      </vt:variant>
      <vt:variant>
        <vt:i4>5</vt:i4>
      </vt:variant>
      <vt:variant>
        <vt:lpwstr/>
      </vt:variant>
      <vt:variant>
        <vt:lpwstr>_Toc215483378</vt:lpwstr>
      </vt:variant>
      <vt:variant>
        <vt:i4>1441852</vt:i4>
      </vt:variant>
      <vt:variant>
        <vt:i4>314</vt:i4>
      </vt:variant>
      <vt:variant>
        <vt:i4>0</vt:i4>
      </vt:variant>
      <vt:variant>
        <vt:i4>5</vt:i4>
      </vt:variant>
      <vt:variant>
        <vt:lpwstr/>
      </vt:variant>
      <vt:variant>
        <vt:lpwstr>_Toc215483377</vt:lpwstr>
      </vt:variant>
      <vt:variant>
        <vt:i4>1441852</vt:i4>
      </vt:variant>
      <vt:variant>
        <vt:i4>308</vt:i4>
      </vt:variant>
      <vt:variant>
        <vt:i4>0</vt:i4>
      </vt:variant>
      <vt:variant>
        <vt:i4>5</vt:i4>
      </vt:variant>
      <vt:variant>
        <vt:lpwstr/>
      </vt:variant>
      <vt:variant>
        <vt:lpwstr>_Toc215483376</vt:lpwstr>
      </vt:variant>
      <vt:variant>
        <vt:i4>1441852</vt:i4>
      </vt:variant>
      <vt:variant>
        <vt:i4>302</vt:i4>
      </vt:variant>
      <vt:variant>
        <vt:i4>0</vt:i4>
      </vt:variant>
      <vt:variant>
        <vt:i4>5</vt:i4>
      </vt:variant>
      <vt:variant>
        <vt:lpwstr/>
      </vt:variant>
      <vt:variant>
        <vt:lpwstr>_Toc215483375</vt:lpwstr>
      </vt:variant>
      <vt:variant>
        <vt:i4>1441852</vt:i4>
      </vt:variant>
      <vt:variant>
        <vt:i4>296</vt:i4>
      </vt:variant>
      <vt:variant>
        <vt:i4>0</vt:i4>
      </vt:variant>
      <vt:variant>
        <vt:i4>5</vt:i4>
      </vt:variant>
      <vt:variant>
        <vt:lpwstr/>
      </vt:variant>
      <vt:variant>
        <vt:lpwstr>_Toc215483374</vt:lpwstr>
      </vt:variant>
      <vt:variant>
        <vt:i4>1441852</vt:i4>
      </vt:variant>
      <vt:variant>
        <vt:i4>290</vt:i4>
      </vt:variant>
      <vt:variant>
        <vt:i4>0</vt:i4>
      </vt:variant>
      <vt:variant>
        <vt:i4>5</vt:i4>
      </vt:variant>
      <vt:variant>
        <vt:lpwstr/>
      </vt:variant>
      <vt:variant>
        <vt:lpwstr>_Toc215483373</vt:lpwstr>
      </vt:variant>
      <vt:variant>
        <vt:i4>1441852</vt:i4>
      </vt:variant>
      <vt:variant>
        <vt:i4>284</vt:i4>
      </vt:variant>
      <vt:variant>
        <vt:i4>0</vt:i4>
      </vt:variant>
      <vt:variant>
        <vt:i4>5</vt:i4>
      </vt:variant>
      <vt:variant>
        <vt:lpwstr/>
      </vt:variant>
      <vt:variant>
        <vt:lpwstr>_Toc215483372</vt:lpwstr>
      </vt:variant>
      <vt:variant>
        <vt:i4>1441852</vt:i4>
      </vt:variant>
      <vt:variant>
        <vt:i4>278</vt:i4>
      </vt:variant>
      <vt:variant>
        <vt:i4>0</vt:i4>
      </vt:variant>
      <vt:variant>
        <vt:i4>5</vt:i4>
      </vt:variant>
      <vt:variant>
        <vt:lpwstr/>
      </vt:variant>
      <vt:variant>
        <vt:lpwstr>_Toc215483371</vt:lpwstr>
      </vt:variant>
      <vt:variant>
        <vt:i4>1441852</vt:i4>
      </vt:variant>
      <vt:variant>
        <vt:i4>272</vt:i4>
      </vt:variant>
      <vt:variant>
        <vt:i4>0</vt:i4>
      </vt:variant>
      <vt:variant>
        <vt:i4>5</vt:i4>
      </vt:variant>
      <vt:variant>
        <vt:lpwstr/>
      </vt:variant>
      <vt:variant>
        <vt:lpwstr>_Toc215483370</vt:lpwstr>
      </vt:variant>
      <vt:variant>
        <vt:i4>1507388</vt:i4>
      </vt:variant>
      <vt:variant>
        <vt:i4>266</vt:i4>
      </vt:variant>
      <vt:variant>
        <vt:i4>0</vt:i4>
      </vt:variant>
      <vt:variant>
        <vt:i4>5</vt:i4>
      </vt:variant>
      <vt:variant>
        <vt:lpwstr/>
      </vt:variant>
      <vt:variant>
        <vt:lpwstr>_Toc215483369</vt:lpwstr>
      </vt:variant>
      <vt:variant>
        <vt:i4>1507388</vt:i4>
      </vt:variant>
      <vt:variant>
        <vt:i4>260</vt:i4>
      </vt:variant>
      <vt:variant>
        <vt:i4>0</vt:i4>
      </vt:variant>
      <vt:variant>
        <vt:i4>5</vt:i4>
      </vt:variant>
      <vt:variant>
        <vt:lpwstr/>
      </vt:variant>
      <vt:variant>
        <vt:lpwstr>_Toc215483368</vt:lpwstr>
      </vt:variant>
      <vt:variant>
        <vt:i4>1507388</vt:i4>
      </vt:variant>
      <vt:variant>
        <vt:i4>254</vt:i4>
      </vt:variant>
      <vt:variant>
        <vt:i4>0</vt:i4>
      </vt:variant>
      <vt:variant>
        <vt:i4>5</vt:i4>
      </vt:variant>
      <vt:variant>
        <vt:lpwstr/>
      </vt:variant>
      <vt:variant>
        <vt:lpwstr>_Toc215483367</vt:lpwstr>
      </vt:variant>
      <vt:variant>
        <vt:i4>1507388</vt:i4>
      </vt:variant>
      <vt:variant>
        <vt:i4>248</vt:i4>
      </vt:variant>
      <vt:variant>
        <vt:i4>0</vt:i4>
      </vt:variant>
      <vt:variant>
        <vt:i4>5</vt:i4>
      </vt:variant>
      <vt:variant>
        <vt:lpwstr/>
      </vt:variant>
      <vt:variant>
        <vt:lpwstr>_Toc215483366</vt:lpwstr>
      </vt:variant>
      <vt:variant>
        <vt:i4>1507388</vt:i4>
      </vt:variant>
      <vt:variant>
        <vt:i4>242</vt:i4>
      </vt:variant>
      <vt:variant>
        <vt:i4>0</vt:i4>
      </vt:variant>
      <vt:variant>
        <vt:i4>5</vt:i4>
      </vt:variant>
      <vt:variant>
        <vt:lpwstr/>
      </vt:variant>
      <vt:variant>
        <vt:lpwstr>_Toc215483365</vt:lpwstr>
      </vt:variant>
      <vt:variant>
        <vt:i4>1507388</vt:i4>
      </vt:variant>
      <vt:variant>
        <vt:i4>236</vt:i4>
      </vt:variant>
      <vt:variant>
        <vt:i4>0</vt:i4>
      </vt:variant>
      <vt:variant>
        <vt:i4>5</vt:i4>
      </vt:variant>
      <vt:variant>
        <vt:lpwstr/>
      </vt:variant>
      <vt:variant>
        <vt:lpwstr>_Toc215483364</vt:lpwstr>
      </vt:variant>
      <vt:variant>
        <vt:i4>1507388</vt:i4>
      </vt:variant>
      <vt:variant>
        <vt:i4>230</vt:i4>
      </vt:variant>
      <vt:variant>
        <vt:i4>0</vt:i4>
      </vt:variant>
      <vt:variant>
        <vt:i4>5</vt:i4>
      </vt:variant>
      <vt:variant>
        <vt:lpwstr/>
      </vt:variant>
      <vt:variant>
        <vt:lpwstr>_Toc215483363</vt:lpwstr>
      </vt:variant>
      <vt:variant>
        <vt:i4>1507388</vt:i4>
      </vt:variant>
      <vt:variant>
        <vt:i4>224</vt:i4>
      </vt:variant>
      <vt:variant>
        <vt:i4>0</vt:i4>
      </vt:variant>
      <vt:variant>
        <vt:i4>5</vt:i4>
      </vt:variant>
      <vt:variant>
        <vt:lpwstr/>
      </vt:variant>
      <vt:variant>
        <vt:lpwstr>_Toc215483362</vt:lpwstr>
      </vt:variant>
      <vt:variant>
        <vt:i4>1507388</vt:i4>
      </vt:variant>
      <vt:variant>
        <vt:i4>218</vt:i4>
      </vt:variant>
      <vt:variant>
        <vt:i4>0</vt:i4>
      </vt:variant>
      <vt:variant>
        <vt:i4>5</vt:i4>
      </vt:variant>
      <vt:variant>
        <vt:lpwstr/>
      </vt:variant>
      <vt:variant>
        <vt:lpwstr>_Toc215483361</vt:lpwstr>
      </vt:variant>
      <vt:variant>
        <vt:i4>1507388</vt:i4>
      </vt:variant>
      <vt:variant>
        <vt:i4>212</vt:i4>
      </vt:variant>
      <vt:variant>
        <vt:i4>0</vt:i4>
      </vt:variant>
      <vt:variant>
        <vt:i4>5</vt:i4>
      </vt:variant>
      <vt:variant>
        <vt:lpwstr/>
      </vt:variant>
      <vt:variant>
        <vt:lpwstr>_Toc215483360</vt:lpwstr>
      </vt:variant>
      <vt:variant>
        <vt:i4>1310780</vt:i4>
      </vt:variant>
      <vt:variant>
        <vt:i4>206</vt:i4>
      </vt:variant>
      <vt:variant>
        <vt:i4>0</vt:i4>
      </vt:variant>
      <vt:variant>
        <vt:i4>5</vt:i4>
      </vt:variant>
      <vt:variant>
        <vt:lpwstr/>
      </vt:variant>
      <vt:variant>
        <vt:lpwstr>_Toc215483359</vt:lpwstr>
      </vt:variant>
      <vt:variant>
        <vt:i4>1310780</vt:i4>
      </vt:variant>
      <vt:variant>
        <vt:i4>200</vt:i4>
      </vt:variant>
      <vt:variant>
        <vt:i4>0</vt:i4>
      </vt:variant>
      <vt:variant>
        <vt:i4>5</vt:i4>
      </vt:variant>
      <vt:variant>
        <vt:lpwstr/>
      </vt:variant>
      <vt:variant>
        <vt:lpwstr>_Toc215483358</vt:lpwstr>
      </vt:variant>
      <vt:variant>
        <vt:i4>1310780</vt:i4>
      </vt:variant>
      <vt:variant>
        <vt:i4>194</vt:i4>
      </vt:variant>
      <vt:variant>
        <vt:i4>0</vt:i4>
      </vt:variant>
      <vt:variant>
        <vt:i4>5</vt:i4>
      </vt:variant>
      <vt:variant>
        <vt:lpwstr/>
      </vt:variant>
      <vt:variant>
        <vt:lpwstr>_Toc215483357</vt:lpwstr>
      </vt:variant>
      <vt:variant>
        <vt:i4>1310780</vt:i4>
      </vt:variant>
      <vt:variant>
        <vt:i4>188</vt:i4>
      </vt:variant>
      <vt:variant>
        <vt:i4>0</vt:i4>
      </vt:variant>
      <vt:variant>
        <vt:i4>5</vt:i4>
      </vt:variant>
      <vt:variant>
        <vt:lpwstr/>
      </vt:variant>
      <vt:variant>
        <vt:lpwstr>_Toc215483356</vt:lpwstr>
      </vt:variant>
      <vt:variant>
        <vt:i4>1310780</vt:i4>
      </vt:variant>
      <vt:variant>
        <vt:i4>182</vt:i4>
      </vt:variant>
      <vt:variant>
        <vt:i4>0</vt:i4>
      </vt:variant>
      <vt:variant>
        <vt:i4>5</vt:i4>
      </vt:variant>
      <vt:variant>
        <vt:lpwstr/>
      </vt:variant>
      <vt:variant>
        <vt:lpwstr>_Toc215483355</vt:lpwstr>
      </vt:variant>
      <vt:variant>
        <vt:i4>1310780</vt:i4>
      </vt:variant>
      <vt:variant>
        <vt:i4>176</vt:i4>
      </vt:variant>
      <vt:variant>
        <vt:i4>0</vt:i4>
      </vt:variant>
      <vt:variant>
        <vt:i4>5</vt:i4>
      </vt:variant>
      <vt:variant>
        <vt:lpwstr/>
      </vt:variant>
      <vt:variant>
        <vt:lpwstr>_Toc215483354</vt:lpwstr>
      </vt:variant>
      <vt:variant>
        <vt:i4>1310780</vt:i4>
      </vt:variant>
      <vt:variant>
        <vt:i4>170</vt:i4>
      </vt:variant>
      <vt:variant>
        <vt:i4>0</vt:i4>
      </vt:variant>
      <vt:variant>
        <vt:i4>5</vt:i4>
      </vt:variant>
      <vt:variant>
        <vt:lpwstr/>
      </vt:variant>
      <vt:variant>
        <vt:lpwstr>_Toc215483353</vt:lpwstr>
      </vt:variant>
      <vt:variant>
        <vt:i4>1310780</vt:i4>
      </vt:variant>
      <vt:variant>
        <vt:i4>164</vt:i4>
      </vt:variant>
      <vt:variant>
        <vt:i4>0</vt:i4>
      </vt:variant>
      <vt:variant>
        <vt:i4>5</vt:i4>
      </vt:variant>
      <vt:variant>
        <vt:lpwstr/>
      </vt:variant>
      <vt:variant>
        <vt:lpwstr>_Toc215483352</vt:lpwstr>
      </vt:variant>
      <vt:variant>
        <vt:i4>1310780</vt:i4>
      </vt:variant>
      <vt:variant>
        <vt:i4>158</vt:i4>
      </vt:variant>
      <vt:variant>
        <vt:i4>0</vt:i4>
      </vt:variant>
      <vt:variant>
        <vt:i4>5</vt:i4>
      </vt:variant>
      <vt:variant>
        <vt:lpwstr/>
      </vt:variant>
      <vt:variant>
        <vt:lpwstr>_Toc215483351</vt:lpwstr>
      </vt:variant>
      <vt:variant>
        <vt:i4>1310780</vt:i4>
      </vt:variant>
      <vt:variant>
        <vt:i4>152</vt:i4>
      </vt:variant>
      <vt:variant>
        <vt:i4>0</vt:i4>
      </vt:variant>
      <vt:variant>
        <vt:i4>5</vt:i4>
      </vt:variant>
      <vt:variant>
        <vt:lpwstr/>
      </vt:variant>
      <vt:variant>
        <vt:lpwstr>_Toc215483350</vt:lpwstr>
      </vt:variant>
      <vt:variant>
        <vt:i4>1376316</vt:i4>
      </vt:variant>
      <vt:variant>
        <vt:i4>146</vt:i4>
      </vt:variant>
      <vt:variant>
        <vt:i4>0</vt:i4>
      </vt:variant>
      <vt:variant>
        <vt:i4>5</vt:i4>
      </vt:variant>
      <vt:variant>
        <vt:lpwstr/>
      </vt:variant>
      <vt:variant>
        <vt:lpwstr>_Toc215483349</vt:lpwstr>
      </vt:variant>
      <vt:variant>
        <vt:i4>1376316</vt:i4>
      </vt:variant>
      <vt:variant>
        <vt:i4>140</vt:i4>
      </vt:variant>
      <vt:variant>
        <vt:i4>0</vt:i4>
      </vt:variant>
      <vt:variant>
        <vt:i4>5</vt:i4>
      </vt:variant>
      <vt:variant>
        <vt:lpwstr/>
      </vt:variant>
      <vt:variant>
        <vt:lpwstr>_Toc215483348</vt:lpwstr>
      </vt:variant>
      <vt:variant>
        <vt:i4>1376316</vt:i4>
      </vt:variant>
      <vt:variant>
        <vt:i4>134</vt:i4>
      </vt:variant>
      <vt:variant>
        <vt:i4>0</vt:i4>
      </vt:variant>
      <vt:variant>
        <vt:i4>5</vt:i4>
      </vt:variant>
      <vt:variant>
        <vt:lpwstr/>
      </vt:variant>
      <vt:variant>
        <vt:lpwstr>_Toc215483347</vt:lpwstr>
      </vt:variant>
      <vt:variant>
        <vt:i4>1376316</vt:i4>
      </vt:variant>
      <vt:variant>
        <vt:i4>128</vt:i4>
      </vt:variant>
      <vt:variant>
        <vt:i4>0</vt:i4>
      </vt:variant>
      <vt:variant>
        <vt:i4>5</vt:i4>
      </vt:variant>
      <vt:variant>
        <vt:lpwstr/>
      </vt:variant>
      <vt:variant>
        <vt:lpwstr>_Toc215483346</vt:lpwstr>
      </vt:variant>
      <vt:variant>
        <vt:i4>1376316</vt:i4>
      </vt:variant>
      <vt:variant>
        <vt:i4>122</vt:i4>
      </vt:variant>
      <vt:variant>
        <vt:i4>0</vt:i4>
      </vt:variant>
      <vt:variant>
        <vt:i4>5</vt:i4>
      </vt:variant>
      <vt:variant>
        <vt:lpwstr/>
      </vt:variant>
      <vt:variant>
        <vt:lpwstr>_Toc215483345</vt:lpwstr>
      </vt:variant>
      <vt:variant>
        <vt:i4>1376316</vt:i4>
      </vt:variant>
      <vt:variant>
        <vt:i4>116</vt:i4>
      </vt:variant>
      <vt:variant>
        <vt:i4>0</vt:i4>
      </vt:variant>
      <vt:variant>
        <vt:i4>5</vt:i4>
      </vt:variant>
      <vt:variant>
        <vt:lpwstr/>
      </vt:variant>
      <vt:variant>
        <vt:lpwstr>_Toc215483344</vt:lpwstr>
      </vt:variant>
      <vt:variant>
        <vt:i4>1376316</vt:i4>
      </vt:variant>
      <vt:variant>
        <vt:i4>110</vt:i4>
      </vt:variant>
      <vt:variant>
        <vt:i4>0</vt:i4>
      </vt:variant>
      <vt:variant>
        <vt:i4>5</vt:i4>
      </vt:variant>
      <vt:variant>
        <vt:lpwstr/>
      </vt:variant>
      <vt:variant>
        <vt:lpwstr>_Toc215483343</vt:lpwstr>
      </vt:variant>
      <vt:variant>
        <vt:i4>1376316</vt:i4>
      </vt:variant>
      <vt:variant>
        <vt:i4>104</vt:i4>
      </vt:variant>
      <vt:variant>
        <vt:i4>0</vt:i4>
      </vt:variant>
      <vt:variant>
        <vt:i4>5</vt:i4>
      </vt:variant>
      <vt:variant>
        <vt:lpwstr/>
      </vt:variant>
      <vt:variant>
        <vt:lpwstr>_Toc215483342</vt:lpwstr>
      </vt:variant>
      <vt:variant>
        <vt:i4>1376316</vt:i4>
      </vt:variant>
      <vt:variant>
        <vt:i4>98</vt:i4>
      </vt:variant>
      <vt:variant>
        <vt:i4>0</vt:i4>
      </vt:variant>
      <vt:variant>
        <vt:i4>5</vt:i4>
      </vt:variant>
      <vt:variant>
        <vt:lpwstr/>
      </vt:variant>
      <vt:variant>
        <vt:lpwstr>_Toc215483341</vt:lpwstr>
      </vt:variant>
      <vt:variant>
        <vt:i4>1376316</vt:i4>
      </vt:variant>
      <vt:variant>
        <vt:i4>92</vt:i4>
      </vt:variant>
      <vt:variant>
        <vt:i4>0</vt:i4>
      </vt:variant>
      <vt:variant>
        <vt:i4>5</vt:i4>
      </vt:variant>
      <vt:variant>
        <vt:lpwstr/>
      </vt:variant>
      <vt:variant>
        <vt:lpwstr>_Toc215483340</vt:lpwstr>
      </vt:variant>
      <vt:variant>
        <vt:i4>1179708</vt:i4>
      </vt:variant>
      <vt:variant>
        <vt:i4>86</vt:i4>
      </vt:variant>
      <vt:variant>
        <vt:i4>0</vt:i4>
      </vt:variant>
      <vt:variant>
        <vt:i4>5</vt:i4>
      </vt:variant>
      <vt:variant>
        <vt:lpwstr/>
      </vt:variant>
      <vt:variant>
        <vt:lpwstr>_Toc215483339</vt:lpwstr>
      </vt:variant>
      <vt:variant>
        <vt:i4>1179708</vt:i4>
      </vt:variant>
      <vt:variant>
        <vt:i4>80</vt:i4>
      </vt:variant>
      <vt:variant>
        <vt:i4>0</vt:i4>
      </vt:variant>
      <vt:variant>
        <vt:i4>5</vt:i4>
      </vt:variant>
      <vt:variant>
        <vt:lpwstr/>
      </vt:variant>
      <vt:variant>
        <vt:lpwstr>_Toc215483338</vt:lpwstr>
      </vt:variant>
      <vt:variant>
        <vt:i4>1179708</vt:i4>
      </vt:variant>
      <vt:variant>
        <vt:i4>74</vt:i4>
      </vt:variant>
      <vt:variant>
        <vt:i4>0</vt:i4>
      </vt:variant>
      <vt:variant>
        <vt:i4>5</vt:i4>
      </vt:variant>
      <vt:variant>
        <vt:lpwstr/>
      </vt:variant>
      <vt:variant>
        <vt:lpwstr>_Toc215483337</vt:lpwstr>
      </vt:variant>
      <vt:variant>
        <vt:i4>1179708</vt:i4>
      </vt:variant>
      <vt:variant>
        <vt:i4>68</vt:i4>
      </vt:variant>
      <vt:variant>
        <vt:i4>0</vt:i4>
      </vt:variant>
      <vt:variant>
        <vt:i4>5</vt:i4>
      </vt:variant>
      <vt:variant>
        <vt:lpwstr/>
      </vt:variant>
      <vt:variant>
        <vt:lpwstr>_Toc215483336</vt:lpwstr>
      </vt:variant>
      <vt:variant>
        <vt:i4>1179708</vt:i4>
      </vt:variant>
      <vt:variant>
        <vt:i4>62</vt:i4>
      </vt:variant>
      <vt:variant>
        <vt:i4>0</vt:i4>
      </vt:variant>
      <vt:variant>
        <vt:i4>5</vt:i4>
      </vt:variant>
      <vt:variant>
        <vt:lpwstr/>
      </vt:variant>
      <vt:variant>
        <vt:lpwstr>_Toc215483335</vt:lpwstr>
      </vt:variant>
      <vt:variant>
        <vt:i4>1179708</vt:i4>
      </vt:variant>
      <vt:variant>
        <vt:i4>56</vt:i4>
      </vt:variant>
      <vt:variant>
        <vt:i4>0</vt:i4>
      </vt:variant>
      <vt:variant>
        <vt:i4>5</vt:i4>
      </vt:variant>
      <vt:variant>
        <vt:lpwstr/>
      </vt:variant>
      <vt:variant>
        <vt:lpwstr>_Toc215483334</vt:lpwstr>
      </vt:variant>
      <vt:variant>
        <vt:i4>1179708</vt:i4>
      </vt:variant>
      <vt:variant>
        <vt:i4>50</vt:i4>
      </vt:variant>
      <vt:variant>
        <vt:i4>0</vt:i4>
      </vt:variant>
      <vt:variant>
        <vt:i4>5</vt:i4>
      </vt:variant>
      <vt:variant>
        <vt:lpwstr/>
      </vt:variant>
      <vt:variant>
        <vt:lpwstr>_Toc215483333</vt:lpwstr>
      </vt:variant>
      <vt:variant>
        <vt:i4>1179708</vt:i4>
      </vt:variant>
      <vt:variant>
        <vt:i4>44</vt:i4>
      </vt:variant>
      <vt:variant>
        <vt:i4>0</vt:i4>
      </vt:variant>
      <vt:variant>
        <vt:i4>5</vt:i4>
      </vt:variant>
      <vt:variant>
        <vt:lpwstr/>
      </vt:variant>
      <vt:variant>
        <vt:lpwstr>_Toc215483332</vt:lpwstr>
      </vt:variant>
      <vt:variant>
        <vt:i4>1179708</vt:i4>
      </vt:variant>
      <vt:variant>
        <vt:i4>38</vt:i4>
      </vt:variant>
      <vt:variant>
        <vt:i4>0</vt:i4>
      </vt:variant>
      <vt:variant>
        <vt:i4>5</vt:i4>
      </vt:variant>
      <vt:variant>
        <vt:lpwstr/>
      </vt:variant>
      <vt:variant>
        <vt:lpwstr>_Toc215483331</vt:lpwstr>
      </vt:variant>
      <vt:variant>
        <vt:i4>1179708</vt:i4>
      </vt:variant>
      <vt:variant>
        <vt:i4>32</vt:i4>
      </vt:variant>
      <vt:variant>
        <vt:i4>0</vt:i4>
      </vt:variant>
      <vt:variant>
        <vt:i4>5</vt:i4>
      </vt:variant>
      <vt:variant>
        <vt:lpwstr/>
      </vt:variant>
      <vt:variant>
        <vt:lpwstr>_Toc215483330</vt:lpwstr>
      </vt:variant>
      <vt:variant>
        <vt:i4>1245244</vt:i4>
      </vt:variant>
      <vt:variant>
        <vt:i4>26</vt:i4>
      </vt:variant>
      <vt:variant>
        <vt:i4>0</vt:i4>
      </vt:variant>
      <vt:variant>
        <vt:i4>5</vt:i4>
      </vt:variant>
      <vt:variant>
        <vt:lpwstr/>
      </vt:variant>
      <vt:variant>
        <vt:lpwstr>_Toc215483329</vt:lpwstr>
      </vt:variant>
      <vt:variant>
        <vt:i4>1245244</vt:i4>
      </vt:variant>
      <vt:variant>
        <vt:i4>20</vt:i4>
      </vt:variant>
      <vt:variant>
        <vt:i4>0</vt:i4>
      </vt:variant>
      <vt:variant>
        <vt:i4>5</vt:i4>
      </vt:variant>
      <vt:variant>
        <vt:lpwstr/>
      </vt:variant>
      <vt:variant>
        <vt:lpwstr>_Toc215483328</vt:lpwstr>
      </vt:variant>
      <vt:variant>
        <vt:i4>1245244</vt:i4>
      </vt:variant>
      <vt:variant>
        <vt:i4>14</vt:i4>
      </vt:variant>
      <vt:variant>
        <vt:i4>0</vt:i4>
      </vt:variant>
      <vt:variant>
        <vt:i4>5</vt:i4>
      </vt:variant>
      <vt:variant>
        <vt:lpwstr/>
      </vt:variant>
      <vt:variant>
        <vt:lpwstr>_Toc215483327</vt:lpwstr>
      </vt:variant>
      <vt:variant>
        <vt:i4>1245244</vt:i4>
      </vt:variant>
      <vt:variant>
        <vt:i4>8</vt:i4>
      </vt:variant>
      <vt:variant>
        <vt:i4>0</vt:i4>
      </vt:variant>
      <vt:variant>
        <vt:i4>5</vt:i4>
      </vt:variant>
      <vt:variant>
        <vt:lpwstr/>
      </vt:variant>
      <vt:variant>
        <vt:lpwstr>_Toc215483326</vt:lpwstr>
      </vt:variant>
      <vt:variant>
        <vt:i4>2621488</vt:i4>
      </vt:variant>
      <vt:variant>
        <vt:i4>3</vt:i4>
      </vt:variant>
      <vt:variant>
        <vt:i4>0</vt:i4>
      </vt:variant>
      <vt:variant>
        <vt:i4>5</vt:i4>
      </vt:variant>
      <vt:variant>
        <vt:lpwstr>https://www.land.vic.gov.au/surveying/cadastral-survey/practice-directives</vt:lpwstr>
      </vt:variant>
      <vt:variant>
        <vt:lpwstr/>
      </vt:variant>
      <vt:variant>
        <vt:i4>2424909</vt:i4>
      </vt:variant>
      <vt:variant>
        <vt:i4>0</vt:i4>
      </vt:variant>
      <vt:variant>
        <vt:i4>0</vt:i4>
      </vt:variant>
      <vt:variant>
        <vt:i4>5</vt:i4>
      </vt:variant>
      <vt:variant>
        <vt:lpwstr>mailto:surveyor.general@transport.vic.gov.au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Cadastral Surveys Practice Directives</dc:title>
  <dc:subject>Surveyor-General Victoria December 2025</dc:subject>
  <dc:creator>Nicole A Brooks (DTP)</dc:creator>
  <cp:keywords/>
  <dc:description/>
  <cp:lastModifiedBy>Fiona H Stonell (DTP)</cp:lastModifiedBy>
  <cp:revision>2</cp:revision>
  <cp:lastPrinted>2025-11-26T14:04:00Z</cp:lastPrinted>
  <dcterms:created xsi:type="dcterms:W3CDTF">2025-12-01T01:55:00Z</dcterms:created>
  <dcterms:modified xsi:type="dcterms:W3CDTF">2025-12-01T01:55:00Z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0x0101006AB7A13D40F1DE4FA823411F36053DD0</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Report</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Document_x0020_audience">
    <vt:lpwstr/>
  </property>
  <property fmtid="{D5CDD505-2E9C-101B-9397-08002B2CF9AE}" pid="24" name="Document audience">
    <vt:lpwstr/>
  </property>
  <property fmtid="{D5CDD505-2E9C-101B-9397-08002B2CF9AE}" pid="25" name="docLang">
    <vt:lpwstr>en</vt:lpwstr>
  </property>
</Properties>
</file>