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A73AF" w:rsidRDefault="009A73AF" w:rsidP="009B1003">
            <w:pPr>
              <w:pStyle w:val="Title"/>
              <w:rPr>
                <w:sz w:val="32"/>
                <w:szCs w:val="32"/>
              </w:rPr>
            </w:pPr>
            <w:r>
              <w:t>Land Use Victoria</w:t>
            </w:r>
            <w:r>
              <w:br/>
            </w:r>
            <w:r>
              <w:rPr>
                <w:sz w:val="32"/>
                <w:szCs w:val="32"/>
              </w:rPr>
              <w:t>Customer Information Bulletin</w:t>
            </w:r>
            <w:r w:rsidR="005802EB">
              <w:rPr>
                <w:sz w:val="32"/>
                <w:szCs w:val="32"/>
              </w:rPr>
              <w:t xml:space="preserve"> 171</w:t>
            </w:r>
            <w:r>
              <w:rPr>
                <w:sz w:val="32"/>
                <w:szCs w:val="32"/>
              </w:rPr>
              <w:t>, October 2017</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305B9C" w:rsidRPr="00FB75E3" w:rsidRDefault="00305B9C" w:rsidP="00305B9C">
      <w:pPr>
        <w:pStyle w:val="Heading1"/>
      </w:pPr>
      <w:bookmarkStart w:id="0" w:name="Here"/>
      <w:bookmarkEnd w:id="0"/>
      <w:r w:rsidRPr="00FB75E3">
        <w:t xml:space="preserve">Important dates for </w:t>
      </w:r>
      <w:r w:rsidR="00F4345B">
        <w:t xml:space="preserve">electronic and paper </w:t>
      </w:r>
      <w:r w:rsidRPr="00FB75E3">
        <w:t xml:space="preserve">transactions </w:t>
      </w:r>
    </w:p>
    <w:p w:rsidR="00305B9C" w:rsidRPr="00803C72" w:rsidRDefault="00305B9C" w:rsidP="00305B9C">
      <w:pPr>
        <w:pStyle w:val="BodyText"/>
      </w:pPr>
      <w:r w:rsidRPr="00803C72">
        <w:t xml:space="preserve">Customers are reminded of significant </w:t>
      </w:r>
      <w:r w:rsidR="00F4345B">
        <w:t>dates that are fast approaching.</w:t>
      </w:r>
    </w:p>
    <w:p w:rsidR="00305B9C" w:rsidRPr="00803C72" w:rsidRDefault="00305B9C" w:rsidP="00305B9C">
      <w:pPr>
        <w:pStyle w:val="Heading2"/>
      </w:pPr>
      <w:r w:rsidRPr="00803C72">
        <w:t xml:space="preserve">1 </w:t>
      </w:r>
      <w:r w:rsidRPr="00305B9C">
        <w:t>December</w:t>
      </w:r>
      <w:r w:rsidRPr="00803C72">
        <w:t xml:space="preserve"> 2017</w:t>
      </w:r>
    </w:p>
    <w:p w:rsidR="00305B9C" w:rsidRPr="00803C72" w:rsidRDefault="00305B9C" w:rsidP="00305B9C">
      <w:pPr>
        <w:pStyle w:val="BodyText"/>
      </w:pPr>
      <w:r w:rsidRPr="00803C72">
        <w:t>All stand-alone caveats and withdrawals of caveat signed on or after 1 December 2017 must be lodged using the Electronic Lodgment Network (PEXA).</w:t>
      </w:r>
      <w:r w:rsidR="00F4345B">
        <w:t xml:space="preserve"> </w:t>
      </w:r>
      <w:r w:rsidRPr="00803C72">
        <w:t xml:space="preserve">This requirement applies to conveyancers and lawyers acting for a party or themselves and PEXA </w:t>
      </w:r>
      <w:r w:rsidR="00964840">
        <w:t>S</w:t>
      </w:r>
      <w:r w:rsidRPr="00803C72">
        <w:t>ubscribers.</w:t>
      </w:r>
    </w:p>
    <w:p w:rsidR="00305B9C" w:rsidRPr="00803C72" w:rsidRDefault="00305B9C" w:rsidP="00305B9C">
      <w:pPr>
        <w:pStyle w:val="BodyText"/>
      </w:pPr>
      <w:r w:rsidRPr="00803C72">
        <w:t>Non-authorised deposit-taking institutions (non-ADIs) standalone discharges of mortgage, standalone mortgages and refinance transactions (discharge</w:t>
      </w:r>
      <w:r w:rsidR="005F169D">
        <w:t>s</w:t>
      </w:r>
      <w:r w:rsidRPr="00803C72">
        <w:t xml:space="preserve"> of mortgage and mortgage</w:t>
      </w:r>
      <w:r w:rsidR="005F169D">
        <w:t>s</w:t>
      </w:r>
      <w:r w:rsidRPr="00803C72">
        <w:t>) signed on or after 1 December 2017 must be lodged using the Electronic Lodgment Network (PEXA).</w:t>
      </w:r>
      <w:r w:rsidR="00F4345B">
        <w:t xml:space="preserve"> </w:t>
      </w:r>
      <w:r w:rsidRPr="00803C72">
        <w:t xml:space="preserve">This requirement applies to conveyancers and lawyers acting for a non-ADI and non-ADIs who are PEXA </w:t>
      </w:r>
      <w:r w:rsidR="006B6E2A">
        <w:t>S</w:t>
      </w:r>
      <w:r w:rsidR="006B6E2A" w:rsidRPr="00803C72">
        <w:t>ubscribers</w:t>
      </w:r>
      <w:r w:rsidRPr="00803C72">
        <w:t>.</w:t>
      </w:r>
    </w:p>
    <w:p w:rsidR="00305B9C" w:rsidRPr="00B36C3F" w:rsidRDefault="00305B9C" w:rsidP="00F4345B">
      <w:pPr>
        <w:pStyle w:val="Heading2"/>
      </w:pPr>
      <w:r w:rsidRPr="3416057B">
        <w:t>31 December 2017</w:t>
      </w:r>
    </w:p>
    <w:p w:rsidR="007958A4" w:rsidRDefault="00305B9C" w:rsidP="00F4345B">
      <w:pPr>
        <w:pStyle w:val="BodyText"/>
      </w:pPr>
      <w:r w:rsidRPr="3416057B">
        <w:t xml:space="preserve">The transition period for accepting forms </w:t>
      </w:r>
      <w:r>
        <w:t xml:space="preserve">not containing certifications </w:t>
      </w:r>
      <w:r w:rsidRPr="3416057B">
        <w:t>ends</w:t>
      </w:r>
      <w:r>
        <w:t xml:space="preserve"> on 31 December 2017</w:t>
      </w:r>
      <w:r w:rsidRPr="3416057B">
        <w:t>.</w:t>
      </w:r>
      <w:r w:rsidR="00F4345B">
        <w:t xml:space="preserve"> </w:t>
      </w:r>
      <w:r w:rsidRPr="3416057B">
        <w:t>All forms</w:t>
      </w:r>
      <w:r>
        <w:t xml:space="preserve"> signed on or after 1 January 2018 </w:t>
      </w:r>
      <w:r w:rsidRPr="3416057B">
        <w:t>lodged for registration must be the new form</w:t>
      </w:r>
      <w:r w:rsidR="00092E90">
        <w:t>s that include certifications</w:t>
      </w:r>
      <w:r w:rsidRPr="3416057B">
        <w:t>.</w:t>
      </w:r>
      <w:r w:rsidR="00F4345B">
        <w:t xml:space="preserve"> </w:t>
      </w:r>
    </w:p>
    <w:p w:rsidR="00092E90" w:rsidRDefault="00092E90" w:rsidP="00F4345B">
      <w:pPr>
        <w:pStyle w:val="BodyText"/>
      </w:pPr>
      <w:r w:rsidRPr="3416057B">
        <w:t>Whe</w:t>
      </w:r>
      <w:r>
        <w:t>n</w:t>
      </w:r>
      <w:r w:rsidRPr="3416057B">
        <w:t xml:space="preserve"> </w:t>
      </w:r>
      <w:r w:rsidR="00305B9C" w:rsidRPr="3416057B">
        <w:t xml:space="preserve">a </w:t>
      </w:r>
      <w:r w:rsidR="00305B9C">
        <w:t xml:space="preserve">conveyancer or lawyer </w:t>
      </w:r>
      <w:r w:rsidR="00305B9C" w:rsidRPr="3416057B">
        <w:t>represents a party in the transaction, the form must</w:t>
      </w:r>
      <w:r>
        <w:t>:</w:t>
      </w:r>
      <w:r w:rsidR="00305B9C" w:rsidRPr="3416057B">
        <w:t xml:space="preserve"> </w:t>
      </w:r>
    </w:p>
    <w:p w:rsidR="00092E90" w:rsidRDefault="007958A4" w:rsidP="00CE5D9A">
      <w:pPr>
        <w:pStyle w:val="ListBullet"/>
      </w:pPr>
      <w:r>
        <w:t xml:space="preserve">be </w:t>
      </w:r>
      <w:r w:rsidR="00305B9C" w:rsidRPr="3416057B">
        <w:t>signed on behalf of the party by the conveyancer</w:t>
      </w:r>
      <w:r w:rsidR="00305B9C">
        <w:t xml:space="preserve"> or lawyer</w:t>
      </w:r>
    </w:p>
    <w:p w:rsidR="00092E90" w:rsidRDefault="00305B9C" w:rsidP="00CE5D9A">
      <w:pPr>
        <w:pStyle w:val="ListBullet"/>
      </w:pPr>
      <w:r w:rsidRPr="3416057B">
        <w:t>contain the certifications required by the Registrar’s requirements for paper conveyancing transactions.</w:t>
      </w:r>
      <w:r w:rsidR="00F4345B">
        <w:t xml:space="preserve"> </w:t>
      </w:r>
    </w:p>
    <w:p w:rsidR="00305B9C" w:rsidRDefault="00305B9C">
      <w:pPr>
        <w:pStyle w:val="BodyText"/>
      </w:pPr>
      <w:r w:rsidRPr="3416057B">
        <w:t>Non-compliant forms will not be accepted.</w:t>
      </w:r>
      <w:r w:rsidR="00CE5D9A">
        <w:t xml:space="preserve"> More information on completing signing options will be provided in the next bulletin.</w:t>
      </w:r>
    </w:p>
    <w:p w:rsidR="00305B9C" w:rsidRPr="004B1715" w:rsidRDefault="00631831" w:rsidP="00F4345B">
      <w:pPr>
        <w:pStyle w:val="Heading1"/>
      </w:pPr>
      <w:r>
        <w:t>Transition to 100% digital lodg</w:t>
      </w:r>
      <w:r w:rsidR="00305B9C" w:rsidRPr="004B1715">
        <w:t>ment</w:t>
      </w:r>
    </w:p>
    <w:p w:rsidR="00305B9C" w:rsidRPr="0081473C" w:rsidRDefault="00305B9C" w:rsidP="00F4345B">
      <w:pPr>
        <w:pStyle w:val="BodyText"/>
        <w:rPr>
          <w:rFonts w:eastAsiaTheme="minorEastAsia"/>
        </w:rPr>
      </w:pPr>
      <w:r>
        <w:rPr>
          <w:rFonts w:eastAsiaTheme="minorEastAsia"/>
        </w:rPr>
        <w:t xml:space="preserve">The following sets out all the requirements and timelines for </w:t>
      </w:r>
      <w:r w:rsidRPr="0081473C">
        <w:rPr>
          <w:rFonts w:eastAsiaTheme="minorEastAsia"/>
        </w:rPr>
        <w:t>tra</w:t>
      </w:r>
      <w:r w:rsidR="00631831">
        <w:rPr>
          <w:rFonts w:eastAsiaTheme="minorEastAsia"/>
        </w:rPr>
        <w:t>nsitioning to 100% digital lodg</w:t>
      </w:r>
      <w:r w:rsidRPr="0081473C">
        <w:rPr>
          <w:rFonts w:eastAsiaTheme="minorEastAsia"/>
        </w:rPr>
        <w:t xml:space="preserve">ment. </w:t>
      </w:r>
    </w:p>
    <w:p w:rsidR="00305B9C" w:rsidRPr="00803C72" w:rsidRDefault="00305B9C" w:rsidP="00305B9C">
      <w:pPr>
        <w:pStyle w:val="Heading2"/>
      </w:pPr>
      <w:r w:rsidRPr="00803C72">
        <w:t>2017</w:t>
      </w:r>
    </w:p>
    <w:p w:rsidR="00305B9C" w:rsidRDefault="00305B9C" w:rsidP="00CE5D9A">
      <w:pPr>
        <w:pStyle w:val="Heading3"/>
        <w:rPr>
          <w:rFonts w:eastAsia="Calibri"/>
        </w:rPr>
      </w:pPr>
      <w:r w:rsidRPr="00206137">
        <w:rPr>
          <w:rFonts w:eastAsia="Calibri"/>
        </w:rPr>
        <w:t xml:space="preserve">November </w:t>
      </w:r>
    </w:p>
    <w:p w:rsidR="00305B9C" w:rsidRPr="00206137" w:rsidRDefault="00305B9C" w:rsidP="00F4345B">
      <w:pPr>
        <w:pStyle w:val="BodyText"/>
        <w:rPr>
          <w:rFonts w:eastAsia="Calibri"/>
        </w:rPr>
      </w:pPr>
      <w:r>
        <w:rPr>
          <w:rFonts w:eastAsia="Calibri"/>
        </w:rPr>
        <w:t>S</w:t>
      </w:r>
      <w:r w:rsidRPr="00206137">
        <w:rPr>
          <w:rFonts w:eastAsia="Calibri"/>
        </w:rPr>
        <w:t>urvivorship application</w:t>
      </w:r>
      <w:r>
        <w:rPr>
          <w:rFonts w:eastAsia="Calibri"/>
        </w:rPr>
        <w:t xml:space="preserve"> </w:t>
      </w:r>
      <w:r w:rsidRPr="00206137">
        <w:rPr>
          <w:rFonts w:eastAsia="Calibri"/>
        </w:rPr>
        <w:t xml:space="preserve">functionality </w:t>
      </w:r>
      <w:r>
        <w:rPr>
          <w:rFonts w:eastAsia="Calibri"/>
        </w:rPr>
        <w:t xml:space="preserve">will be </w:t>
      </w:r>
      <w:r w:rsidRPr="00206137">
        <w:rPr>
          <w:rFonts w:eastAsia="Calibri"/>
        </w:rPr>
        <w:t>available in PEXA</w:t>
      </w:r>
      <w:r>
        <w:rPr>
          <w:rFonts w:eastAsia="Calibri"/>
        </w:rPr>
        <w:t>.</w:t>
      </w:r>
    </w:p>
    <w:p w:rsidR="00305B9C" w:rsidRDefault="00305B9C" w:rsidP="00CE5D9A">
      <w:pPr>
        <w:pStyle w:val="Heading3"/>
        <w:rPr>
          <w:rFonts w:eastAsia="Calibri"/>
        </w:rPr>
      </w:pPr>
      <w:r w:rsidRPr="00206137">
        <w:rPr>
          <w:rFonts w:eastAsia="Calibri"/>
        </w:rPr>
        <w:t>1 December</w:t>
      </w:r>
    </w:p>
    <w:p w:rsidR="00305B9C" w:rsidRPr="00206137" w:rsidRDefault="00305B9C" w:rsidP="00CE5D9A">
      <w:pPr>
        <w:pStyle w:val="ListBullet"/>
        <w:rPr>
          <w:rFonts w:eastAsia="Calibri"/>
        </w:rPr>
      </w:pPr>
      <w:r>
        <w:rPr>
          <w:rFonts w:eastAsia="Calibri"/>
        </w:rPr>
        <w:t>Standalone c</w:t>
      </w:r>
      <w:r w:rsidRPr="00206137">
        <w:rPr>
          <w:rFonts w:eastAsia="Calibri"/>
        </w:rPr>
        <w:t xml:space="preserve">aveats and withdrawals of caveat </w:t>
      </w:r>
      <w:r>
        <w:rPr>
          <w:rFonts w:eastAsia="Calibri"/>
        </w:rPr>
        <w:t xml:space="preserve">to </w:t>
      </w:r>
      <w:r w:rsidRPr="00206137">
        <w:rPr>
          <w:rFonts w:eastAsia="Calibri"/>
        </w:rPr>
        <w:t>be lodged electronically</w:t>
      </w:r>
      <w:r>
        <w:rPr>
          <w:rFonts w:eastAsia="Calibri"/>
        </w:rPr>
        <w:t>. This requirement applies to conveyancers and lawyers acting for a party or themselves and PEXA Subscribers.</w:t>
      </w:r>
    </w:p>
    <w:p w:rsidR="00305B9C" w:rsidRPr="00CE5D9A" w:rsidRDefault="00305B9C" w:rsidP="00F4345B">
      <w:pPr>
        <w:pStyle w:val="ListBullet"/>
        <w:rPr>
          <w:rFonts w:eastAsia="Calibri"/>
          <w:b/>
        </w:rPr>
      </w:pPr>
      <w:r>
        <w:rPr>
          <w:rFonts w:eastAsia="Calibri"/>
        </w:rPr>
        <w:t xml:space="preserve">Non-ADI standalone discharges of mortgage, standalone mortgages and </w:t>
      </w:r>
      <w:r w:rsidRPr="00A82412">
        <w:rPr>
          <w:rFonts w:eastAsia="Calibri"/>
        </w:rPr>
        <w:t xml:space="preserve">refinance transactions </w:t>
      </w:r>
      <w:r>
        <w:rPr>
          <w:rFonts w:eastAsia="Calibri"/>
        </w:rPr>
        <w:t xml:space="preserve">are to be lodged </w:t>
      </w:r>
      <w:r w:rsidRPr="00A82412">
        <w:rPr>
          <w:rFonts w:eastAsia="Calibri"/>
        </w:rPr>
        <w:t>electronically</w:t>
      </w:r>
      <w:r>
        <w:rPr>
          <w:rFonts w:eastAsia="Calibri"/>
        </w:rPr>
        <w:t>. This requirement applies to conveyancers and lawyers acting for a non-ADI and non-ADIs who are PEXA Subscribers.</w:t>
      </w:r>
    </w:p>
    <w:p w:rsidR="007958A4" w:rsidRDefault="007958A4" w:rsidP="007958A4">
      <w:pPr>
        <w:pStyle w:val="Heading3"/>
        <w:rPr>
          <w:rFonts w:eastAsia="Calibri"/>
        </w:rPr>
      </w:pPr>
      <w:r>
        <w:rPr>
          <w:rFonts w:eastAsia="Calibri"/>
        </w:rPr>
        <w:lastRenderedPageBreak/>
        <w:t>31 December</w:t>
      </w:r>
    </w:p>
    <w:p w:rsidR="007958A4" w:rsidRDefault="007958A4" w:rsidP="007958A4">
      <w:pPr>
        <w:pStyle w:val="ListBullet"/>
        <w:rPr>
          <w:rFonts w:eastAsia="Calibri"/>
        </w:rPr>
      </w:pPr>
      <w:r>
        <w:rPr>
          <w:rFonts w:eastAsia="Calibri"/>
        </w:rPr>
        <w:t xml:space="preserve">Transition period for the national mortgage form (NMF), Client Authorisations and </w:t>
      </w:r>
      <w:r w:rsidR="00631831">
        <w:rPr>
          <w:rFonts w:eastAsia="Calibri"/>
        </w:rPr>
        <w:t xml:space="preserve">forms not containing </w:t>
      </w:r>
      <w:r>
        <w:rPr>
          <w:rFonts w:eastAsia="Calibri"/>
        </w:rPr>
        <w:t>Certifications ends.</w:t>
      </w:r>
    </w:p>
    <w:p w:rsidR="00305B9C" w:rsidRPr="0081473C" w:rsidRDefault="00305B9C" w:rsidP="00305B9C">
      <w:pPr>
        <w:pStyle w:val="Heading2"/>
        <w:numPr>
          <w:ilvl w:val="1"/>
          <w:numId w:val="0"/>
        </w:numPr>
      </w:pPr>
      <w:r w:rsidRPr="0081473C">
        <w:t>2018</w:t>
      </w:r>
    </w:p>
    <w:p w:rsidR="00305B9C" w:rsidRDefault="00305B9C" w:rsidP="00CE5D9A">
      <w:pPr>
        <w:pStyle w:val="Heading3"/>
        <w:rPr>
          <w:rFonts w:eastAsia="Calibri"/>
        </w:rPr>
      </w:pPr>
      <w:r>
        <w:rPr>
          <w:rFonts w:eastAsia="Calibri"/>
        </w:rPr>
        <w:t>February</w:t>
      </w:r>
    </w:p>
    <w:p w:rsidR="00305B9C" w:rsidRDefault="00305B9C" w:rsidP="00F4345B">
      <w:pPr>
        <w:pStyle w:val="ListBullet"/>
        <w:rPr>
          <w:rFonts w:eastAsia="Calibri"/>
        </w:rPr>
      </w:pPr>
      <w:r>
        <w:rPr>
          <w:rFonts w:eastAsia="Calibri"/>
        </w:rPr>
        <w:t>Transmission</w:t>
      </w:r>
      <w:r w:rsidRPr="00206137">
        <w:rPr>
          <w:rFonts w:eastAsia="Calibri"/>
        </w:rPr>
        <w:t xml:space="preserve"> application</w:t>
      </w:r>
      <w:r>
        <w:rPr>
          <w:rFonts w:eastAsia="Calibri"/>
        </w:rPr>
        <w:t xml:space="preserve"> </w:t>
      </w:r>
      <w:r w:rsidRPr="00206137">
        <w:rPr>
          <w:rFonts w:eastAsia="Calibri"/>
        </w:rPr>
        <w:t xml:space="preserve">functionality </w:t>
      </w:r>
      <w:r>
        <w:rPr>
          <w:rFonts w:eastAsia="Calibri"/>
        </w:rPr>
        <w:t xml:space="preserve">will be </w:t>
      </w:r>
      <w:r w:rsidRPr="00206137">
        <w:rPr>
          <w:rFonts w:eastAsia="Calibri"/>
        </w:rPr>
        <w:t>available in PEXA</w:t>
      </w:r>
      <w:r w:rsidR="007958A4">
        <w:rPr>
          <w:rFonts w:eastAsia="Calibri"/>
        </w:rPr>
        <w:t>.</w:t>
      </w:r>
    </w:p>
    <w:p w:rsidR="00305B9C" w:rsidRDefault="00305B9C" w:rsidP="00CE5D9A">
      <w:pPr>
        <w:pStyle w:val="Heading3"/>
        <w:rPr>
          <w:rFonts w:eastAsia="Calibri"/>
        </w:rPr>
      </w:pPr>
      <w:r>
        <w:rPr>
          <w:rFonts w:eastAsia="Calibri"/>
        </w:rPr>
        <w:t>1 March</w:t>
      </w:r>
    </w:p>
    <w:p w:rsidR="00305B9C" w:rsidRDefault="00305B9C" w:rsidP="00F4345B">
      <w:pPr>
        <w:pStyle w:val="ListBullet"/>
        <w:rPr>
          <w:rFonts w:eastAsia="Calibri"/>
        </w:rPr>
      </w:pPr>
      <w:r>
        <w:rPr>
          <w:rFonts w:eastAsia="Calibri"/>
        </w:rPr>
        <w:t xml:space="preserve">All </w:t>
      </w:r>
      <w:r w:rsidRPr="002C030E">
        <w:rPr>
          <w:rFonts w:eastAsia="Calibri"/>
        </w:rPr>
        <w:t xml:space="preserve">survivorship applications and standalone transfers </w:t>
      </w:r>
      <w:r>
        <w:rPr>
          <w:rFonts w:eastAsia="Calibri"/>
        </w:rPr>
        <w:t>must</w:t>
      </w:r>
      <w:r w:rsidRPr="002C030E">
        <w:rPr>
          <w:rFonts w:eastAsia="Calibri"/>
        </w:rPr>
        <w:t xml:space="preserve"> be lodged electronically</w:t>
      </w:r>
      <w:r>
        <w:rPr>
          <w:rFonts w:eastAsia="Calibri"/>
        </w:rPr>
        <w:t>. This requirement applies to conveyancers and lawyers acting for a party or themselves and PEXA Subscribers.</w:t>
      </w:r>
    </w:p>
    <w:p w:rsidR="00305B9C" w:rsidRDefault="00305B9C" w:rsidP="00CE5D9A">
      <w:pPr>
        <w:pStyle w:val="Heading3"/>
        <w:rPr>
          <w:rFonts w:eastAsia="Calibri"/>
        </w:rPr>
      </w:pPr>
      <w:r w:rsidRPr="00A82412">
        <w:rPr>
          <w:rFonts w:eastAsia="Calibri"/>
        </w:rPr>
        <w:t>1 October</w:t>
      </w:r>
    </w:p>
    <w:p w:rsidR="00305B9C" w:rsidRPr="00445557" w:rsidRDefault="00305B9C" w:rsidP="00F4345B">
      <w:pPr>
        <w:pStyle w:val="ListBullet"/>
        <w:rPr>
          <w:rFonts w:eastAsia="Calibri"/>
        </w:rPr>
      </w:pPr>
      <w:r>
        <w:rPr>
          <w:rFonts w:eastAsia="Calibri"/>
        </w:rPr>
        <w:t>A</w:t>
      </w:r>
      <w:r w:rsidRPr="00A82412">
        <w:rPr>
          <w:rFonts w:eastAsia="Calibri"/>
        </w:rPr>
        <w:t xml:space="preserve">ll combinations of transactions </w:t>
      </w:r>
      <w:r>
        <w:rPr>
          <w:rFonts w:eastAsia="Calibri"/>
        </w:rPr>
        <w:t xml:space="preserve">available </w:t>
      </w:r>
      <w:r w:rsidRPr="00A82412">
        <w:rPr>
          <w:rFonts w:eastAsia="Calibri"/>
        </w:rPr>
        <w:t>in PEXA to be lodged electronically.</w:t>
      </w:r>
      <w:r w:rsidR="00F4345B">
        <w:rPr>
          <w:rFonts w:eastAsia="Calibri"/>
        </w:rPr>
        <w:t xml:space="preserve"> </w:t>
      </w:r>
      <w:r w:rsidR="006B6E2A">
        <w:rPr>
          <w:rFonts w:eastAsia="Calibri"/>
        </w:rPr>
        <w:t>Examples include</w:t>
      </w:r>
      <w:r w:rsidRPr="00A82412">
        <w:rPr>
          <w:rFonts w:eastAsia="Calibri"/>
        </w:rPr>
        <w:t xml:space="preserve"> a case comprising a withdrawal of caveat, discharge of mortgage, transfer and mortgage</w:t>
      </w:r>
      <w:r>
        <w:rPr>
          <w:rFonts w:eastAsia="Calibri"/>
        </w:rPr>
        <w:t>. This requirement applies to conveyancers and lawyers acting for a party or themselves and PEXA Subscribers.</w:t>
      </w:r>
    </w:p>
    <w:p w:rsidR="00305B9C" w:rsidRPr="0081473C" w:rsidRDefault="00305B9C" w:rsidP="00305B9C">
      <w:pPr>
        <w:pStyle w:val="Heading2"/>
        <w:numPr>
          <w:ilvl w:val="1"/>
          <w:numId w:val="0"/>
        </w:numPr>
      </w:pPr>
      <w:r w:rsidRPr="0081473C">
        <w:t>2019</w:t>
      </w:r>
    </w:p>
    <w:p w:rsidR="00305B9C" w:rsidRDefault="00305B9C" w:rsidP="00CE5D9A">
      <w:pPr>
        <w:pStyle w:val="Heading3"/>
        <w:rPr>
          <w:rFonts w:eastAsia="Calibri"/>
        </w:rPr>
      </w:pPr>
      <w:r w:rsidRPr="00A82412">
        <w:rPr>
          <w:rFonts w:eastAsia="Calibri"/>
        </w:rPr>
        <w:t>1 August</w:t>
      </w:r>
    </w:p>
    <w:p w:rsidR="00305B9C" w:rsidRPr="00445557" w:rsidRDefault="00305B9C" w:rsidP="00F4345B">
      <w:pPr>
        <w:pStyle w:val="ListBullet"/>
        <w:rPr>
          <w:rFonts w:eastAsia="Calibri"/>
        </w:rPr>
      </w:pPr>
      <w:r>
        <w:rPr>
          <w:rFonts w:eastAsia="Calibri"/>
        </w:rPr>
        <w:t>A</w:t>
      </w:r>
      <w:r w:rsidRPr="00A82412">
        <w:rPr>
          <w:rFonts w:eastAsia="Calibri"/>
        </w:rPr>
        <w:t>ll transactions to be lodged electronically</w:t>
      </w:r>
      <w:r>
        <w:rPr>
          <w:rFonts w:eastAsia="Calibri"/>
        </w:rPr>
        <w:t>. This requirement applies to conveyancers and lawyers acting for a party or themselves and PEXA Subscribers.</w:t>
      </w:r>
    </w:p>
    <w:p w:rsidR="00305B9C" w:rsidRPr="006B6E2A" w:rsidRDefault="00305B9C" w:rsidP="006B6E2A">
      <w:pPr>
        <w:pStyle w:val="BodyText"/>
        <w:rPr>
          <w:rFonts w:eastAsiaTheme="minorEastAsia"/>
        </w:rPr>
      </w:pPr>
      <w:r w:rsidRPr="0081473C">
        <w:rPr>
          <w:rFonts w:eastAsiaTheme="minorEastAsia"/>
        </w:rPr>
        <w:t>The exception will be whe</w:t>
      </w:r>
      <w:r>
        <w:rPr>
          <w:rFonts w:eastAsiaTheme="minorEastAsia"/>
        </w:rPr>
        <w:t>n</w:t>
      </w:r>
      <w:r w:rsidRPr="0081473C">
        <w:rPr>
          <w:rFonts w:eastAsiaTheme="minorEastAsia"/>
        </w:rPr>
        <w:t xml:space="preserve"> there is an existing paper instrument that has been signed prior to the date when electronic lodgment of that </w:t>
      </w:r>
      <w:r w:rsidR="00631831">
        <w:rPr>
          <w:rFonts w:eastAsiaTheme="minorEastAsia"/>
        </w:rPr>
        <w:t xml:space="preserve">particular </w:t>
      </w:r>
      <w:r w:rsidRPr="0081473C">
        <w:rPr>
          <w:rFonts w:eastAsiaTheme="minorEastAsia"/>
        </w:rPr>
        <w:t>class of instrument or transaction is required.</w:t>
      </w:r>
    </w:p>
    <w:p w:rsidR="00305B9C" w:rsidRPr="009A7D58" w:rsidRDefault="00305B9C" w:rsidP="00F4345B">
      <w:pPr>
        <w:pStyle w:val="Heading1"/>
      </w:pPr>
      <w:r w:rsidRPr="009A7D58">
        <w:t xml:space="preserve">Bulk </w:t>
      </w:r>
      <w:r w:rsidR="006B6E2A">
        <w:t>c</w:t>
      </w:r>
      <w:r w:rsidRPr="009A7D58">
        <w:t xml:space="preserve">onversion of paper Certificates of Title to electronic Certificates of Title – next </w:t>
      </w:r>
      <w:r>
        <w:t>round</w:t>
      </w:r>
    </w:p>
    <w:p w:rsidR="00305B9C" w:rsidRPr="006B6E2A" w:rsidRDefault="00305B9C" w:rsidP="006B6E2A">
      <w:pPr>
        <w:pStyle w:val="BodyText"/>
      </w:pPr>
      <w:r w:rsidRPr="5EB97D65">
        <w:t xml:space="preserve">Land Use Victoria </w:t>
      </w:r>
      <w:r>
        <w:t xml:space="preserve">(LUV) </w:t>
      </w:r>
      <w:r w:rsidRPr="5EB97D65">
        <w:t>will be conducting the next round of bulk conversion of paper CTs (pCTs) to electronic CTs (eCTs) in February 2018.</w:t>
      </w:r>
      <w:r w:rsidR="00F4345B">
        <w:t xml:space="preserve"> </w:t>
      </w:r>
      <w:r w:rsidRPr="5EB97D65">
        <w:t xml:space="preserve">This round of conversion is only available to </w:t>
      </w:r>
      <w:r>
        <w:t>authorised deposit-taking institutions (</w:t>
      </w:r>
      <w:r w:rsidRPr="5EB97D65">
        <w:t>ADIs</w:t>
      </w:r>
      <w:r>
        <w:t>)</w:t>
      </w:r>
      <w:r w:rsidRPr="5EB97D65">
        <w:t>.</w:t>
      </w:r>
      <w:r w:rsidR="00F4345B">
        <w:t xml:space="preserve"> </w:t>
      </w:r>
      <w:r w:rsidRPr="5EB97D65">
        <w:t>LUV proposes that the conversion will be based on the first mortgagee on title being equal to the legal entity name or known and agreed former names.</w:t>
      </w:r>
    </w:p>
    <w:p w:rsidR="00305B9C" w:rsidRPr="006B6E2A" w:rsidRDefault="00305B9C" w:rsidP="006B6E2A">
      <w:pPr>
        <w:pStyle w:val="BodyText"/>
      </w:pPr>
      <w:r w:rsidRPr="5EB97D65">
        <w:t>LUV ha</w:t>
      </w:r>
      <w:r>
        <w:t>s</w:t>
      </w:r>
      <w:r w:rsidR="006B6E2A">
        <w:t xml:space="preserve"> already</w:t>
      </w:r>
      <w:r w:rsidRPr="5EB97D65">
        <w:t xml:space="preserve"> converted approximately 1.7 million pCTs to eCT</w:t>
      </w:r>
      <w:r w:rsidR="006B6E2A">
        <w:t>s</w:t>
      </w:r>
      <w:r w:rsidRPr="5EB97D65">
        <w:t xml:space="preserve"> for the following ADIs: </w:t>
      </w:r>
    </w:p>
    <w:p w:rsidR="00305B9C" w:rsidRPr="00FB75E3" w:rsidRDefault="00305B9C" w:rsidP="00F4345B">
      <w:pPr>
        <w:pStyle w:val="ListBullet"/>
      </w:pPr>
      <w:r w:rsidRPr="3416057B">
        <w:t>NAB</w:t>
      </w:r>
    </w:p>
    <w:p w:rsidR="00305B9C" w:rsidRPr="00FB75E3" w:rsidRDefault="00305B9C" w:rsidP="00F4345B">
      <w:pPr>
        <w:pStyle w:val="ListBullet"/>
      </w:pPr>
      <w:r w:rsidRPr="3416057B">
        <w:t>CBA</w:t>
      </w:r>
    </w:p>
    <w:p w:rsidR="00305B9C" w:rsidRPr="00FB75E3" w:rsidRDefault="00305B9C" w:rsidP="00F4345B">
      <w:pPr>
        <w:pStyle w:val="ListBullet"/>
      </w:pPr>
      <w:r w:rsidRPr="3416057B">
        <w:t>ANZ</w:t>
      </w:r>
    </w:p>
    <w:p w:rsidR="00305B9C" w:rsidRPr="00FB75E3" w:rsidRDefault="00305B9C" w:rsidP="00F4345B">
      <w:pPr>
        <w:pStyle w:val="ListBullet"/>
      </w:pPr>
      <w:r w:rsidRPr="3416057B">
        <w:t>Westpac</w:t>
      </w:r>
    </w:p>
    <w:p w:rsidR="00305B9C" w:rsidRPr="001D6D49" w:rsidRDefault="00305B9C" w:rsidP="00F4345B">
      <w:pPr>
        <w:pStyle w:val="ListBullet"/>
      </w:pPr>
      <w:r w:rsidRPr="3416057B">
        <w:t xml:space="preserve">Bendigo and Adelaide </w:t>
      </w:r>
      <w:r w:rsidRPr="004B1715">
        <w:rPr>
          <w:iCs/>
        </w:rPr>
        <w:t>Bank</w:t>
      </w:r>
    </w:p>
    <w:p w:rsidR="00305B9C" w:rsidRPr="00FB75E3" w:rsidRDefault="00305B9C" w:rsidP="00F4345B">
      <w:pPr>
        <w:pStyle w:val="ListBullet"/>
      </w:pPr>
      <w:r w:rsidRPr="3416057B">
        <w:t>Rural Bank Limited</w:t>
      </w:r>
    </w:p>
    <w:p w:rsidR="00305B9C" w:rsidRPr="00FB75E3" w:rsidRDefault="00305B9C" w:rsidP="00F4345B">
      <w:pPr>
        <w:pStyle w:val="ListBullet"/>
      </w:pPr>
      <w:r w:rsidRPr="3416057B">
        <w:t>Teachers Mutual Bank</w:t>
      </w:r>
    </w:p>
    <w:p w:rsidR="00305B9C" w:rsidRPr="00AF528E" w:rsidRDefault="00305B9C" w:rsidP="00AF528E">
      <w:pPr>
        <w:pStyle w:val="ListBullet"/>
      </w:pPr>
      <w:r w:rsidRPr="5EB97D65">
        <w:t>Auswide Bank Ltd</w:t>
      </w:r>
      <w:r w:rsidR="006B6E2A">
        <w:t>.</w:t>
      </w:r>
    </w:p>
    <w:p w:rsidR="00305B9C" w:rsidRPr="00FB75E3" w:rsidRDefault="00305B9C" w:rsidP="00CE5D9A">
      <w:pPr>
        <w:pStyle w:val="BodyText"/>
        <w:rPr>
          <w:b/>
          <w:bCs/>
        </w:rPr>
      </w:pPr>
      <w:r w:rsidRPr="3416057B">
        <w:t xml:space="preserve"> </w:t>
      </w:r>
    </w:p>
    <w:p w:rsidR="00CB1428" w:rsidRDefault="00CB1428" w:rsidP="006D14A9">
      <w:pPr>
        <w:pStyle w:val="BodyText"/>
      </w:pPr>
    </w:p>
    <w:p w:rsidR="006D14A9" w:rsidRDefault="00305B9C" w:rsidP="006D14A9">
      <w:pPr>
        <w:pStyle w:val="BodyText"/>
      </w:pPr>
      <w:r w:rsidRPr="3416057B">
        <w:t>For more information and to register interest in the next bulk conversion please contact</w:t>
      </w:r>
      <w:r w:rsidR="006D14A9">
        <w:t>:</w:t>
      </w:r>
    </w:p>
    <w:p w:rsidR="006D14A9" w:rsidRDefault="00305B9C" w:rsidP="006D14A9">
      <w:pPr>
        <w:pStyle w:val="BodyText"/>
      </w:pPr>
      <w:r w:rsidRPr="3416057B">
        <w:t>Paul Major</w:t>
      </w:r>
    </w:p>
    <w:p w:rsidR="006D14A9" w:rsidRDefault="006D14A9" w:rsidP="006D14A9">
      <w:pPr>
        <w:pStyle w:val="BodyText"/>
      </w:pPr>
      <w:r>
        <w:t xml:space="preserve">T: </w:t>
      </w:r>
      <w:r w:rsidR="00305B9C" w:rsidRPr="3416057B">
        <w:t>03 9194 0341</w:t>
      </w:r>
    </w:p>
    <w:p w:rsidR="00305B9C" w:rsidRDefault="006D14A9" w:rsidP="006D14A9">
      <w:pPr>
        <w:pStyle w:val="BodyText"/>
      </w:pPr>
      <w:r>
        <w:t xml:space="preserve">E: </w:t>
      </w:r>
      <w:hyperlink r:id="rId14" w:history="1">
        <w:r w:rsidRPr="00670372">
          <w:rPr>
            <w:rStyle w:val="Hyperlink"/>
          </w:rPr>
          <w:t>paul.major@delwp.vic.gov.au</w:t>
        </w:r>
      </w:hyperlink>
      <w:r>
        <w:t>.</w:t>
      </w:r>
    </w:p>
    <w:p w:rsidR="006D14A9" w:rsidRPr="006D14A9" w:rsidRDefault="006D14A9" w:rsidP="006D14A9">
      <w:pPr>
        <w:pStyle w:val="BodyText"/>
      </w:pPr>
      <w:r w:rsidRPr="00CE5D9A">
        <w:rPr>
          <w:rStyle w:val="Heading3Char"/>
        </w:rPr>
        <w:t>Please note:</w:t>
      </w:r>
      <w:r>
        <w:t xml:space="preserve"> prior to registering their interest with LUV, </w:t>
      </w:r>
      <w:r w:rsidRPr="3416057B">
        <w:t xml:space="preserve">ADIs wishing to participate in the February 2018 conversion should consider </w:t>
      </w:r>
      <w:r>
        <w:t>that all</w:t>
      </w:r>
      <w:r w:rsidRPr="3416057B">
        <w:t xml:space="preserve"> legal and former legal entity names must be identified and communicated to LUV by </w:t>
      </w:r>
      <w:r w:rsidRPr="00CE5D9A">
        <w:rPr>
          <w:b/>
        </w:rPr>
        <w:t>17</w:t>
      </w:r>
      <w:r w:rsidRPr="006D14A9">
        <w:rPr>
          <w:b/>
        </w:rPr>
        <w:t xml:space="preserve"> </w:t>
      </w:r>
      <w:r w:rsidRPr="00CE5D9A">
        <w:rPr>
          <w:b/>
        </w:rPr>
        <w:t>November</w:t>
      </w:r>
      <w:r w:rsidRPr="006D14A9">
        <w:rPr>
          <w:b/>
          <w:bCs/>
        </w:rPr>
        <w:t xml:space="preserve"> </w:t>
      </w:r>
      <w:r w:rsidRPr="00CE5D9A">
        <w:rPr>
          <w:b/>
        </w:rPr>
        <w:t>2017</w:t>
      </w:r>
      <w:r w:rsidRPr="00C67091">
        <w:t>.</w:t>
      </w:r>
    </w:p>
    <w:p w:rsidR="00305B9C" w:rsidRDefault="00305B9C" w:rsidP="00F4345B">
      <w:pPr>
        <w:pStyle w:val="Heading1"/>
      </w:pPr>
      <w:r w:rsidRPr="3416057B">
        <w:t xml:space="preserve">Entitlement to sign </w:t>
      </w:r>
      <w:r>
        <w:t>registry instruments</w:t>
      </w:r>
    </w:p>
    <w:p w:rsidR="00305B9C" w:rsidRPr="008B4498" w:rsidRDefault="00305B9C" w:rsidP="00F4345B">
      <w:pPr>
        <w:pStyle w:val="BodyText"/>
      </w:pPr>
      <w:r>
        <w:t xml:space="preserve">The Australian Registrars’ National Electronic Conveyancing Council (ARNECC) has published </w:t>
      </w:r>
      <w:r w:rsidR="006C39E4">
        <w:rPr>
          <w:i/>
        </w:rPr>
        <w:t>Entitlement to sign Registry Instruments</w:t>
      </w:r>
      <w:r w:rsidR="006C39E4">
        <w:t xml:space="preserve">, </w:t>
      </w:r>
      <w:r>
        <w:t xml:space="preserve">based on advice provided by practitioner </w:t>
      </w:r>
      <w:r w:rsidRPr="3416057B">
        <w:t>regulator</w:t>
      </w:r>
      <w:r>
        <w:t>s.</w:t>
      </w:r>
      <w:r w:rsidR="00F4345B">
        <w:t xml:space="preserve"> </w:t>
      </w:r>
      <w:r>
        <w:t xml:space="preserve">The document is available at </w:t>
      </w:r>
      <w:hyperlink r:id="rId15" w:history="1">
        <w:r w:rsidR="00ED6775" w:rsidRPr="00334204">
          <w:rPr>
            <w:rStyle w:val="Hyperlink"/>
          </w:rPr>
          <w:t>www.arnecc.gov.au/resources/guidance-practitioner-regulators</w:t>
        </w:r>
      </w:hyperlink>
      <w:r>
        <w:t>.</w:t>
      </w:r>
      <w:r w:rsidRPr="3416057B">
        <w:t xml:space="preserve"> </w:t>
      </w:r>
    </w:p>
    <w:p w:rsidR="006C39E4" w:rsidRDefault="00305B9C" w:rsidP="00F4345B">
      <w:pPr>
        <w:pStyle w:val="BodyText"/>
      </w:pPr>
      <w:r>
        <w:t xml:space="preserve">For conveyancers in Victoria, </w:t>
      </w:r>
      <w:r w:rsidRPr="3416057B">
        <w:t>Consumer Affairs Victoria has determined that a licensed conveyancer and a non-practitioner employee of a licensed conveyancer may execute a</w:t>
      </w:r>
      <w:r>
        <w:t>n instrument</w:t>
      </w:r>
      <w:r w:rsidRPr="3416057B">
        <w:t xml:space="preserve"> on behalf of a client</w:t>
      </w:r>
      <w:r>
        <w:t>.</w:t>
      </w:r>
      <w:r w:rsidR="00F4345B">
        <w:t xml:space="preserve"> </w:t>
      </w:r>
      <w:r w:rsidRPr="00744B0E">
        <w:t xml:space="preserve">In the drop-down list of signing options </w:t>
      </w:r>
      <w:r>
        <w:t>in paper forms</w:t>
      </w:r>
      <w:r w:rsidR="00922B95">
        <w:t>, select</w:t>
      </w:r>
      <w:r>
        <w:t xml:space="preserve"> </w:t>
      </w:r>
      <w:r w:rsidRPr="00744B0E">
        <w:t xml:space="preserve">either </w:t>
      </w:r>
      <w:r w:rsidR="006C39E4">
        <w:t>‘</w:t>
      </w:r>
      <w:r w:rsidRPr="00744B0E">
        <w:t>Licensed Conveyancer</w:t>
      </w:r>
      <w:r w:rsidR="006C39E4">
        <w:t>’</w:t>
      </w:r>
      <w:r>
        <w:t xml:space="preserve"> or </w:t>
      </w:r>
      <w:r w:rsidR="006C39E4">
        <w:t>‘</w:t>
      </w:r>
      <w:r>
        <w:t>Conveyancing Practice</w:t>
      </w:r>
      <w:r w:rsidR="006C39E4">
        <w:t>’</w:t>
      </w:r>
      <w:r w:rsidRPr="3416057B">
        <w:t>.</w:t>
      </w:r>
    </w:p>
    <w:p w:rsidR="00305B9C" w:rsidRPr="008B4498" w:rsidRDefault="00305B9C" w:rsidP="00F4345B">
      <w:pPr>
        <w:pStyle w:val="BodyText"/>
      </w:pPr>
      <w:r>
        <w:t>For lawyers in Victoria, t</w:t>
      </w:r>
      <w:r w:rsidRPr="5EB97D65">
        <w:t xml:space="preserve">he Victorian Legal Services Board/Commissioner has determined that only an Australian </w:t>
      </w:r>
      <w:r w:rsidR="00922B95">
        <w:t>L</w:t>
      </w:r>
      <w:r w:rsidR="00922B95" w:rsidRPr="5EB97D65">
        <w:t xml:space="preserve">egal </w:t>
      </w:r>
      <w:r w:rsidR="00922B95">
        <w:t>P</w:t>
      </w:r>
      <w:r w:rsidR="00922B95" w:rsidRPr="5EB97D65">
        <w:t>ractitioner</w:t>
      </w:r>
      <w:r w:rsidR="00922B95">
        <w:t xml:space="preserve"> </w:t>
      </w:r>
      <w:r>
        <w:t>(ALP)</w:t>
      </w:r>
      <w:r w:rsidRPr="5EB97D65">
        <w:t xml:space="preserve"> </w:t>
      </w:r>
      <w:r>
        <w:t>or a licensed conveyancer employed by an ALP can</w:t>
      </w:r>
      <w:r w:rsidRPr="5EB97D65">
        <w:t xml:space="preserve"> execute </w:t>
      </w:r>
      <w:r>
        <w:t>instruments</w:t>
      </w:r>
      <w:r w:rsidRPr="5EB97D65">
        <w:t xml:space="preserve"> on behalf of a client</w:t>
      </w:r>
      <w:r>
        <w:t>.</w:t>
      </w:r>
      <w:r w:rsidR="00F4345B">
        <w:t xml:space="preserve"> </w:t>
      </w:r>
      <w:r>
        <w:t xml:space="preserve">A </w:t>
      </w:r>
      <w:r w:rsidRPr="5EB97D65">
        <w:t>non-practitioner employee of an A</w:t>
      </w:r>
      <w:r>
        <w:t xml:space="preserve">LP </w:t>
      </w:r>
      <w:r w:rsidRPr="5EB97D65">
        <w:t>cannot sign.</w:t>
      </w:r>
      <w:r w:rsidR="00F4345B">
        <w:t xml:space="preserve"> </w:t>
      </w:r>
      <w:bookmarkStart w:id="1" w:name="_Hlk495334792"/>
      <w:r>
        <w:t>In the drop-down list of signing options in paper forms</w:t>
      </w:r>
      <w:r w:rsidR="00922B95">
        <w:t>,</w:t>
      </w:r>
      <w:r>
        <w:t xml:space="preserve"> </w:t>
      </w:r>
      <w:r w:rsidR="00922B95">
        <w:t>select ‘</w:t>
      </w:r>
      <w:r>
        <w:t>Australian Legal Practitioner</w:t>
      </w:r>
      <w:r w:rsidR="00922B95">
        <w:t>’</w:t>
      </w:r>
      <w:r>
        <w:t xml:space="preserve"> or </w:t>
      </w:r>
      <w:r w:rsidR="00922B95">
        <w:t>‘</w:t>
      </w:r>
      <w:r>
        <w:t>Licensed Conveyancer</w:t>
      </w:r>
      <w:r w:rsidR="00922B95">
        <w:t>’</w:t>
      </w:r>
      <w:bookmarkEnd w:id="1"/>
      <w:r>
        <w:t>.</w:t>
      </w:r>
    </w:p>
    <w:p w:rsidR="00305B9C" w:rsidRPr="008B4498" w:rsidRDefault="00305B9C" w:rsidP="00F4345B">
      <w:pPr>
        <w:pStyle w:val="BodyText"/>
      </w:pPr>
      <w:r w:rsidRPr="3416057B">
        <w:t xml:space="preserve">'Law Practice' is </w:t>
      </w:r>
      <w:r w:rsidR="00922B95">
        <w:t xml:space="preserve">also </w:t>
      </w:r>
      <w:r w:rsidRPr="3416057B">
        <w:t>included</w:t>
      </w:r>
      <w:r w:rsidR="005559BA" w:rsidRPr="005559BA">
        <w:t xml:space="preserve"> </w:t>
      </w:r>
      <w:r w:rsidR="005559BA">
        <w:t>in the</w:t>
      </w:r>
      <w:r w:rsidR="005559BA" w:rsidRPr="3416057B">
        <w:t xml:space="preserve"> drop-down list of signing options </w:t>
      </w:r>
      <w:r w:rsidR="005559BA">
        <w:t xml:space="preserve">because it </w:t>
      </w:r>
      <w:r w:rsidR="005559BA" w:rsidRPr="3416057B">
        <w:t>is a national list</w:t>
      </w:r>
      <w:r>
        <w:t>.</w:t>
      </w:r>
      <w:r w:rsidR="00F4345B">
        <w:t xml:space="preserve"> </w:t>
      </w:r>
      <w:r>
        <w:t>This</w:t>
      </w:r>
      <w:r w:rsidR="00922B95" w:rsidRPr="00922B95">
        <w:t xml:space="preserve"> </w:t>
      </w:r>
      <w:r w:rsidR="00922B95" w:rsidRPr="3416057B">
        <w:t>is not relevant to Victoria</w:t>
      </w:r>
      <w:r w:rsidR="00922B95">
        <w:t>; however,</w:t>
      </w:r>
      <w:r>
        <w:t xml:space="preserve"> </w:t>
      </w:r>
      <w:r w:rsidR="00964840">
        <w:t xml:space="preserve">it may </w:t>
      </w:r>
      <w:r w:rsidRPr="3416057B">
        <w:t xml:space="preserve">be an appropriate selection </w:t>
      </w:r>
      <w:r w:rsidR="00922B95">
        <w:t xml:space="preserve">in </w:t>
      </w:r>
      <w:r w:rsidR="005559BA">
        <w:t xml:space="preserve">some </w:t>
      </w:r>
      <w:r w:rsidR="00922B95">
        <w:t>other</w:t>
      </w:r>
      <w:r w:rsidRPr="3416057B">
        <w:t xml:space="preserve"> Australian jurisdictions.</w:t>
      </w:r>
      <w:r w:rsidR="00F4345B">
        <w:t xml:space="preserve"> </w:t>
      </w:r>
    </w:p>
    <w:p w:rsidR="00305B9C" w:rsidRPr="009A7D58" w:rsidRDefault="00305B9C" w:rsidP="00F4345B">
      <w:pPr>
        <w:pStyle w:val="Heading1"/>
      </w:pPr>
      <w:r w:rsidRPr="009A7D58">
        <w:t xml:space="preserve">Ordering plan numbers for </w:t>
      </w:r>
      <w:r w:rsidR="00922B95">
        <w:t>p</w:t>
      </w:r>
      <w:r w:rsidR="00922B95" w:rsidRPr="009A7D58">
        <w:t xml:space="preserve">lans </w:t>
      </w:r>
      <w:r w:rsidRPr="009A7D58">
        <w:t xml:space="preserve">of </w:t>
      </w:r>
      <w:r w:rsidR="00922B95">
        <w:t>s</w:t>
      </w:r>
      <w:r w:rsidR="00922B95" w:rsidRPr="009A7D58">
        <w:t>ubdivision</w:t>
      </w:r>
      <w:r w:rsidRPr="009A7D58">
        <w:t xml:space="preserve">, </w:t>
      </w:r>
      <w:r w:rsidR="00922B95">
        <w:t>p</w:t>
      </w:r>
      <w:r w:rsidR="00922B95" w:rsidRPr="009A7D58">
        <w:t xml:space="preserve">lans </w:t>
      </w:r>
      <w:r w:rsidRPr="009A7D58">
        <w:t xml:space="preserve">of </w:t>
      </w:r>
      <w:r w:rsidR="00922B95">
        <w:t>c</w:t>
      </w:r>
      <w:r w:rsidR="00922B95" w:rsidRPr="009A7D58">
        <w:t xml:space="preserve">onsolidation </w:t>
      </w:r>
      <w:r w:rsidRPr="009A7D58">
        <w:t xml:space="preserve">and </w:t>
      </w:r>
      <w:r w:rsidR="00922B95">
        <w:t>t</w:t>
      </w:r>
      <w:r w:rsidR="00922B95" w:rsidRPr="009A7D58">
        <w:t xml:space="preserve">itle </w:t>
      </w:r>
      <w:r w:rsidR="00922B95">
        <w:t>p</w:t>
      </w:r>
      <w:r w:rsidR="00922B95" w:rsidRPr="009A7D58">
        <w:t>lans</w:t>
      </w:r>
    </w:p>
    <w:p w:rsidR="00305B9C" w:rsidRDefault="00305B9C" w:rsidP="00F4345B">
      <w:pPr>
        <w:pStyle w:val="BodyText"/>
      </w:pPr>
      <w:r>
        <w:t>Since Land Use Victoria’s move to 2 Lonsdale Street, the process for ordering plan numbers for plans of subdivision (PS), plans of consolidation (PC) and title plans (TP) has changed.</w:t>
      </w:r>
    </w:p>
    <w:p w:rsidR="00305B9C" w:rsidRPr="002527C2" w:rsidRDefault="00305B9C" w:rsidP="00F4345B">
      <w:pPr>
        <w:pStyle w:val="BodyText"/>
        <w:rPr>
          <w:color w:val="0563C1"/>
          <w:u w:val="single"/>
        </w:rPr>
      </w:pPr>
      <w:r>
        <w:t>Requests for plan numbers must be email</w:t>
      </w:r>
      <w:r w:rsidR="00922B95">
        <w:t>ed</w:t>
      </w:r>
      <w:r>
        <w:t xml:space="preserve"> to </w:t>
      </w:r>
      <w:hyperlink r:id="rId16">
        <w:r w:rsidRPr="3416057B">
          <w:rPr>
            <w:rStyle w:val="Hyperlink"/>
          </w:rPr>
          <w:t>subdivision.branch@delwp.vic.gov.au</w:t>
        </w:r>
      </w:hyperlink>
      <w:r w:rsidR="00922B95">
        <w:rPr>
          <w:rStyle w:val="Hyperlink"/>
        </w:rPr>
        <w:t>.</w:t>
      </w:r>
    </w:p>
    <w:p w:rsidR="00305B9C" w:rsidRDefault="00305B9C" w:rsidP="00F4345B">
      <w:pPr>
        <w:pStyle w:val="BodyText"/>
      </w:pPr>
      <w:r>
        <w:t xml:space="preserve">The email request </w:t>
      </w:r>
      <w:r w:rsidR="00922B95">
        <w:t>needs to include</w:t>
      </w:r>
      <w:r>
        <w:t>:</w:t>
      </w:r>
    </w:p>
    <w:p w:rsidR="00305B9C" w:rsidRDefault="00922B95" w:rsidP="00F4345B">
      <w:pPr>
        <w:pStyle w:val="ListBullet"/>
      </w:pPr>
      <w:r>
        <w:t xml:space="preserve">the </w:t>
      </w:r>
      <w:r w:rsidR="00305B9C">
        <w:t>surveying firm or organisation making the request</w:t>
      </w:r>
    </w:p>
    <w:p w:rsidR="00305B9C" w:rsidRDefault="00922B95" w:rsidP="00F4345B">
      <w:pPr>
        <w:pStyle w:val="ListBullet"/>
      </w:pPr>
      <w:r>
        <w:t xml:space="preserve">the </w:t>
      </w:r>
      <w:r w:rsidR="00305B9C">
        <w:t>request</w:t>
      </w:r>
      <w:r w:rsidR="00A57A52">
        <w:t>e</w:t>
      </w:r>
      <w:r w:rsidR="00305B9C">
        <w:t>r’s customer code</w:t>
      </w:r>
    </w:p>
    <w:p w:rsidR="00305B9C" w:rsidRDefault="00922B95" w:rsidP="00F4345B">
      <w:pPr>
        <w:pStyle w:val="ListBullet"/>
      </w:pPr>
      <w:r>
        <w:t xml:space="preserve">the </w:t>
      </w:r>
      <w:r w:rsidR="00305B9C">
        <w:t>type of plan numbers being requested</w:t>
      </w:r>
    </w:p>
    <w:p w:rsidR="00305B9C" w:rsidRDefault="00922B95" w:rsidP="00F4345B">
      <w:pPr>
        <w:pStyle w:val="ListBullet"/>
      </w:pPr>
      <w:r>
        <w:t xml:space="preserve">the </w:t>
      </w:r>
      <w:r w:rsidR="00305B9C">
        <w:t>quantity of plan numbers required</w:t>
      </w:r>
    </w:p>
    <w:p w:rsidR="00305B9C" w:rsidRDefault="00922B95" w:rsidP="00F4345B">
      <w:pPr>
        <w:pStyle w:val="ListBullet"/>
      </w:pPr>
      <w:r>
        <w:t xml:space="preserve">the requester’s contact </w:t>
      </w:r>
      <w:r w:rsidR="00305B9C">
        <w:t xml:space="preserve">name and phone number </w:t>
      </w:r>
      <w:r>
        <w:t xml:space="preserve">so that </w:t>
      </w:r>
      <w:r w:rsidR="00305B9C">
        <w:t xml:space="preserve">our cashiers </w:t>
      </w:r>
      <w:r>
        <w:t xml:space="preserve">can make </w:t>
      </w:r>
      <w:r w:rsidR="00305B9C">
        <w:t>contact to finalise payment</w:t>
      </w:r>
      <w:r>
        <w:t>.</w:t>
      </w:r>
    </w:p>
    <w:p w:rsidR="00305B9C" w:rsidRDefault="00305B9C" w:rsidP="00F4345B">
      <w:pPr>
        <w:pStyle w:val="BodyText"/>
      </w:pPr>
      <w:r>
        <w:t xml:space="preserve">Payment for PS and PC numbers will be made by credit card over the phone. Please do not include credit card details in the email </w:t>
      </w:r>
      <w:r w:rsidR="00922B95">
        <w:t xml:space="preserve">– </w:t>
      </w:r>
      <w:r>
        <w:t>Land Use Victoria (LUV) cannot accept written down credit card details (to comply with the Payment Card Industry Data Security Standards). Please refer to Customer Information Bulletin 140 (2013) for further information.</w:t>
      </w:r>
    </w:p>
    <w:p w:rsidR="00305B9C" w:rsidRDefault="00305B9C" w:rsidP="00F4345B">
      <w:pPr>
        <w:pStyle w:val="BodyText"/>
      </w:pPr>
      <w:r>
        <w:t>TP numbers will continue to be issued at no charge.</w:t>
      </w:r>
      <w:r w:rsidR="00F4345B">
        <w:t xml:space="preserve"> </w:t>
      </w:r>
    </w:p>
    <w:p w:rsidR="00305B9C" w:rsidRDefault="00305B9C" w:rsidP="00F4345B">
      <w:pPr>
        <w:pStyle w:val="BodyText"/>
        <w:rPr>
          <w:rStyle w:val="Hyperlink"/>
        </w:rPr>
      </w:pPr>
      <w:r>
        <w:lastRenderedPageBreak/>
        <w:t xml:space="preserve">For </w:t>
      </w:r>
      <w:r w:rsidR="00922B95">
        <w:t xml:space="preserve">further </w:t>
      </w:r>
      <w:r>
        <w:t>enquiries</w:t>
      </w:r>
      <w:r w:rsidR="00922B95">
        <w:t>,</w:t>
      </w:r>
      <w:r>
        <w:t xml:space="preserve"> please email </w:t>
      </w:r>
      <w:hyperlink r:id="rId17">
        <w:r w:rsidRPr="3416057B">
          <w:rPr>
            <w:rStyle w:val="Hyperlink"/>
          </w:rPr>
          <w:t>subdivision.branch@delwp.vic.gov.au</w:t>
        </w:r>
      </w:hyperlink>
      <w:r w:rsidR="00922B95">
        <w:rPr>
          <w:rStyle w:val="Hyperlink"/>
        </w:rPr>
        <w:t>.</w:t>
      </w:r>
    </w:p>
    <w:p w:rsidR="00305B9C" w:rsidRPr="009A7D58" w:rsidRDefault="00305B9C" w:rsidP="00F4345B">
      <w:pPr>
        <w:pStyle w:val="Heading1"/>
      </w:pPr>
      <w:r w:rsidRPr="009A7D58">
        <w:t xml:space="preserve">Reserve </w:t>
      </w:r>
      <w:r w:rsidR="004E5083">
        <w:t>with ‘purpose</w:t>
      </w:r>
      <w:r w:rsidR="004E5083" w:rsidRPr="009A7D58">
        <w:t>’</w:t>
      </w:r>
      <w:r w:rsidR="004E5083">
        <w:t xml:space="preserve"> </w:t>
      </w:r>
      <w:r w:rsidRPr="009A7D58">
        <w:t xml:space="preserve">on </w:t>
      </w:r>
      <w:r w:rsidR="004E5083">
        <w:t xml:space="preserve">a </w:t>
      </w:r>
      <w:r w:rsidR="00922B95">
        <w:t>p</w:t>
      </w:r>
      <w:r w:rsidR="00922B95" w:rsidRPr="009A7D58">
        <w:t xml:space="preserve">lan </w:t>
      </w:r>
      <w:r w:rsidRPr="009A7D58">
        <w:t xml:space="preserve">of </w:t>
      </w:r>
      <w:r w:rsidR="00922B95">
        <w:t>s</w:t>
      </w:r>
      <w:r w:rsidR="00922B95" w:rsidRPr="009A7D58">
        <w:t>ubdivision</w:t>
      </w:r>
      <w:r w:rsidRPr="009A7D58">
        <w:t xml:space="preserve"> </w:t>
      </w:r>
    </w:p>
    <w:p w:rsidR="00305B9C" w:rsidRDefault="004E5083" w:rsidP="004E5083">
      <w:pPr>
        <w:pStyle w:val="BodyText"/>
      </w:pPr>
      <w:r>
        <w:t xml:space="preserve">A plan </w:t>
      </w:r>
      <w:r w:rsidR="00305B9C">
        <w:t xml:space="preserve">of </w:t>
      </w:r>
      <w:r w:rsidR="00922B95">
        <w:t xml:space="preserve">subdivision </w:t>
      </w:r>
      <w:r w:rsidR="00305B9C">
        <w:t>that create</w:t>
      </w:r>
      <w:r>
        <w:t>s</w:t>
      </w:r>
      <w:r w:rsidR="00305B9C">
        <w:t xml:space="preserve"> </w:t>
      </w:r>
      <w:r>
        <w:t xml:space="preserve">a </w:t>
      </w:r>
      <w:r w:rsidR="00305B9C">
        <w:t>reserve sometimes show</w:t>
      </w:r>
      <w:r>
        <w:t>s</w:t>
      </w:r>
      <w:r w:rsidR="00305B9C">
        <w:t xml:space="preserve"> a ‘purpose’ attached to </w:t>
      </w:r>
      <w:r>
        <w:t xml:space="preserve">it </w:t>
      </w:r>
      <w:r w:rsidR="00305B9C">
        <w:t xml:space="preserve">(e.g. </w:t>
      </w:r>
      <w:r>
        <w:t>‘</w:t>
      </w:r>
      <w:r w:rsidR="00305B9C">
        <w:t>Drainage Reserve No.1</w:t>
      </w:r>
      <w:r>
        <w:t>’</w:t>
      </w:r>
      <w:r w:rsidR="00305B9C">
        <w:t xml:space="preserve">). </w:t>
      </w:r>
    </w:p>
    <w:p w:rsidR="004E5083" w:rsidRDefault="004E5083" w:rsidP="004E5083">
      <w:pPr>
        <w:pStyle w:val="BodyText"/>
      </w:pPr>
      <w:r>
        <w:t>I</w:t>
      </w:r>
      <w:r w:rsidRPr="5EB97D65">
        <w:t>t is L</w:t>
      </w:r>
      <w:r w:rsidR="00631831">
        <w:t>and Use Victoria</w:t>
      </w:r>
      <w:r w:rsidRPr="5EB97D65">
        <w:t xml:space="preserve">’s preference that reserves are </w:t>
      </w:r>
      <w:r w:rsidR="00F32AD0">
        <w:t xml:space="preserve">only ever </w:t>
      </w:r>
      <w:r w:rsidRPr="5EB97D65">
        <w:t>identified on the plan by the parcel description (e.g. Reserve 1)</w:t>
      </w:r>
      <w:r>
        <w:t>. This is because when a plan of subdivision is registered, the folio for the reserve parcel will only ever be issued as ‘Reserve’</w:t>
      </w:r>
      <w:r w:rsidR="00F32AD0">
        <w:t>,</w:t>
      </w:r>
      <w:r>
        <w:t xml:space="preserve"> followed by the parcel number.</w:t>
      </w:r>
    </w:p>
    <w:p w:rsidR="00305B9C" w:rsidRDefault="00F32AD0" w:rsidP="004E5083">
      <w:pPr>
        <w:pStyle w:val="BodyText"/>
      </w:pPr>
      <w:r>
        <w:t>If any other purpose is</w:t>
      </w:r>
      <w:r w:rsidR="00305B9C">
        <w:t xml:space="preserve"> added to the plan at the insistence of the council or referral authority, </w:t>
      </w:r>
      <w:r>
        <w:t xml:space="preserve">it </w:t>
      </w:r>
      <w:r w:rsidR="00305B9C">
        <w:t>can cause issues once the plan is lodged with Land Use Victoria</w:t>
      </w:r>
      <w:r w:rsidR="00631831">
        <w:t xml:space="preserve"> (LUV)</w:t>
      </w:r>
      <w:r w:rsidR="00305B9C">
        <w:t>.</w:t>
      </w:r>
    </w:p>
    <w:p w:rsidR="00305B9C" w:rsidRPr="00CE550B" w:rsidRDefault="00305B9C" w:rsidP="00F4345B">
      <w:pPr>
        <w:pStyle w:val="BodyText"/>
        <w:rPr>
          <w:rFonts w:ascii="Calibri" w:eastAsia="Calibri" w:hAnsi="Calibri"/>
        </w:rPr>
      </w:pPr>
      <w:r>
        <w:t>The definition in Section 3 of the Subdivision Act provide</w:t>
      </w:r>
      <w:r w:rsidR="00F32AD0">
        <w:t>s</w:t>
      </w:r>
      <w:r>
        <w:t xml:space="preserve"> for three uses of a reserve:</w:t>
      </w:r>
    </w:p>
    <w:p w:rsidR="00305B9C" w:rsidRDefault="00305B9C" w:rsidP="00F4345B">
      <w:pPr>
        <w:pStyle w:val="ListBullet"/>
      </w:pPr>
      <w:r>
        <w:t>as public open space</w:t>
      </w:r>
    </w:p>
    <w:p w:rsidR="00305B9C" w:rsidRDefault="00305B9C" w:rsidP="00F4345B">
      <w:pPr>
        <w:pStyle w:val="ListBullet"/>
      </w:pPr>
      <w:r>
        <w:t>for the use of a public authority</w:t>
      </w:r>
    </w:p>
    <w:p w:rsidR="00305B9C" w:rsidRDefault="00305B9C" w:rsidP="004E5083">
      <w:pPr>
        <w:pStyle w:val="ListBullet"/>
      </w:pPr>
      <w:r>
        <w:t xml:space="preserve">for the use of a </w:t>
      </w:r>
      <w:r w:rsidR="004E5083">
        <w:t>council.</w:t>
      </w:r>
    </w:p>
    <w:p w:rsidR="00305B9C" w:rsidRDefault="00305B9C" w:rsidP="00F4345B">
      <w:pPr>
        <w:pStyle w:val="BodyText"/>
      </w:pPr>
      <w:r>
        <w:t xml:space="preserve">The </w:t>
      </w:r>
      <w:r w:rsidR="00F32AD0">
        <w:t xml:space="preserve">purpose </w:t>
      </w:r>
      <w:r>
        <w:t>is</w:t>
      </w:r>
      <w:r w:rsidR="00F32AD0">
        <w:t xml:space="preserve"> therefore unnecessary and</w:t>
      </w:r>
      <w:r>
        <w:t xml:space="preserve"> not </w:t>
      </w:r>
      <w:r w:rsidR="00F32AD0">
        <w:t>required</w:t>
      </w:r>
      <w:r>
        <w:t xml:space="preserve"> on the plan itself</w:t>
      </w:r>
      <w:r w:rsidR="005559BA">
        <w:t xml:space="preserve">. </w:t>
      </w:r>
      <w:r w:rsidR="00227C0D">
        <w:t xml:space="preserve">It </w:t>
      </w:r>
      <w:r>
        <w:t xml:space="preserve">is </w:t>
      </w:r>
      <w:r w:rsidR="004E5083">
        <w:t>specified or implied</w:t>
      </w:r>
      <w:r w:rsidRPr="5EB97D65">
        <w:rPr>
          <w:i/>
          <w:iCs/>
        </w:rPr>
        <w:t xml:space="preserve"> </w:t>
      </w:r>
      <w:r>
        <w:t>through the</w:t>
      </w:r>
      <w:r w:rsidR="004E5083">
        <w:t xml:space="preserve"> body </w:t>
      </w:r>
      <w:r w:rsidR="00227C0D">
        <w:t xml:space="preserve">in which </w:t>
      </w:r>
      <w:r w:rsidR="004E5083">
        <w:t>the reserve is vested</w:t>
      </w:r>
      <w:r w:rsidR="00964840">
        <w:t>.</w:t>
      </w:r>
    </w:p>
    <w:p w:rsidR="005559BA" w:rsidRDefault="00227C0D" w:rsidP="004E5083">
      <w:pPr>
        <w:pStyle w:val="BodyText"/>
      </w:pPr>
      <w:r>
        <w:t>If</w:t>
      </w:r>
      <w:r w:rsidR="00305B9C">
        <w:t xml:space="preserve"> a purpose is shown with a reserve parcel description on a </w:t>
      </w:r>
      <w:r w:rsidR="00F32AD0">
        <w:t xml:space="preserve">plan </w:t>
      </w:r>
      <w:r w:rsidR="00305B9C">
        <w:t xml:space="preserve">of </w:t>
      </w:r>
      <w:r w:rsidR="00F32AD0">
        <w:t>subdivision</w:t>
      </w:r>
      <w:r w:rsidR="00305B9C">
        <w:t xml:space="preserve">, LUV will not request the deletion of the additional words. </w:t>
      </w:r>
      <w:r>
        <w:t>However,</w:t>
      </w:r>
      <w:r w:rsidR="00305B9C">
        <w:t xml:space="preserve"> any purpose shown is not binding and does not </w:t>
      </w:r>
      <w:r w:rsidR="00F32AD0">
        <w:t xml:space="preserve">imply </w:t>
      </w:r>
      <w:r w:rsidR="00305B9C">
        <w:t>any additional rights, such as an easement.</w:t>
      </w:r>
      <w:r w:rsidR="00F4345B">
        <w:t xml:space="preserve"> </w:t>
      </w:r>
    </w:p>
    <w:p w:rsidR="00305B9C" w:rsidRPr="004E5083" w:rsidRDefault="00227C0D" w:rsidP="004E5083">
      <w:pPr>
        <w:pStyle w:val="BodyText"/>
      </w:pPr>
      <w:r>
        <w:t xml:space="preserve">Note: </w:t>
      </w:r>
      <w:r w:rsidR="00305B9C">
        <w:t xml:space="preserve">any purposes that are shown cannot be amended or altered once the plan has been registered. </w:t>
      </w:r>
    </w:p>
    <w:p w:rsidR="00305B9C" w:rsidRPr="004E5083" w:rsidRDefault="00305B9C" w:rsidP="004E5083">
      <w:pPr>
        <w:pStyle w:val="Heading1"/>
      </w:pPr>
      <w:r w:rsidRPr="00B36C3F">
        <w:t>Land Legislation Amendment Act 2017</w:t>
      </w:r>
    </w:p>
    <w:p w:rsidR="00305B9C" w:rsidRDefault="00305B9C" w:rsidP="00227C0D">
      <w:pPr>
        <w:pStyle w:val="BodyText"/>
      </w:pPr>
      <w:r w:rsidRPr="3416057B">
        <w:t xml:space="preserve">The </w:t>
      </w:r>
      <w:r w:rsidRPr="3416057B">
        <w:rPr>
          <w:i/>
          <w:iCs/>
        </w:rPr>
        <w:t>Transfer of Land Act 1958</w:t>
      </w:r>
      <w:r w:rsidRPr="3416057B">
        <w:t xml:space="preserve">, </w:t>
      </w:r>
      <w:r>
        <w:t xml:space="preserve">the </w:t>
      </w:r>
      <w:r w:rsidRPr="3416057B">
        <w:rPr>
          <w:i/>
          <w:iCs/>
        </w:rPr>
        <w:t>Subdivision Act 1988</w:t>
      </w:r>
      <w:r w:rsidRPr="3416057B">
        <w:t xml:space="preserve"> and the </w:t>
      </w:r>
      <w:r w:rsidRPr="3416057B">
        <w:rPr>
          <w:i/>
          <w:iCs/>
        </w:rPr>
        <w:t>Valuation of Land Act 1960</w:t>
      </w:r>
      <w:r w:rsidRPr="3416057B">
        <w:t xml:space="preserve"> have been amended by the </w:t>
      </w:r>
      <w:r w:rsidRPr="3416057B">
        <w:rPr>
          <w:i/>
          <w:iCs/>
        </w:rPr>
        <w:t>Land Legislation Amendment Act 2017</w:t>
      </w:r>
      <w:r w:rsidRPr="3416057B">
        <w:t xml:space="preserve"> (the amending Act), which commenced operation on 20 September 2017. </w:t>
      </w:r>
    </w:p>
    <w:p w:rsidR="00631831" w:rsidRDefault="00631831" w:rsidP="00227C0D">
      <w:pPr>
        <w:pStyle w:val="BodyText"/>
      </w:pPr>
      <w:r w:rsidRPr="3416057B">
        <w:t>Customers are encouraged to read the amending Act to fully understand the new provisions.</w:t>
      </w:r>
    </w:p>
    <w:p w:rsidR="00724001" w:rsidRPr="00227C0D" w:rsidRDefault="00724001" w:rsidP="00CE5D9A">
      <w:pPr>
        <w:pStyle w:val="Heading2"/>
      </w:pPr>
      <w:r>
        <w:t>Transfer of Land Act</w:t>
      </w:r>
    </w:p>
    <w:p w:rsidR="00305B9C" w:rsidRPr="009E571C" w:rsidRDefault="00305B9C" w:rsidP="00F4345B">
      <w:pPr>
        <w:pStyle w:val="BodyText"/>
      </w:pPr>
      <w:r w:rsidRPr="009E571C">
        <w:t xml:space="preserve">The </w:t>
      </w:r>
      <w:r>
        <w:t>amending Act</w:t>
      </w:r>
      <w:r w:rsidRPr="009E571C">
        <w:t xml:space="preserve"> amend</w:t>
      </w:r>
      <w:r>
        <w:t>s</w:t>
      </w:r>
      <w:r w:rsidRPr="009E571C">
        <w:t xml:space="preserve"> the </w:t>
      </w:r>
      <w:r w:rsidRPr="009E571C">
        <w:rPr>
          <w:i/>
        </w:rPr>
        <w:t>Transfer of Land Act 1958</w:t>
      </w:r>
      <w:r>
        <w:t xml:space="preserve"> as follows</w:t>
      </w:r>
      <w:r w:rsidRPr="009E571C">
        <w:t>:</w:t>
      </w:r>
    </w:p>
    <w:p w:rsidR="00305B9C" w:rsidRPr="009E571C" w:rsidRDefault="00305B9C" w:rsidP="00F4345B">
      <w:pPr>
        <w:pStyle w:val="ListBullet"/>
      </w:pPr>
      <w:r w:rsidRPr="009E571C">
        <w:t xml:space="preserve">the provisions relating to the conversion of General law land into land under the operation of the </w:t>
      </w:r>
      <w:r w:rsidRPr="009E571C">
        <w:rPr>
          <w:i/>
        </w:rPr>
        <w:t>Transfer of Land Act 1958</w:t>
      </w:r>
      <w:r w:rsidRPr="009E571C">
        <w:t xml:space="preserve"> </w:t>
      </w:r>
    </w:p>
    <w:p w:rsidR="00305B9C" w:rsidRPr="009E571C" w:rsidRDefault="00147518" w:rsidP="00F4345B">
      <w:pPr>
        <w:pStyle w:val="ListBullet"/>
      </w:pPr>
      <w:r>
        <w:t>S</w:t>
      </w:r>
      <w:r w:rsidRPr="009E571C">
        <w:t xml:space="preserve">ection </w:t>
      </w:r>
      <w:r w:rsidR="00305B9C" w:rsidRPr="009E571C">
        <w:t xml:space="preserve">27G to better reflect the processes associated with registering plans under the </w:t>
      </w:r>
      <w:r w:rsidR="00305B9C" w:rsidRPr="00CE5D9A">
        <w:rPr>
          <w:i/>
        </w:rPr>
        <w:t>Subdivision Act 1988</w:t>
      </w:r>
    </w:p>
    <w:p w:rsidR="00305B9C" w:rsidRPr="009E571C" w:rsidRDefault="00147518" w:rsidP="00F4345B">
      <w:pPr>
        <w:pStyle w:val="ListBullet"/>
      </w:pPr>
      <w:r>
        <w:t>S</w:t>
      </w:r>
      <w:r w:rsidRPr="009E571C">
        <w:t xml:space="preserve">ection </w:t>
      </w:r>
      <w:r w:rsidR="00305B9C" w:rsidRPr="009E571C">
        <w:t>28 to reflect current practices in relation to the processing of Crown grants</w:t>
      </w:r>
    </w:p>
    <w:p w:rsidR="00305B9C" w:rsidRPr="009E571C" w:rsidRDefault="00147518" w:rsidP="00F4345B">
      <w:pPr>
        <w:pStyle w:val="ListBullet"/>
      </w:pPr>
      <w:r>
        <w:t>S</w:t>
      </w:r>
      <w:r w:rsidRPr="009E571C">
        <w:t xml:space="preserve">ection </w:t>
      </w:r>
      <w:r w:rsidR="00305B9C" w:rsidRPr="009E571C">
        <w:t>47</w:t>
      </w:r>
      <w:r>
        <w:t xml:space="preserve"> to</w:t>
      </w:r>
      <w:r w:rsidR="00305B9C" w:rsidRPr="009E571C">
        <w:t xml:space="preserve"> enable vesting orders when the purchaser of property cannot provide proof of payment but the Registrar of Titles is otherwise satisfied there is an entitlement to a vesting order</w:t>
      </w:r>
    </w:p>
    <w:p w:rsidR="00305B9C" w:rsidRPr="009E571C" w:rsidRDefault="00147518" w:rsidP="00F4345B">
      <w:pPr>
        <w:pStyle w:val="ListBullet"/>
      </w:pPr>
      <w:r>
        <w:t>S</w:t>
      </w:r>
      <w:r w:rsidRPr="009E571C">
        <w:t xml:space="preserve">ection </w:t>
      </w:r>
      <w:r w:rsidR="00305B9C" w:rsidRPr="009E571C">
        <w:t>52 so that a court order against land (often a warrant) can be removed from the Register of land upon application to the Registrar of Titles of the judgement creditor without full satisfaction of the debt</w:t>
      </w:r>
    </w:p>
    <w:p w:rsidR="00305B9C" w:rsidRPr="009E571C" w:rsidRDefault="00147518" w:rsidP="00F4345B">
      <w:pPr>
        <w:pStyle w:val="ListBullet"/>
      </w:pPr>
      <w:r>
        <w:t>S</w:t>
      </w:r>
      <w:r w:rsidRPr="009E571C">
        <w:t xml:space="preserve">ection </w:t>
      </w:r>
      <w:r w:rsidR="00305B9C" w:rsidRPr="009E571C">
        <w:t>59 to simplify the process for persons who have land vested in them</w:t>
      </w:r>
    </w:p>
    <w:p w:rsidR="00305B9C" w:rsidRPr="009E571C" w:rsidRDefault="00305B9C" w:rsidP="00F4345B">
      <w:pPr>
        <w:pStyle w:val="ListBullet"/>
      </w:pPr>
      <w:r w:rsidRPr="009E571C">
        <w:t xml:space="preserve">enable </w:t>
      </w:r>
      <w:r w:rsidR="00631831">
        <w:t>S</w:t>
      </w:r>
      <w:r w:rsidRPr="009E571C">
        <w:t xml:space="preserve">ection 59A to apply </w:t>
      </w:r>
      <w:r w:rsidR="00BE5E25" w:rsidRPr="009E571C">
        <w:t>whe</w:t>
      </w:r>
      <w:r w:rsidR="00BE5E25">
        <w:t>n</w:t>
      </w:r>
      <w:r w:rsidR="00BE5E25" w:rsidRPr="009E571C">
        <w:t xml:space="preserve"> a</w:t>
      </w:r>
      <w:r w:rsidRPr="009E571C">
        <w:t xml:space="preserve"> successor in law is not a body corporate</w:t>
      </w:r>
    </w:p>
    <w:p w:rsidR="00305B9C" w:rsidRPr="009E571C" w:rsidRDefault="00147518" w:rsidP="00F4345B">
      <w:pPr>
        <w:pStyle w:val="ListBullet"/>
      </w:pPr>
      <w:r>
        <w:lastRenderedPageBreak/>
        <w:t>S</w:t>
      </w:r>
      <w:r w:rsidRPr="009E571C">
        <w:t xml:space="preserve">ections </w:t>
      </w:r>
      <w:r w:rsidR="00305B9C" w:rsidRPr="009E571C">
        <w:t>74(1A), 87A and 87B to clarify mortgage provisions to ensure consistency with the Model Participation Rules for electronic conveyancing</w:t>
      </w:r>
    </w:p>
    <w:p w:rsidR="00305B9C" w:rsidRPr="009E571C" w:rsidRDefault="00147518" w:rsidP="00F4345B">
      <w:pPr>
        <w:pStyle w:val="ListBullet"/>
      </w:pPr>
      <w:r>
        <w:t>S</w:t>
      </w:r>
      <w:r w:rsidRPr="009E571C">
        <w:t xml:space="preserve">ection </w:t>
      </w:r>
      <w:r w:rsidR="00305B9C" w:rsidRPr="009E571C">
        <w:t xml:space="preserve">84(2) to enable the Registrar of Titles to remove a mortgage, if a discharge cannot be obtained, and </w:t>
      </w:r>
      <w:r>
        <w:t>S</w:t>
      </w:r>
      <w:r w:rsidRPr="009E571C">
        <w:t xml:space="preserve">ection </w:t>
      </w:r>
      <w:r w:rsidR="00305B9C" w:rsidRPr="009E571C">
        <w:t xml:space="preserve">20 of the </w:t>
      </w:r>
      <w:r w:rsidR="00305B9C" w:rsidRPr="009E571C">
        <w:rPr>
          <w:i/>
        </w:rPr>
        <w:t>Limitations of Actions Act 1958</w:t>
      </w:r>
      <w:r w:rsidR="00305B9C" w:rsidRPr="009E571C">
        <w:t xml:space="preserve"> applies</w:t>
      </w:r>
    </w:p>
    <w:p w:rsidR="00305B9C" w:rsidRPr="009E571C" w:rsidRDefault="00147518" w:rsidP="00F4345B">
      <w:pPr>
        <w:pStyle w:val="ListBullet"/>
      </w:pPr>
      <w:r>
        <w:t>S</w:t>
      </w:r>
      <w:r w:rsidRPr="009E571C">
        <w:t xml:space="preserve">ection </w:t>
      </w:r>
      <w:r w:rsidR="00305B9C" w:rsidRPr="009E571C">
        <w:t>89A to include proceedings in the Victorian Civil and Administrative Tribunal (VCAT) if VCAT has jurisdiction</w:t>
      </w:r>
    </w:p>
    <w:p w:rsidR="00305B9C" w:rsidRPr="009E571C" w:rsidRDefault="00147518" w:rsidP="00F4345B">
      <w:pPr>
        <w:pStyle w:val="ListBullet"/>
      </w:pPr>
      <w:r>
        <w:t>S</w:t>
      </w:r>
      <w:r w:rsidRPr="009E571C">
        <w:t xml:space="preserve">ection </w:t>
      </w:r>
      <w:r w:rsidR="00305B9C" w:rsidRPr="009E571C">
        <w:t>90 to remove the requirement for a caveator's consent to be lodged with the Registrar of Titles</w:t>
      </w:r>
    </w:p>
    <w:p w:rsidR="00305B9C" w:rsidRPr="009E571C" w:rsidRDefault="00147518" w:rsidP="00F4345B">
      <w:pPr>
        <w:pStyle w:val="ListBullet"/>
      </w:pPr>
      <w:r>
        <w:t>S</w:t>
      </w:r>
      <w:r w:rsidRPr="009E571C">
        <w:t xml:space="preserve">ection </w:t>
      </w:r>
      <w:r w:rsidR="00305B9C" w:rsidRPr="009E571C">
        <w:t>91 to permit priority notices to be extended for one period of 30 days</w:t>
      </w:r>
    </w:p>
    <w:p w:rsidR="00305B9C" w:rsidRPr="009E571C" w:rsidRDefault="00305B9C" w:rsidP="00F4345B">
      <w:pPr>
        <w:pStyle w:val="ListBullet"/>
      </w:pPr>
      <w:r w:rsidRPr="009E571C">
        <w:t xml:space="preserve">insert a standardised section permitting the recording of notices of a statutory charge and the removal of those notices </w:t>
      </w:r>
    </w:p>
    <w:p w:rsidR="00305B9C" w:rsidRPr="009E571C" w:rsidRDefault="00305B9C" w:rsidP="00F4345B">
      <w:pPr>
        <w:pStyle w:val="ListBullet"/>
      </w:pPr>
      <w:r w:rsidRPr="009E571C">
        <w:t>make numerous miscellaneous and minor amendments.</w:t>
      </w:r>
    </w:p>
    <w:p w:rsidR="00305B9C" w:rsidRPr="009E571C" w:rsidRDefault="00724001" w:rsidP="00CE5D9A">
      <w:pPr>
        <w:pStyle w:val="Heading2"/>
      </w:pPr>
      <w:r>
        <w:t>Subdivision Act</w:t>
      </w:r>
    </w:p>
    <w:p w:rsidR="00305B9C" w:rsidRPr="009E571C" w:rsidRDefault="00305B9C" w:rsidP="00F4345B">
      <w:pPr>
        <w:pStyle w:val="BodyText"/>
      </w:pPr>
      <w:r w:rsidRPr="009E571C">
        <w:t xml:space="preserve">The </w:t>
      </w:r>
      <w:r>
        <w:t xml:space="preserve">amending Act </w:t>
      </w:r>
      <w:r w:rsidRPr="009E571C">
        <w:t xml:space="preserve">amends the </w:t>
      </w:r>
      <w:r w:rsidRPr="009E571C">
        <w:rPr>
          <w:i/>
        </w:rPr>
        <w:t>Subdivision Act 1988</w:t>
      </w:r>
      <w:r w:rsidRPr="009E571C">
        <w:t xml:space="preserve"> to:</w:t>
      </w:r>
    </w:p>
    <w:p w:rsidR="00305B9C" w:rsidRPr="009E571C" w:rsidRDefault="00305B9C" w:rsidP="00F4345B">
      <w:pPr>
        <w:pStyle w:val="ListBullet"/>
      </w:pPr>
      <w:r w:rsidRPr="009E571C">
        <w:t>remove the requirement for certain owners corporation information to be provided in a separate document</w:t>
      </w:r>
    </w:p>
    <w:p w:rsidR="00305B9C" w:rsidRPr="009E571C" w:rsidRDefault="00305B9C" w:rsidP="00F4345B">
      <w:pPr>
        <w:pStyle w:val="ListBullet"/>
      </w:pPr>
      <w:r w:rsidRPr="009E571C">
        <w:t>clarify the definitions of limited owners corporation and unlimited owners corporation</w:t>
      </w:r>
    </w:p>
    <w:p w:rsidR="00305B9C" w:rsidRPr="009E571C" w:rsidRDefault="00305B9C" w:rsidP="00F4345B">
      <w:pPr>
        <w:pStyle w:val="ListBullet"/>
      </w:pPr>
      <w:r w:rsidRPr="009E571C">
        <w:t>provide clarity and flexibility to the provisions relat</w:t>
      </w:r>
      <w:r w:rsidR="00631831">
        <w:t>ing to easements implied under S</w:t>
      </w:r>
      <w:r w:rsidRPr="009E571C">
        <w:t xml:space="preserve">ection 12(2) of the </w:t>
      </w:r>
      <w:r w:rsidRPr="009E571C">
        <w:rPr>
          <w:i/>
        </w:rPr>
        <w:t>Subdivision Act</w:t>
      </w:r>
      <w:r>
        <w:rPr>
          <w:i/>
        </w:rPr>
        <w:t xml:space="preserve"> </w:t>
      </w:r>
      <w:r w:rsidRPr="009E571C">
        <w:rPr>
          <w:i/>
        </w:rPr>
        <w:t>1988</w:t>
      </w:r>
    </w:p>
    <w:p w:rsidR="00305B9C" w:rsidRPr="009E571C" w:rsidRDefault="00305B9C" w:rsidP="00F4345B">
      <w:pPr>
        <w:pStyle w:val="ListBullet"/>
      </w:pPr>
      <w:r w:rsidRPr="009E571C">
        <w:t>make numerous miscellaneous amendments.</w:t>
      </w:r>
    </w:p>
    <w:p w:rsidR="00305B9C" w:rsidRPr="009E571C" w:rsidRDefault="00724001" w:rsidP="00CE5D9A">
      <w:pPr>
        <w:pStyle w:val="Heading2"/>
      </w:pPr>
      <w:r>
        <w:t>Valuation of Land Act</w:t>
      </w:r>
    </w:p>
    <w:p w:rsidR="00147518" w:rsidRPr="00631831" w:rsidRDefault="00305B9C" w:rsidP="00F4345B">
      <w:pPr>
        <w:pStyle w:val="BodyText"/>
      </w:pPr>
      <w:r w:rsidRPr="009E571C">
        <w:t xml:space="preserve">The </w:t>
      </w:r>
      <w:r>
        <w:t>amending Act</w:t>
      </w:r>
      <w:r w:rsidRPr="009E571C">
        <w:t xml:space="preserve"> amend</w:t>
      </w:r>
      <w:r>
        <w:t>s</w:t>
      </w:r>
      <w:r w:rsidRPr="009E571C">
        <w:t xml:space="preserve"> the </w:t>
      </w:r>
      <w:r w:rsidRPr="009E571C">
        <w:rPr>
          <w:i/>
        </w:rPr>
        <w:t>Valuation of Land Act 1960</w:t>
      </w:r>
      <w:r w:rsidR="00631831">
        <w:t xml:space="preserve"> to </w:t>
      </w:r>
      <w:r w:rsidRPr="009E571C">
        <w:t>enable the provision of releasable information from the valuation record in the same way as the provision of property sales information and consistent with Government policy on information accessibility.</w:t>
      </w:r>
    </w:p>
    <w:p w:rsidR="00F4345B" w:rsidRDefault="00F4345B" w:rsidP="00F4345B">
      <w:pPr>
        <w:pStyle w:val="Heading1"/>
        <w:spacing w:after="240"/>
        <w:rPr>
          <w:rFonts w:eastAsiaTheme="minorHAnsi"/>
          <w:lang w:eastAsia="en-US"/>
        </w:rPr>
      </w:pPr>
      <w:r>
        <w:rPr>
          <w:rFonts w:eastAsiaTheme="minorHAnsi"/>
          <w:lang w:eastAsia="en-US"/>
        </w:rPr>
        <w:t>Contact us</w:t>
      </w:r>
    </w:p>
    <w:p w:rsidR="00F4345B" w:rsidRPr="00B36C3F" w:rsidRDefault="00F4345B" w:rsidP="00F4345B">
      <w:pPr>
        <w:pStyle w:val="BodyText"/>
      </w:pPr>
      <w:r>
        <w:rPr>
          <w:rFonts w:eastAsiaTheme="minorHAnsi" w:cs="Calibri"/>
          <w:color w:val="000000"/>
          <w:szCs w:val="22"/>
        </w:rPr>
        <w:t xml:space="preserve">For </w:t>
      </w:r>
      <w:hyperlink r:id="rId18"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19" w:history="1">
        <w:r>
          <w:rPr>
            <w:rFonts w:eastAsiaTheme="minorHAnsi" w:cs="Calibri"/>
            <w:color w:val="000000"/>
            <w:szCs w:val="22"/>
            <w:u w:val="single"/>
          </w:rPr>
          <w:t>www.propertyandlandtitles.vic.gov.au/contact-us</w:t>
        </w:r>
      </w:hyperlink>
      <w:r>
        <w:rPr>
          <w:rFonts w:eastAsiaTheme="minorHAnsi" w:cs="Calibri"/>
          <w:color w:val="000000"/>
          <w:szCs w:val="22"/>
        </w:rPr>
        <w:t>.</w:t>
      </w:r>
    </w:p>
    <w:p w:rsidR="00254A01" w:rsidRDefault="00254A01" w:rsidP="00254A01">
      <w:pPr>
        <w:pStyle w:val="BodyText"/>
      </w:pPr>
    </w:p>
    <w:p w:rsidR="00254A01" w:rsidRDefault="00254A01" w:rsidP="00254A01"/>
    <w:p w:rsidR="006E1C8D" w:rsidRDefault="006E1C8D" w:rsidP="005D0B1C">
      <w:pPr>
        <w:pStyle w:val="BodyText"/>
      </w:pPr>
    </w:p>
    <w:tbl>
      <w:tblPr>
        <w:tblpPr w:leftFromText="181" w:rightFromText="181" w:topFromText="113" w:vertAnchor="page" w:horzAnchor="page" w:tblpX="852" w:tblpY="12985"/>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631831" w:rsidTr="00FD48B2">
        <w:trPr>
          <w:trHeight w:val="2608"/>
        </w:trPr>
        <w:tc>
          <w:tcPr>
            <w:tcW w:w="5216" w:type="dxa"/>
            <w:tcBorders>
              <w:top w:val="single" w:sz="2" w:space="0" w:color="00B2A9"/>
              <w:left w:val="nil"/>
              <w:bottom w:val="nil"/>
              <w:right w:val="nil"/>
            </w:tcBorders>
            <w:hideMark/>
          </w:tcPr>
          <w:p w:rsidR="00631831" w:rsidRDefault="00631831" w:rsidP="00FD48B2">
            <w:pPr>
              <w:pStyle w:val="SmallBodyText"/>
            </w:pPr>
            <w:r>
              <w:t xml:space="preserve">© The State of Victoria Department of Environment, Land, Water and Planning </w:t>
            </w:r>
            <w:r>
              <w:fldChar w:fldCharType="begin"/>
            </w:r>
            <w:r>
              <w:instrText xml:space="preserve"> DATE  \@ "yyyy" \* MERGEFORMAT </w:instrText>
            </w:r>
            <w:r>
              <w:fldChar w:fldCharType="separate"/>
            </w:r>
            <w:r>
              <w:rPr>
                <w:noProof/>
              </w:rPr>
              <w:t>2017</w:t>
            </w:r>
            <w:r>
              <w:fldChar w:fldCharType="end"/>
            </w:r>
          </w:p>
          <w:p w:rsidR="00631831" w:rsidRDefault="00631831" w:rsidP="00FD48B2">
            <w:pPr>
              <w:pStyle w:val="SmallBodyText"/>
            </w:pPr>
            <w:r>
              <w:rPr>
                <w:noProof/>
              </w:rPr>
              <w:drawing>
                <wp:anchor distT="0" distB="0" distL="114300" distR="36195" simplePos="0" relativeHeight="251659264" behindDoc="0" locked="1" layoutInCell="1" allowOverlap="1" wp14:anchorId="54563E85" wp14:editId="0BA95E1E">
                  <wp:simplePos x="0" y="0"/>
                  <wp:positionH relativeFrom="column">
                    <wp:posOffset>0</wp:posOffset>
                  </wp:positionH>
                  <wp:positionV relativeFrom="paragraph">
                    <wp:posOffset>28575</wp:posOffset>
                  </wp:positionV>
                  <wp:extent cx="658495" cy="237490"/>
                  <wp:effectExtent l="0" t="0" r="8255" b="0"/>
                  <wp:wrapSquare wrapText="bothSides"/>
                  <wp:docPr id="13" name="Picture 13"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bookmarkStart w:id="2" w:name="_ImprintPageOne"/>
            <w:bookmarkEnd w:id="2"/>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00631831" w:rsidRDefault="00631831" w:rsidP="00FD48B2">
            <w:pPr>
              <w:pStyle w:val="SmallHeading"/>
            </w:pPr>
            <w:r>
              <w:t>Disclaimer</w:t>
            </w:r>
          </w:p>
          <w:p w:rsidR="00631831" w:rsidRDefault="00631831" w:rsidP="00FD48B2">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tcBorders>
              <w:top w:val="single" w:sz="2" w:space="0" w:color="00B2A9"/>
              <w:left w:val="nil"/>
              <w:bottom w:val="nil"/>
              <w:right w:val="nil"/>
            </w:tcBorders>
          </w:tcPr>
          <w:p w:rsidR="00631831" w:rsidRDefault="00631831" w:rsidP="00FD48B2">
            <w:pPr>
              <w:pStyle w:val="xAccessibilityHeading"/>
            </w:pPr>
            <w:bookmarkStart w:id="3" w:name="_Accessibility"/>
            <w:bookmarkEnd w:id="3"/>
            <w:r>
              <w:t>Accessibility</w:t>
            </w:r>
          </w:p>
          <w:p w:rsidR="00631831" w:rsidRDefault="00631831" w:rsidP="00FD48B2">
            <w:pPr>
              <w:pStyle w:val="xAccessibilityText"/>
            </w:pPr>
            <w:r>
              <w:t>If you would like to receive this publication in an alternative format, please telephone the DELWP Customer Service Centre on 136186, email </w:t>
            </w:r>
            <w:hyperlink r:id="rId21" w:history="1">
              <w:r>
                <w:rPr>
                  <w:rStyle w:val="Hyperlink"/>
                </w:rPr>
                <w:t>customer.service@delwp.vic.gov.au</w:t>
              </w:r>
            </w:hyperlink>
            <w:r>
              <w:t xml:space="preserve">, or via the National Relay Service on 133 677 </w:t>
            </w:r>
            <w:hyperlink r:id="rId22" w:history="1">
              <w:r>
                <w:rPr>
                  <w:rStyle w:val="Hyperlink"/>
                </w:rPr>
                <w:t>www.relayservice.com.au</w:t>
              </w:r>
            </w:hyperlink>
            <w:r>
              <w:t xml:space="preserve">. This document is also available on the internet at </w:t>
            </w:r>
            <w:hyperlink r:id="rId23" w:history="1">
              <w:r>
                <w:rPr>
                  <w:rStyle w:val="Hyperlink"/>
                </w:rPr>
                <w:t>www.delwp.vic.gov.au</w:t>
              </w:r>
            </w:hyperlink>
            <w:r>
              <w:t xml:space="preserve">. </w:t>
            </w:r>
          </w:p>
          <w:p w:rsidR="00631831" w:rsidRDefault="00631831" w:rsidP="00FD48B2">
            <w:pPr>
              <w:pStyle w:val="SmallBodyText"/>
            </w:pPr>
          </w:p>
        </w:tc>
      </w:tr>
    </w:tbl>
    <w:p w:rsidR="00850A57" w:rsidRDefault="00850A57" w:rsidP="005D0B1C">
      <w:pPr>
        <w:pStyle w:val="BodyText"/>
      </w:pPr>
    </w:p>
    <w:p w:rsidR="00850A57" w:rsidRDefault="00850A57" w:rsidP="005D0B1C">
      <w:pPr>
        <w:pStyle w:val="BodyText"/>
      </w:pPr>
      <w:bookmarkStart w:id="4" w:name="_GoBack"/>
      <w:bookmarkEnd w:id="4"/>
    </w:p>
    <w:sectPr w:rsidR="00850A57" w:rsidSect="00305B9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61F" w:rsidRDefault="001F361F">
      <w:r>
        <w:separator/>
      </w:r>
    </w:p>
    <w:p w:rsidR="001F361F" w:rsidRDefault="001F361F"/>
    <w:p w:rsidR="001F361F" w:rsidRDefault="001F361F"/>
  </w:endnote>
  <w:endnote w:type="continuationSeparator" w:id="0">
    <w:p w:rsidR="001F361F" w:rsidRDefault="001F361F">
      <w:r>
        <w:continuationSeparator/>
      </w:r>
    </w:p>
    <w:p w:rsidR="001F361F" w:rsidRDefault="001F361F"/>
    <w:p w:rsidR="001F361F" w:rsidRDefault="001F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B5221E" w:rsidRDefault="00E962AA" w:rsidP="00E97294">
    <w:pPr>
      <w:pStyle w:val="FooterEven"/>
    </w:pPr>
    <w:r w:rsidRPr="00D55628">
      <w:rPr>
        <w:noProof/>
      </w:rPr>
      <mc:AlternateContent>
        <mc:Choice Requires="wps">
          <w:drawing>
            <wp:anchor distT="0" distB="0" distL="114300" distR="114300" simplePos="0" relativeHeight="25165056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275458"/>
      <w:docPartObj>
        <w:docPartGallery w:val="Page Numbers (Bottom of Page)"/>
        <w:docPartUnique/>
      </w:docPartObj>
    </w:sdtPr>
    <w:sdtEndPr/>
    <w:sdtContent>
      <w:sdt>
        <w:sdtPr>
          <w:id w:val="1728636285"/>
          <w:docPartObj>
            <w:docPartGallery w:val="Page Numbers (Top of Page)"/>
            <w:docPartUnique/>
          </w:docPartObj>
        </w:sdtPr>
        <w:sdtEndPr/>
        <w:sdtContent>
          <w:p w:rsidR="005F169D" w:rsidRDefault="005F169D" w:rsidP="005F169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3183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1831">
              <w:rPr>
                <w:b/>
                <w:bCs/>
                <w:noProof/>
              </w:rPr>
              <w:t>5</w:t>
            </w:r>
            <w:r>
              <w:rPr>
                <w:b/>
                <w:bCs/>
                <w:sz w:val="24"/>
                <w:szCs w:val="24"/>
              </w:rPr>
              <w:fldChar w:fldCharType="end"/>
            </w:r>
          </w:p>
        </w:sdtContent>
      </w:sdt>
    </w:sdtContent>
  </w:sdt>
  <w:p w:rsidR="00E962AA" w:rsidRDefault="00E962AA"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Default="00E962AA" w:rsidP="00BF3066">
    <w:pPr>
      <w:pStyle w:val="Footer"/>
      <w:spacing w:before="1600"/>
    </w:pPr>
    <w:r>
      <w:rPr>
        <w:noProof/>
      </w:rPr>
      <w:drawing>
        <wp:anchor distT="0" distB="0" distL="114300" distR="114300" simplePos="0" relativeHeight="251663872"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489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7" type="#_x0000_t202" style="position:absolute;margin-left:0;margin-top:0;width:303pt;height:56.7pt;z-index:2516648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TEggIAAGo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848"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61F" w:rsidRPr="008F5280" w:rsidRDefault="001F361F" w:rsidP="008F5280">
      <w:pPr>
        <w:pStyle w:val="FootnoteSeparator"/>
      </w:pPr>
    </w:p>
    <w:p w:rsidR="001F361F" w:rsidRDefault="001F361F"/>
  </w:footnote>
  <w:footnote w:type="continuationSeparator" w:id="0">
    <w:p w:rsidR="001F361F" w:rsidRDefault="001F361F" w:rsidP="008F5280">
      <w:pPr>
        <w:pStyle w:val="FootnoteSeparator"/>
      </w:pPr>
    </w:p>
    <w:p w:rsidR="001F361F" w:rsidRDefault="001F361F"/>
    <w:p w:rsidR="001F361F" w:rsidRDefault="001F361F"/>
  </w:footnote>
  <w:footnote w:type="continuationNotice" w:id="1">
    <w:p w:rsidR="001F361F" w:rsidRDefault="001F361F" w:rsidP="00D55628"/>
    <w:p w:rsidR="001F361F" w:rsidRDefault="001F361F"/>
    <w:p w:rsidR="001F361F" w:rsidRDefault="001F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9A73AF" w:rsidP="00AC028D">
          <w:pPr>
            <w:pStyle w:val="Header"/>
          </w:pPr>
          <w:r>
            <w:t>Land Use Victoria</w:t>
          </w:r>
          <w:r>
            <w:br/>
          </w:r>
          <w:r>
            <w:rPr>
              <w:sz w:val="32"/>
              <w:szCs w:val="32"/>
            </w:rPr>
            <w:t>Customer Information Bulletin</w:t>
          </w:r>
          <w:r w:rsidR="005802EB">
            <w:rPr>
              <w:sz w:val="32"/>
              <w:szCs w:val="32"/>
            </w:rPr>
            <w:t xml:space="preserve"> 171</w:t>
          </w:r>
          <w:r>
            <w:rPr>
              <w:sz w:val="32"/>
              <w:szCs w:val="32"/>
            </w:rPr>
            <w:t>, October 2017</w:t>
          </w:r>
        </w:p>
      </w:tc>
    </w:tr>
  </w:tbl>
  <w:p w:rsidR="00254A01" w:rsidRDefault="00254A01" w:rsidP="00254A01">
    <w:pPr>
      <w:pStyle w:val="Header"/>
    </w:pPr>
    <w:r w:rsidRPr="00806AB6">
      <w:rPr>
        <w:noProof/>
      </w:rPr>
      <mc:AlternateContent>
        <mc:Choice Requires="wps">
          <w:drawing>
            <wp:anchor distT="0" distB="0" distL="114300" distR="114300" simplePos="0" relativeHeight="251669504"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E79EC4" id="TriangleRight" o:spid="_x0000_s1026" style="position:absolute;margin-left:56.7pt;margin-top:22.7pt;width:68.05pt;height:70.8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1F5895" id="TriangleLeft" o:spid="_x0000_s1026" style="position:absolute;margin-left:22.7pt;margin-top:22.7pt;width:68.0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9024"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0A45799"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6B6E2A" w:rsidP="00AC028D">
          <w:pPr>
            <w:pStyle w:val="Header"/>
          </w:pPr>
          <w:r>
            <w:t>Land Use Victoria</w:t>
          </w:r>
          <w:r>
            <w:br/>
          </w:r>
          <w:r>
            <w:rPr>
              <w:sz w:val="32"/>
              <w:szCs w:val="32"/>
            </w:rPr>
            <w:t>Customer Information Bulletin</w:t>
          </w:r>
          <w:r w:rsidR="005802EB">
            <w:rPr>
              <w:sz w:val="32"/>
              <w:szCs w:val="32"/>
            </w:rPr>
            <w:t xml:space="preserve"> 171</w:t>
          </w:r>
          <w:r>
            <w:rPr>
              <w:sz w:val="32"/>
              <w:szCs w:val="32"/>
            </w:rPr>
            <w:t>, October 2017</w:t>
          </w:r>
        </w:p>
      </w:tc>
    </w:tr>
  </w:tbl>
  <w:p w:rsidR="00254A01" w:rsidRDefault="00254A01" w:rsidP="00254A01">
    <w:pPr>
      <w:pStyle w:val="Header"/>
    </w:pPr>
    <w:r w:rsidRPr="00806AB6">
      <w:rPr>
        <w:noProof/>
      </w:rPr>
      <mc:AlternateContent>
        <mc:Choice Requires="wps">
          <w:drawing>
            <wp:anchor distT="0" distB="0" distL="114300" distR="114300" simplePos="0" relativeHeight="251665408"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191947" id="TriangleRight" o:spid="_x0000_s1026" style="position:absolute;margin-left:56.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CFDFC7"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21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54FF8" id="Rectangle" o:spid="_x0000_s1026" style="position:absolute;margin-left:22.7pt;margin-top:22.7pt;width:552.7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2AA" w:rsidRPr="00E97294" w:rsidRDefault="00E962AA" w:rsidP="00E97294">
    <w:pPr>
      <w:pStyle w:val="Header"/>
    </w:pPr>
    <w:r w:rsidRPr="00806AB6">
      <w:rPr>
        <w:noProof/>
      </w:rPr>
      <mc:AlternateContent>
        <mc:Choice Requires="wps">
          <w:drawing>
            <wp:anchor distT="0" distB="0" distL="114300" distR="114300" simplePos="0" relativeHeight="251654656"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59BB18"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E45A6" id="TriangleBottom" o:spid="_x0000_s1026" style="position:absolute;margin-left:56.7pt;margin-top:93.55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A14AC"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91E0E7"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25C935A"/>
    <w:lvl w:ilvl="0">
      <w:numFmt w:val="bullet"/>
      <w:lvlText w:val="*"/>
      <w:lvlJc w:val="left"/>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EC96280"/>
    <w:multiLevelType w:val="hybridMultilevel"/>
    <w:tmpl w:val="08A85FA2"/>
    <w:lvl w:ilvl="0" w:tplc="57B64B38">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2272278"/>
    <w:multiLevelType w:val="hybridMultilevel"/>
    <w:tmpl w:val="11E60514"/>
    <w:lvl w:ilvl="0" w:tplc="EBD62A0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8" w15:restartNumberingAfterBreak="0">
    <w:nsid w:val="1B8570FE"/>
    <w:multiLevelType w:val="hybridMultilevel"/>
    <w:tmpl w:val="07C8F5D4"/>
    <w:lvl w:ilvl="0" w:tplc="D904031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6C5584"/>
    <w:multiLevelType w:val="hybridMultilevel"/>
    <w:tmpl w:val="FAA2C79C"/>
    <w:lvl w:ilvl="0" w:tplc="3B9E73F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1" w15:restartNumberingAfterBreak="0">
    <w:nsid w:val="211E3977"/>
    <w:multiLevelType w:val="hybridMultilevel"/>
    <w:tmpl w:val="86C8455C"/>
    <w:lvl w:ilvl="0" w:tplc="845E918C">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B156418"/>
    <w:multiLevelType w:val="hybridMultilevel"/>
    <w:tmpl w:val="6050718E"/>
    <w:lvl w:ilvl="0" w:tplc="B8CC041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2A018A"/>
    <w:multiLevelType w:val="hybridMultilevel"/>
    <w:tmpl w:val="7604D52A"/>
    <w:lvl w:ilvl="0" w:tplc="0AAA9062">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CAD5245"/>
    <w:multiLevelType w:val="hybridMultilevel"/>
    <w:tmpl w:val="81BC8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45EC4"/>
    <w:multiLevelType w:val="multilevel"/>
    <w:tmpl w:val="0374F24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6D626AB"/>
    <w:multiLevelType w:val="hybridMultilevel"/>
    <w:tmpl w:val="4AF071C0"/>
    <w:lvl w:ilvl="0" w:tplc="6E1207BA">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C4322F"/>
    <w:multiLevelType w:val="hybridMultilevel"/>
    <w:tmpl w:val="C5943260"/>
    <w:lvl w:ilvl="0" w:tplc="A2E81EB6">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5F481CE8"/>
    <w:multiLevelType w:val="hybridMultilevel"/>
    <w:tmpl w:val="433E210E"/>
    <w:lvl w:ilvl="0" w:tplc="5098572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8E4A49"/>
    <w:multiLevelType w:val="hybridMultilevel"/>
    <w:tmpl w:val="49E44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5" w15:restartNumberingAfterBreak="0">
    <w:nsid w:val="765851FF"/>
    <w:multiLevelType w:val="hybridMultilevel"/>
    <w:tmpl w:val="C28883F4"/>
    <w:lvl w:ilvl="0" w:tplc="8A2C19BE">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302688"/>
    <w:multiLevelType w:val="hybridMultilevel"/>
    <w:tmpl w:val="426C79C2"/>
    <w:lvl w:ilvl="0" w:tplc="29947614">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8" w15:restartNumberingAfterBreak="0">
    <w:nsid w:val="799C1A6C"/>
    <w:multiLevelType w:val="hybridMultilevel"/>
    <w:tmpl w:val="B7AA867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9" w15:restartNumberingAfterBreak="0">
    <w:nsid w:val="79CF467B"/>
    <w:multiLevelType w:val="hybridMultilevel"/>
    <w:tmpl w:val="6F929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8E30FB"/>
    <w:multiLevelType w:val="hybridMultilevel"/>
    <w:tmpl w:val="783E5520"/>
    <w:lvl w:ilvl="0" w:tplc="414A3830">
      <w:start w:val="1"/>
      <w:numFmt w:val="bullet"/>
      <w:lvlRestart w:val="0"/>
      <w:lvlText w:val=""/>
      <w:lvlJc w:val="left"/>
      <w:pPr>
        <w:tabs>
          <w:tab w:val="num" w:pos="567"/>
        </w:tabs>
        <w:ind w:left="1134"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41"/>
  </w:num>
  <w:num w:numId="3">
    <w:abstractNumId w:val="36"/>
  </w:num>
  <w:num w:numId="4">
    <w:abstractNumId w:val="47"/>
  </w:num>
  <w:num w:numId="5">
    <w:abstractNumId w:val="22"/>
  </w:num>
  <w:num w:numId="6">
    <w:abstractNumId w:val="15"/>
  </w:num>
  <w:num w:numId="7">
    <w:abstractNumId w:val="13"/>
  </w:num>
  <w:num w:numId="8">
    <w:abstractNumId w:val="11"/>
  </w:num>
  <w:num w:numId="9">
    <w:abstractNumId w:val="42"/>
  </w:num>
  <w:num w:numId="10">
    <w:abstractNumId w:val="17"/>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44"/>
    <w:lvlOverride w:ilvl="0">
      <w:startOverride w:val="1"/>
    </w:lvlOverride>
  </w:num>
  <w:num w:numId="29">
    <w:abstractNumId w:val="28"/>
  </w:num>
  <w:num w:numId="30">
    <w:abstractNumId w:val="43"/>
  </w:num>
  <w:num w:numId="31">
    <w:abstractNumId w:val="8"/>
  </w:num>
  <w:num w:numId="32">
    <w:abstractNumId w:val="40"/>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0"/>
    <w:lvlOverride w:ilvl="0">
      <w:lvl w:ilvl="0">
        <w:numFmt w:val="bullet"/>
        <w:lvlText w:val=""/>
        <w:legacy w:legacy="1" w:legacySpace="0" w:legacyIndent="0"/>
        <w:lvlJc w:val="left"/>
        <w:rPr>
          <w:rFonts w:ascii="Symbol" w:hAnsi="Symbol" w:hint="default"/>
          <w:sz w:val="22"/>
        </w:rPr>
      </w:lvl>
    </w:lvlOverride>
  </w:num>
  <w:num w:numId="44">
    <w:abstractNumId w:val="48"/>
  </w:num>
  <w:num w:numId="45">
    <w:abstractNumId w:val="46"/>
  </w:num>
  <w:num w:numId="46">
    <w:abstractNumId w:val="12"/>
  </w:num>
  <w:num w:numId="47">
    <w:abstractNumId w:val="49"/>
  </w:num>
  <w:num w:numId="48">
    <w:abstractNumId w:val="38"/>
  </w:num>
  <w:num w:numId="49">
    <w:abstractNumId w:val="29"/>
  </w:num>
  <w:num w:numId="50">
    <w:abstractNumId w:val="45"/>
  </w:num>
  <w:num w:numId="51">
    <w:abstractNumId w:val="35"/>
  </w:num>
  <w:num w:numId="52">
    <w:abstractNumId w:val="16"/>
  </w:num>
  <w:num w:numId="53">
    <w:abstractNumId w:val="50"/>
  </w:num>
  <w:num w:numId="54">
    <w:abstractNumId w:val="27"/>
  </w:num>
  <w:num w:numId="55">
    <w:abstractNumId w:val="21"/>
  </w:num>
  <w:num w:numId="56">
    <w:abstractNumId w:val="37"/>
  </w:num>
  <w:num w:numId="57">
    <w:abstractNumId w:val="25"/>
  </w:num>
  <w:num w:numId="58">
    <w:abstractNumId w:val="18"/>
  </w:num>
  <w:num w:numId="59">
    <w:abstractNumId w:val="34"/>
  </w:num>
  <w:num w:numId="60">
    <w:abstractNumId w:val="19"/>
  </w:num>
  <w:num w:numId="61">
    <w:abstractNumId w:val="1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1F361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49F"/>
    <w:rsid w:val="0003176C"/>
    <w:rsid w:val="00031F2C"/>
    <w:rsid w:val="000323E0"/>
    <w:rsid w:val="000323EF"/>
    <w:rsid w:val="0003294B"/>
    <w:rsid w:val="00032D71"/>
    <w:rsid w:val="00033137"/>
    <w:rsid w:val="00033178"/>
    <w:rsid w:val="00033331"/>
    <w:rsid w:val="00033A8A"/>
    <w:rsid w:val="0003451C"/>
    <w:rsid w:val="00034E46"/>
    <w:rsid w:val="00034EB1"/>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E90"/>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518"/>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1F"/>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C0D"/>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CF0"/>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B9C"/>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083"/>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9BA"/>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2EB"/>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69D"/>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831"/>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6E2A"/>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9E4"/>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4A9"/>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001"/>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8A4"/>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57"/>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2B95"/>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840"/>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3AF"/>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A52"/>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9CB"/>
    <w:rsid w:val="00A73A43"/>
    <w:rsid w:val="00A73CFF"/>
    <w:rsid w:val="00A73D3B"/>
    <w:rsid w:val="00A73E27"/>
    <w:rsid w:val="00A7415E"/>
    <w:rsid w:val="00A75345"/>
    <w:rsid w:val="00A7545C"/>
    <w:rsid w:val="00A754ED"/>
    <w:rsid w:val="00A756AD"/>
    <w:rsid w:val="00A75C7D"/>
    <w:rsid w:val="00A7645D"/>
    <w:rsid w:val="00A7655A"/>
    <w:rsid w:val="00A76893"/>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28E"/>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5E25"/>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1A"/>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091"/>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428"/>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D9A"/>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775"/>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2AD0"/>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45B"/>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19FA"/>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7F14689B"/>
  <w15:docId w15:val="{2864A02A-2B15-46C6-8E6D-4D5A4AAA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1F361F"/>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305B9C"/>
    <w:pPr>
      <w:spacing w:after="113"/>
    </w:pPr>
    <w:rPr>
      <w:rFonts w:ascii="Calibri" w:hAnsi="Calibri"/>
      <w:color w:val="auto"/>
      <w:sz w:val="22"/>
      <w:szCs w:val="24"/>
      <w:lang w:eastAsia="en-US"/>
    </w:rPr>
  </w:style>
  <w:style w:type="paragraph" w:customStyle="1" w:styleId="Bullet">
    <w:name w:val="_Bullet"/>
    <w:link w:val="BulletChar"/>
    <w:qFormat/>
    <w:rsid w:val="00305B9C"/>
    <w:pPr>
      <w:numPr>
        <w:numId w:val="46"/>
      </w:numPr>
      <w:spacing w:after="113" w:line="220" w:lineRule="atLeast"/>
    </w:pPr>
    <w:rPr>
      <w:rFonts w:ascii="Calibri" w:hAnsi="Calibri"/>
      <w:color w:val="auto"/>
      <w:sz w:val="22"/>
      <w:szCs w:val="24"/>
      <w:lang w:eastAsia="en-US"/>
    </w:rPr>
  </w:style>
  <w:style w:type="character" w:customStyle="1" w:styleId="BulletChar">
    <w:name w:val="_Bullet Char"/>
    <w:link w:val="Bullet"/>
    <w:rsid w:val="00305B9C"/>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6D14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348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tpli.vic.gov.au/property-and-land-titles/contact-us" TargetMode="External"/><Relationship Id="rId3" Type="http://schemas.openxmlformats.org/officeDocument/2006/relationships/styles" Target="styles.xml"/><Relationship Id="rId21" Type="http://schemas.openxmlformats.org/officeDocument/2006/relationships/hyperlink" Target="mailto:customer.service@delwp.vic.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ubdivision.branch@delwp.vic.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bdivision.branch@delwp.vic.gov.au"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rnecc.gov.au/resources/guidance-practitioner-regulators" TargetMode="External"/><Relationship Id="rId23" Type="http://schemas.openxmlformats.org/officeDocument/2006/relationships/hyperlink" Target="http://www.delwp.vic.gov.au" TargetMode="External"/><Relationship Id="rId10" Type="http://schemas.openxmlformats.org/officeDocument/2006/relationships/footer" Target="footer1.xml"/><Relationship Id="rId19" Type="http://schemas.openxmlformats.org/officeDocument/2006/relationships/hyperlink" Target="http://www.propertyandlandtitles.vic.gov.au/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ul.major@delwp.vic.gov.au" TargetMode="External"/><Relationship Id="rId22"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D4105-47E6-4699-BC94-2C98592D4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246</TotalTime>
  <Pages>5</Pages>
  <Words>1906</Words>
  <Characters>10867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S Binger (DELWP)</dc:creator>
  <cp:keywords/>
  <dc:description/>
  <cp:lastModifiedBy>Annette S Binger (DELWP)</cp:lastModifiedBy>
  <cp:revision>21</cp:revision>
  <cp:lastPrinted>2017-10-10T04:06:00Z</cp:lastPrinted>
  <dcterms:created xsi:type="dcterms:W3CDTF">2017-10-10T00:42:00Z</dcterms:created>
  <dcterms:modified xsi:type="dcterms:W3CDTF">2017-10-15T22:32:00Z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