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tblpY="-679"/>
        <w:tblW w:w="9904" w:type="dxa"/>
        <w:tblLook w:val="01E0" w:firstRow="1" w:lastRow="1" w:firstColumn="1" w:lastColumn="1" w:noHBand="0" w:noVBand="0"/>
      </w:tblPr>
      <w:tblGrid>
        <w:gridCol w:w="9904"/>
      </w:tblGrid>
      <w:tr w:rsidR="00F74678" w:rsidRPr="00F74678" w14:paraId="5BD81699" w14:textId="77777777" w:rsidTr="00261DCB">
        <w:trPr>
          <w:trHeight w:hRule="exact" w:val="2683"/>
        </w:trPr>
        <w:tc>
          <w:tcPr>
            <w:tcW w:w="9904" w:type="dxa"/>
            <w:shd w:val="clear" w:color="auto" w:fill="auto"/>
          </w:tcPr>
          <w:p w14:paraId="66CCDA1A" w14:textId="77777777" w:rsidR="00F74678" w:rsidRPr="006C2267" w:rsidRDefault="00D053C5" w:rsidP="00A006F7">
            <w:pPr>
              <w:pStyle w:val="CertHBWhite"/>
              <w:spacing w:before="240" w:after="240"/>
              <w:rPr>
                <w:sz w:val="52"/>
                <w:szCs w:val="52"/>
              </w:rPr>
            </w:pPr>
            <w:bookmarkStart w:id="0" w:name="_GoBack"/>
            <w:bookmarkEnd w:id="0"/>
            <w:r w:rsidRPr="006C2267">
              <w:rPr>
                <w:noProof/>
                <w:sz w:val="52"/>
                <w:szCs w:val="52"/>
                <w:lang w:eastAsia="en-AU"/>
              </w:rPr>
              <mc:AlternateContent>
                <mc:Choice Requires="wps">
                  <w:drawing>
                    <wp:anchor distT="0" distB="0" distL="114300" distR="114300" simplePos="0" relativeHeight="251657728" behindDoc="0" locked="0" layoutInCell="1" allowOverlap="1" wp14:anchorId="4D79B74F" wp14:editId="517A4204">
                      <wp:simplePos x="0" y="0"/>
                      <wp:positionH relativeFrom="column">
                        <wp:posOffset>-51929</wp:posOffset>
                      </wp:positionH>
                      <wp:positionV relativeFrom="paragraph">
                        <wp:posOffset>1113155</wp:posOffset>
                      </wp:positionV>
                      <wp:extent cx="5588000" cy="37211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0B73D" w14:textId="77777777" w:rsidR="00274A81" w:rsidRPr="008110B2" w:rsidRDefault="00274A81">
                                  <w:pPr>
                                    <w:rPr>
                                      <w:rFonts w:asciiTheme="minorHAnsi" w:hAnsiTheme="minorHAnsi" w:cstheme="minorHAnsi"/>
                                      <w:color w:val="FFFFFF"/>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9B74F" id="_x0000_t202" coordsize="21600,21600" o:spt="202" path="m,l,21600r21600,l21600,xe">
                      <v:stroke joinstyle="miter"/>
                      <v:path gradientshapeok="t" o:connecttype="rect"/>
                    </v:shapetype>
                    <v:shape id="Text Box 2" o:spid="_x0000_s1026" type="#_x0000_t202" style="position:absolute;margin-left:-4.1pt;margin-top:87.65pt;width:440pt;height:2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" filled="f" stroked="f">
                      <v:textbox>
                        <w:txbxContent>
                          <w:p w14:paraId="0380B73D" w14:textId="77777777" w:rsidR="00274A81" w:rsidRPr="008110B2" w:rsidRDefault="00274A81">
                            <w:pPr>
                              <w:rPr>
                                <w:rFonts w:asciiTheme="minorHAnsi" w:hAnsiTheme="minorHAnsi" w:cstheme="minorHAnsi"/>
                                <w:color w:val="FFFFFF"/>
                                <w:sz w:val="40"/>
                                <w:szCs w:val="40"/>
                              </w:rPr>
                            </w:pPr>
                          </w:p>
                        </w:txbxContent>
                      </v:textbox>
                    </v:shape>
                  </w:pict>
                </mc:Fallback>
              </mc:AlternateContent>
            </w:r>
            <w:r w:rsidR="00A26842" w:rsidRPr="006C2267">
              <w:rPr>
                <w:sz w:val="52"/>
                <w:szCs w:val="52"/>
              </w:rPr>
              <w:t xml:space="preserve">Guide to </w:t>
            </w:r>
            <w:r w:rsidR="004532B0" w:rsidRPr="004532B0">
              <w:rPr>
                <w:sz w:val="52"/>
                <w:szCs w:val="52"/>
              </w:rPr>
              <w:t xml:space="preserve">conveyancers and lawyers </w:t>
            </w:r>
            <w:r w:rsidR="00971F3C">
              <w:rPr>
                <w:sz w:val="52"/>
                <w:szCs w:val="52"/>
              </w:rPr>
              <w:t xml:space="preserve">when </w:t>
            </w:r>
            <w:r w:rsidR="004532B0" w:rsidRPr="004532B0">
              <w:rPr>
                <w:sz w:val="52"/>
                <w:szCs w:val="52"/>
              </w:rPr>
              <w:t>dealing with people who are not represented</w:t>
            </w:r>
          </w:p>
        </w:tc>
      </w:tr>
    </w:tbl>
    <w:p w14:paraId="0BE7CECA" w14:textId="77777777" w:rsidR="00FD74D6" w:rsidRDefault="00A006F7" w:rsidP="00FD74D6">
      <w:pPr>
        <w:pStyle w:val="Pullout"/>
        <w:rPr>
          <w:rFonts w:eastAsia="Calibri"/>
        </w:rPr>
      </w:pPr>
      <w:bookmarkStart w:id="1" w:name="Here"/>
      <w:bookmarkEnd w:id="1"/>
      <w:r w:rsidRPr="00A006F7">
        <w:rPr>
          <w:rFonts w:eastAsia="Calibri"/>
        </w:rPr>
        <w:t xml:space="preserve">This guide explains </w:t>
      </w:r>
      <w:r w:rsidR="004532B0" w:rsidRPr="004532B0">
        <w:rPr>
          <w:rFonts w:eastAsia="Calibri"/>
        </w:rPr>
        <w:t>what conveyancers and lawyers can expect when a party to their client’s conveyancing transaction is not represented by a conveyancer or lawyer</w:t>
      </w:r>
      <w:r w:rsidRPr="00A006F7">
        <w:rPr>
          <w:rFonts w:eastAsia="Calibri"/>
        </w:rPr>
        <w:t>.</w:t>
      </w:r>
    </w:p>
    <w:p w14:paraId="56F4E1BD" w14:textId="77777777" w:rsidR="004532B0" w:rsidRPr="004532B0" w:rsidRDefault="004532B0" w:rsidP="004532B0">
      <w:pPr>
        <w:pStyle w:val="Body"/>
        <w:rPr>
          <w:rFonts w:eastAsia="Calibri"/>
        </w:rPr>
      </w:pPr>
      <w:r w:rsidRPr="004532B0">
        <w:rPr>
          <w:rFonts w:eastAsia="Calibri"/>
        </w:rPr>
        <w:t xml:space="preserve">Version 1 of the Registrar's Requirements for paper conveyancing (Registrar’s Requirements) was published on 30 September 2015. Among other things, the Registrar’s Requirements formalised existing prudent practice for solicitors and conveyancers, which is to take reasonable steps to verify their clients’ identities. The Registrar’s Requirements also sets out that a party not represented by a conveyancer or lawyer (non-represented party) needs to have their identity verified and their signing of the conveyancing document witnessed by an Approved Identity Verifier. </w:t>
      </w:r>
    </w:p>
    <w:p w14:paraId="0B84FF02" w14:textId="77777777" w:rsidR="004532B0" w:rsidRDefault="004532B0" w:rsidP="004532B0">
      <w:pPr>
        <w:pStyle w:val="Body"/>
        <w:rPr>
          <w:rFonts w:eastAsia="Calibri"/>
        </w:rPr>
      </w:pPr>
      <w:r w:rsidRPr="004532B0">
        <w:rPr>
          <w:rFonts w:eastAsia="Calibri"/>
        </w:rPr>
        <w:t>This requirement applies to all conveyancing documents signed by a non-represented party on or after 1 December 2015.</w:t>
      </w:r>
    </w:p>
    <w:p w14:paraId="0837A00F" w14:textId="77777777" w:rsidR="00361CC0" w:rsidRPr="004532B0" w:rsidRDefault="00361CC0" w:rsidP="004532B0">
      <w:pPr>
        <w:pStyle w:val="Body"/>
        <w:rPr>
          <w:rFonts w:eastAsia="Calibri"/>
        </w:rPr>
      </w:pPr>
      <w:r>
        <w:rPr>
          <w:rFonts w:eastAsia="Calibri"/>
        </w:rPr>
        <w:t>For details of the Registrar’s Requirements see ‘Further information’ at the end of this guide.</w:t>
      </w:r>
    </w:p>
    <w:p w14:paraId="590418FE" w14:textId="77777777" w:rsidR="004532B0" w:rsidRPr="004532B0" w:rsidRDefault="004532B0" w:rsidP="004532B0">
      <w:pPr>
        <w:pStyle w:val="HA"/>
        <w:rPr>
          <w:rFonts w:eastAsia="Calibri"/>
        </w:rPr>
      </w:pPr>
      <w:r w:rsidRPr="004532B0">
        <w:rPr>
          <w:rFonts w:eastAsia="Calibri"/>
        </w:rPr>
        <w:t xml:space="preserve">Who is a non-represented party? </w:t>
      </w:r>
    </w:p>
    <w:p w14:paraId="0D3FB54C" w14:textId="77777777" w:rsidR="004532B0" w:rsidRPr="004532B0" w:rsidRDefault="004532B0" w:rsidP="004532B0">
      <w:pPr>
        <w:pStyle w:val="Body"/>
        <w:rPr>
          <w:rFonts w:eastAsia="Calibri"/>
        </w:rPr>
      </w:pPr>
      <w:r w:rsidRPr="004532B0">
        <w:rPr>
          <w:rFonts w:eastAsia="Calibri"/>
        </w:rPr>
        <w:t>A non-represented party is a person who is required to sign a conveyancing document and is not represented by a conveyancer or lawyer.</w:t>
      </w:r>
    </w:p>
    <w:p w14:paraId="601AE319" w14:textId="77777777" w:rsidR="004532B0" w:rsidRPr="004532B0" w:rsidRDefault="004532B0" w:rsidP="004532B0">
      <w:pPr>
        <w:pStyle w:val="Body"/>
        <w:rPr>
          <w:rFonts w:eastAsia="Calibri"/>
        </w:rPr>
      </w:pPr>
      <w:r w:rsidRPr="004532B0">
        <w:rPr>
          <w:rFonts w:eastAsia="Calibri"/>
        </w:rPr>
        <w:t>This does not include:</w:t>
      </w:r>
    </w:p>
    <w:p w14:paraId="028722A8" w14:textId="77777777" w:rsidR="004532B0" w:rsidRPr="004532B0" w:rsidRDefault="004532B0" w:rsidP="004532B0">
      <w:pPr>
        <w:pStyle w:val="Bullet"/>
        <w:rPr>
          <w:rFonts w:eastAsia="Calibri"/>
        </w:rPr>
      </w:pPr>
      <w:r w:rsidRPr="004532B0">
        <w:rPr>
          <w:rFonts w:eastAsia="Calibri"/>
        </w:rPr>
        <w:t xml:space="preserve">a conveyancer, lawyer, authorised deposit-taking institution (ADI), which includes most financial institutions or a PEXA subscriber </w:t>
      </w:r>
    </w:p>
    <w:p w14:paraId="15494214" w14:textId="77777777" w:rsidR="004532B0" w:rsidRPr="004532B0" w:rsidRDefault="004532B0" w:rsidP="004532B0">
      <w:pPr>
        <w:pStyle w:val="Bullet"/>
        <w:rPr>
          <w:rFonts w:eastAsia="Calibri"/>
        </w:rPr>
      </w:pPr>
      <w:r w:rsidRPr="004532B0">
        <w:rPr>
          <w:rFonts w:eastAsia="Calibri"/>
        </w:rPr>
        <w:t>a mortgagor whose mortgagee is represented by a conveyancer or lawyer, or is an ADI or a PEXA subscriber</w:t>
      </w:r>
    </w:p>
    <w:p w14:paraId="3678B1D7" w14:textId="77777777" w:rsidR="004532B0" w:rsidRDefault="004532B0" w:rsidP="004532B0">
      <w:pPr>
        <w:pStyle w:val="Bullet"/>
        <w:rPr>
          <w:rFonts w:eastAsia="Calibri"/>
        </w:rPr>
      </w:pPr>
      <w:r w:rsidRPr="004532B0">
        <w:rPr>
          <w:rFonts w:eastAsia="Calibri"/>
        </w:rPr>
        <w:t>an attorney pursuant to a power of attorney or a person who is outside Australia – these people will need to be represented by a conveyancer or lawyer.</w:t>
      </w:r>
    </w:p>
    <w:p w14:paraId="4F4B54E7" w14:textId="77777777" w:rsidR="00361CC0" w:rsidRPr="004532B0" w:rsidRDefault="00361CC0" w:rsidP="00361CC0">
      <w:pPr>
        <w:pStyle w:val="Bullet"/>
        <w:numPr>
          <w:ilvl w:val="0"/>
          <w:numId w:val="0"/>
        </w:numPr>
        <w:rPr>
          <w:rFonts w:eastAsia="Calibri"/>
        </w:rPr>
      </w:pPr>
      <w:r>
        <w:rPr>
          <w:rFonts w:eastAsia="Calibri"/>
        </w:rPr>
        <w:t xml:space="preserve">Note: </w:t>
      </w:r>
      <w:r w:rsidR="00A95E20">
        <w:rPr>
          <w:rFonts w:eastAsia="Calibri"/>
        </w:rPr>
        <w:t>A</w:t>
      </w:r>
      <w:r>
        <w:rPr>
          <w:rFonts w:eastAsia="Calibri"/>
        </w:rPr>
        <w:t xml:space="preserve"> company, council, government body or statutory agency </w:t>
      </w:r>
      <w:r w:rsidR="00A95E20">
        <w:rPr>
          <w:rFonts w:eastAsia="Calibri"/>
        </w:rPr>
        <w:t xml:space="preserve">is represented if it </w:t>
      </w:r>
      <w:r>
        <w:rPr>
          <w:rFonts w:eastAsia="Calibri"/>
        </w:rPr>
        <w:t>has appointed its in-house Australian Legal Practitioner or Licensed Conveyancer as its Representative. In this case, the in-house conveyancer or lawyer can conduct the verification of identity of the signatories in accordance with Registrar’s Requirement 3.1.2(a).</w:t>
      </w:r>
    </w:p>
    <w:p w14:paraId="18050CEB" w14:textId="77777777" w:rsidR="004532B0" w:rsidRPr="004532B0" w:rsidRDefault="004532B0" w:rsidP="004532B0">
      <w:pPr>
        <w:pStyle w:val="HA"/>
        <w:rPr>
          <w:rFonts w:eastAsia="Calibri"/>
        </w:rPr>
      </w:pPr>
      <w:r w:rsidRPr="004532B0">
        <w:rPr>
          <w:rFonts w:eastAsia="Calibri"/>
        </w:rPr>
        <w:t xml:space="preserve">What </w:t>
      </w:r>
      <w:proofErr w:type="gramStart"/>
      <w:r w:rsidR="00361CC0">
        <w:rPr>
          <w:rFonts w:eastAsia="Calibri"/>
        </w:rPr>
        <w:t>are</w:t>
      </w:r>
      <w:proofErr w:type="gramEnd"/>
      <w:r w:rsidR="00361CC0">
        <w:rPr>
          <w:rFonts w:eastAsia="Calibri"/>
        </w:rPr>
        <w:t xml:space="preserve"> the verification of identity requirements for a non-represented person</w:t>
      </w:r>
      <w:r w:rsidRPr="004532B0">
        <w:rPr>
          <w:rFonts w:eastAsia="Calibri"/>
        </w:rPr>
        <w:t>?</w:t>
      </w:r>
    </w:p>
    <w:p w14:paraId="14CD5589" w14:textId="77777777" w:rsidR="004532B0" w:rsidRDefault="00361CC0" w:rsidP="00361CC0">
      <w:pPr>
        <w:pStyle w:val="Body"/>
        <w:rPr>
          <w:rFonts w:eastAsia="Calibri"/>
          <w:color w:val="228591"/>
          <w:sz w:val="40"/>
          <w:lang w:val="en-US"/>
        </w:rPr>
      </w:pPr>
      <w:r>
        <w:rPr>
          <w:rFonts w:eastAsia="Calibri"/>
        </w:rPr>
        <w:t xml:space="preserve">Under Registrar’s Requirement 3.1.8 non-represented parties must have their identity or the identities of their signatories verified by Australia Post. At the same time, Australia Post will witness the signing of any conveyancing document(s) and, where there is provision for a witness signature on the conveyancing document, sign that document as witness. </w:t>
      </w:r>
    </w:p>
    <w:p w14:paraId="24572B28" w14:textId="77777777" w:rsidR="004532B0" w:rsidRPr="004532B0" w:rsidRDefault="004532B0" w:rsidP="004532B0">
      <w:pPr>
        <w:pStyle w:val="HA"/>
        <w:rPr>
          <w:rFonts w:eastAsia="Calibri"/>
        </w:rPr>
      </w:pPr>
      <w:r w:rsidRPr="004532B0">
        <w:rPr>
          <w:rFonts w:eastAsia="Calibri"/>
        </w:rPr>
        <w:lastRenderedPageBreak/>
        <w:t>What should a conveyancer or lawyer do if a party to their client’s conveyancing transaction is not represented?</w:t>
      </w:r>
    </w:p>
    <w:p w14:paraId="3F1F74D3" w14:textId="77777777" w:rsidR="004532B0" w:rsidRPr="004532B0" w:rsidRDefault="004532B0" w:rsidP="004532B0">
      <w:pPr>
        <w:pStyle w:val="Body"/>
        <w:rPr>
          <w:rFonts w:eastAsia="Calibri"/>
        </w:rPr>
      </w:pPr>
      <w:r w:rsidRPr="004532B0">
        <w:rPr>
          <w:rFonts w:eastAsia="Calibri"/>
        </w:rPr>
        <w:t xml:space="preserve">The conveyancer or lawyer should refer the non-represented party to Land Victoria’s </w:t>
      </w:r>
      <w:r w:rsidRPr="004532B0">
        <w:rPr>
          <w:rFonts w:eastAsia="Calibri"/>
          <w:i/>
        </w:rPr>
        <w:t>Guide to verification of identity for people not using a conveyancer or lawyer</w:t>
      </w:r>
      <w:r w:rsidRPr="004532B0">
        <w:rPr>
          <w:rFonts w:eastAsia="Calibri"/>
        </w:rPr>
        <w:t xml:space="preserve">, available from the link below. </w:t>
      </w:r>
      <w:r w:rsidR="00361CC0">
        <w:rPr>
          <w:rFonts w:eastAsia="Calibri"/>
        </w:rPr>
        <w:t xml:space="preserve">A non-represented party must download and complete the Non-represented party (Victoria only) Land title identity verification form (EIS outlets only). </w:t>
      </w:r>
      <w:r w:rsidR="00257348">
        <w:rPr>
          <w:rFonts w:eastAsia="Calibri"/>
        </w:rPr>
        <w:t xml:space="preserve">Non-represented parties are not to use any other land title identity verification form. For example, a conveyancer or lawyer should not provide their identity verification form to a non-represented party. </w:t>
      </w:r>
      <w:r w:rsidR="00361CC0">
        <w:rPr>
          <w:rFonts w:eastAsia="Calibri"/>
        </w:rPr>
        <w:t xml:space="preserve"> </w:t>
      </w:r>
    </w:p>
    <w:p w14:paraId="34D18D95" w14:textId="77777777" w:rsidR="004532B0" w:rsidRPr="004532B0" w:rsidRDefault="004532B0" w:rsidP="004532B0">
      <w:pPr>
        <w:pStyle w:val="Body"/>
        <w:rPr>
          <w:rFonts w:eastAsia="Calibri"/>
        </w:rPr>
      </w:pPr>
      <w:r w:rsidRPr="004532B0">
        <w:rPr>
          <w:rFonts w:eastAsia="Calibri"/>
        </w:rPr>
        <w:t>The conveyancer or lawyer should:</w:t>
      </w:r>
    </w:p>
    <w:p w14:paraId="6631592E" w14:textId="733E2CC3" w:rsidR="004532B0" w:rsidRPr="004532B0" w:rsidRDefault="004532B0" w:rsidP="004532B0">
      <w:pPr>
        <w:pStyle w:val="Bullet"/>
        <w:rPr>
          <w:rFonts w:eastAsia="Calibri"/>
        </w:rPr>
      </w:pPr>
      <w:r w:rsidRPr="004532B0">
        <w:rPr>
          <w:rFonts w:eastAsia="Calibri"/>
        </w:rPr>
        <w:t xml:space="preserve">ask the non-represented party for the original or a copy of their Land Title </w:t>
      </w:r>
      <w:r w:rsidR="0061134F">
        <w:rPr>
          <w:rFonts w:eastAsia="Calibri"/>
        </w:rPr>
        <w:t xml:space="preserve">EIS </w:t>
      </w:r>
      <w:r w:rsidRPr="004532B0">
        <w:rPr>
          <w:rFonts w:eastAsia="Calibri"/>
        </w:rPr>
        <w:t>ID Check</w:t>
      </w:r>
      <w:r w:rsidR="0061134F">
        <w:rPr>
          <w:rFonts w:eastAsia="Calibri"/>
        </w:rPr>
        <w:t xml:space="preserve">/Verification of </w:t>
      </w:r>
      <w:r w:rsidR="00101DE7">
        <w:rPr>
          <w:rFonts w:eastAsia="Calibri"/>
        </w:rPr>
        <w:t>I</w:t>
      </w:r>
      <w:r w:rsidR="0061134F">
        <w:rPr>
          <w:rFonts w:eastAsia="Calibri"/>
        </w:rPr>
        <w:t>dentity Check</w:t>
      </w:r>
      <w:r w:rsidRPr="004532B0">
        <w:rPr>
          <w:rFonts w:eastAsia="Calibri"/>
        </w:rPr>
        <w:t xml:space="preserve"> receipt</w:t>
      </w:r>
    </w:p>
    <w:p w14:paraId="0E372191" w14:textId="77777777" w:rsidR="004532B0" w:rsidRPr="004532B0" w:rsidRDefault="004532B0" w:rsidP="004532B0">
      <w:pPr>
        <w:pStyle w:val="Bullet"/>
        <w:rPr>
          <w:rFonts w:eastAsia="Calibri"/>
        </w:rPr>
      </w:pPr>
      <w:r w:rsidRPr="004532B0">
        <w:rPr>
          <w:rFonts w:eastAsia="Calibri"/>
        </w:rPr>
        <w:t>ensure that this original or copy receipt is attached to the conveyancing document(s) to be lodged at Land Victoria.</w:t>
      </w:r>
    </w:p>
    <w:p w14:paraId="740F61B5" w14:textId="77777777" w:rsidR="004532B0" w:rsidRPr="004532B0" w:rsidRDefault="004532B0" w:rsidP="004532B0">
      <w:pPr>
        <w:pStyle w:val="Body"/>
        <w:rPr>
          <w:rFonts w:eastAsia="Calibri"/>
        </w:rPr>
      </w:pPr>
      <w:r w:rsidRPr="004532B0">
        <w:rPr>
          <w:rFonts w:eastAsia="Calibri"/>
        </w:rPr>
        <w:t>Australia Post will send a verification of identity file to the Registrar</w:t>
      </w:r>
      <w:r w:rsidR="00A95E20">
        <w:rPr>
          <w:rFonts w:eastAsia="Calibri"/>
        </w:rPr>
        <w:t xml:space="preserve"> of Titles</w:t>
      </w:r>
      <w:r w:rsidRPr="004532B0">
        <w:rPr>
          <w:rFonts w:eastAsia="Calibri"/>
        </w:rPr>
        <w:t>. This file will contain copies of the conveyancing document</w:t>
      </w:r>
      <w:r w:rsidR="00257348">
        <w:rPr>
          <w:rFonts w:eastAsia="Calibri"/>
        </w:rPr>
        <w:t>(s)</w:t>
      </w:r>
      <w:r w:rsidRPr="004532B0">
        <w:rPr>
          <w:rFonts w:eastAsia="Calibri"/>
        </w:rPr>
        <w:t xml:space="preserve">, identity document(s), Australia Post’s certification and a photograph of the signatory. </w:t>
      </w:r>
    </w:p>
    <w:p w14:paraId="0D245923" w14:textId="77777777" w:rsidR="004532B0" w:rsidRPr="004532B0" w:rsidRDefault="004532B0" w:rsidP="004532B0">
      <w:pPr>
        <w:pStyle w:val="Body"/>
        <w:rPr>
          <w:rFonts w:eastAsia="Calibri"/>
        </w:rPr>
      </w:pPr>
      <w:r w:rsidRPr="004532B0">
        <w:rPr>
          <w:rFonts w:eastAsia="Calibri"/>
        </w:rPr>
        <w:t>Verification of identity records will be referenced by the Registrar when the conveyancing document is lodged for registration at Land Victoria.</w:t>
      </w:r>
    </w:p>
    <w:p w14:paraId="467C5B45" w14:textId="77777777" w:rsidR="00567D7F" w:rsidRDefault="004532B0" w:rsidP="004532B0">
      <w:pPr>
        <w:pStyle w:val="Body"/>
        <w:rPr>
          <w:rFonts w:eastAsia="Calibri"/>
        </w:rPr>
      </w:pPr>
      <w:r w:rsidRPr="004532B0">
        <w:rPr>
          <w:rFonts w:eastAsia="Calibri"/>
        </w:rPr>
        <w:t>Verification of identity records are not part of the Register and are therefore not publicly available.</w:t>
      </w:r>
    </w:p>
    <w:p w14:paraId="2BC651D1" w14:textId="77777777" w:rsidR="00905790" w:rsidRDefault="00905790" w:rsidP="00905790">
      <w:pPr>
        <w:pStyle w:val="HA"/>
      </w:pPr>
      <w:r>
        <w:t>Further information</w:t>
      </w:r>
    </w:p>
    <w:p w14:paraId="723D7A0B" w14:textId="77777777" w:rsidR="00905790" w:rsidRPr="00905790" w:rsidRDefault="001A32FD" w:rsidP="00905790">
      <w:pPr>
        <w:pStyle w:val="Body"/>
      </w:pPr>
      <w:hyperlink r:id="rId8" w:history="1">
        <w:r w:rsidR="00905790" w:rsidRPr="00905790">
          <w:rPr>
            <w:rFonts w:eastAsiaTheme="majorEastAsia"/>
            <w:color w:val="0000FF"/>
            <w:u w:val="single"/>
          </w:rPr>
          <w:t>Registrar’s Requirements for paper conveyancing transactions</w:t>
        </w:r>
      </w:hyperlink>
      <w:r w:rsidR="00905790" w:rsidRPr="00905790">
        <w:t xml:space="preserve"> under Section 106A of the </w:t>
      </w:r>
      <w:r w:rsidR="00905790" w:rsidRPr="00905790">
        <w:rPr>
          <w:i/>
        </w:rPr>
        <w:t>Transfer of Land Act 1958</w:t>
      </w:r>
      <w:r w:rsidR="00905790" w:rsidRPr="00905790">
        <w:t xml:space="preserve"> at </w:t>
      </w:r>
      <w:hyperlink r:id="rId9" w:history="1">
        <w:r w:rsidR="00905790" w:rsidRPr="00905790">
          <w:rPr>
            <w:rFonts w:eastAsiaTheme="majorEastAsia"/>
            <w:color w:val="0000FF"/>
            <w:u w:val="single"/>
            <w:lang w:val="en-US"/>
          </w:rPr>
          <w:t>www.delwp.vic.gov.au</w:t>
        </w:r>
      </w:hyperlink>
      <w:r w:rsidR="00905790" w:rsidRPr="00905790">
        <w:rPr>
          <w:lang w:val="en-US"/>
        </w:rPr>
        <w:t>&gt;Property and land titles&gt;Property information&gt;Publications</w:t>
      </w:r>
    </w:p>
    <w:p w14:paraId="3B7FDDE6" w14:textId="77777777" w:rsidR="00905790" w:rsidRDefault="001A32FD" w:rsidP="00905790">
      <w:pPr>
        <w:pStyle w:val="Body"/>
        <w:rPr>
          <w:lang w:val="en-US"/>
        </w:rPr>
      </w:pPr>
      <w:hyperlink r:id="rId10" w:history="1">
        <w:r w:rsidR="00905790" w:rsidRPr="00905790">
          <w:rPr>
            <w:rFonts w:eastAsia="Calibri"/>
            <w:color w:val="0000FF"/>
            <w:u w:val="single"/>
          </w:rPr>
          <w:t>Land Victoria’s Guide to verification of identity for p</w:t>
        </w:r>
        <w:r w:rsidR="00130600">
          <w:rPr>
            <w:rFonts w:eastAsia="Calibri"/>
            <w:color w:val="0000FF"/>
            <w:u w:val="single"/>
          </w:rPr>
          <w:t>eople not using a conveyancer or lawyer</w:t>
        </w:r>
      </w:hyperlink>
      <w:r w:rsidR="00905790" w:rsidRPr="00905790">
        <w:rPr>
          <w:rFonts w:eastAsia="Calibri"/>
        </w:rPr>
        <w:t xml:space="preserve"> available from </w:t>
      </w:r>
      <w:hyperlink r:id="rId11" w:history="1">
        <w:r w:rsidR="00905790" w:rsidRPr="00905790">
          <w:rPr>
            <w:rFonts w:eastAsiaTheme="majorEastAsia"/>
            <w:color w:val="0000FF"/>
            <w:u w:val="single"/>
          </w:rPr>
          <w:t>www.delwp.vic.gov.au</w:t>
        </w:r>
      </w:hyperlink>
      <w:r w:rsidR="00905790" w:rsidRPr="00905790">
        <w:rPr>
          <w:lang w:val="en-US"/>
        </w:rPr>
        <w:t>&gt;Property and land titles&gt;Forms, guides and fees</w:t>
      </w:r>
    </w:p>
    <w:p w14:paraId="33709B98" w14:textId="77777777" w:rsidR="00F769DF" w:rsidRPr="00C95766" w:rsidRDefault="00F769DF" w:rsidP="00F769DF">
      <w:pPr>
        <w:pStyle w:val="HA"/>
        <w:rPr>
          <w:rFonts w:eastAsia="Calibri"/>
        </w:rPr>
      </w:pPr>
      <w:r w:rsidRPr="00C95766">
        <w:rPr>
          <w:rFonts w:eastAsia="Calibri"/>
        </w:rPr>
        <w:t>Contact us</w:t>
      </w:r>
    </w:p>
    <w:p w14:paraId="020DE44C" w14:textId="77777777" w:rsidR="00F769DF" w:rsidRDefault="00F769DF" w:rsidP="00F769DF">
      <w:pPr>
        <w:pStyle w:val="Body"/>
        <w:rPr>
          <w:rFonts w:eastAsia="Calibri"/>
        </w:rPr>
      </w:pPr>
      <w:r w:rsidRPr="00C95766">
        <w:rPr>
          <w:rFonts w:eastAsia="Calibri"/>
        </w:rPr>
        <w:t xml:space="preserve">For </w:t>
      </w:r>
      <w:hyperlink r:id="rId12" w:history="1">
        <w:r w:rsidRPr="00C95766">
          <w:rPr>
            <w:rStyle w:val="Hyperlink"/>
            <w:rFonts w:eastAsia="Calibri"/>
          </w:rPr>
          <w:t>location and contact details</w:t>
        </w:r>
      </w:hyperlink>
      <w:r w:rsidRPr="00C95766">
        <w:rPr>
          <w:rFonts w:eastAsia="Calibri"/>
        </w:rPr>
        <w:t xml:space="preserve">, refer to </w:t>
      </w:r>
      <w:hyperlink r:id="rId13" w:history="1">
        <w:r>
          <w:rPr>
            <w:rStyle w:val="Hyperlink"/>
            <w:rFonts w:eastAsia="Calibri"/>
          </w:rPr>
          <w:t>www.delwp.vic.gov.au</w:t>
        </w:r>
      </w:hyperlink>
      <w:r>
        <w:rPr>
          <w:rFonts w:eastAsia="Calibri"/>
        </w:rPr>
        <w:t>&gt;</w:t>
      </w:r>
      <w:r w:rsidR="00EB62E3">
        <w:rPr>
          <w:rFonts w:eastAsia="Calibri"/>
        </w:rPr>
        <w:t>Property and land titles&gt;</w:t>
      </w:r>
      <w:r>
        <w:rPr>
          <w:rFonts w:eastAsia="Calibri"/>
        </w:rPr>
        <w:t>Forms, guides and fees&gt;Contact Land Victoria</w:t>
      </w:r>
      <w:r w:rsidRPr="00C95766">
        <w:rPr>
          <w:rFonts w:eastAsia="Calibri"/>
        </w:rPr>
        <w:t>.</w:t>
      </w:r>
    </w:p>
    <w:p w14:paraId="69FBF56C" w14:textId="77777777" w:rsidR="005A7517" w:rsidRPr="00FE4FF7" w:rsidRDefault="005A7517" w:rsidP="00F769DF">
      <w:pPr>
        <w:pStyle w:val="Body"/>
        <w:rPr>
          <w:rFonts w:eastAsia="Calibri"/>
          <w:sz w:val="16"/>
          <w:szCs w:val="16"/>
        </w:rPr>
      </w:pPr>
    </w:p>
    <w:p w14:paraId="02032AD3" w14:textId="77777777" w:rsidR="002A3103" w:rsidRDefault="002A3103" w:rsidP="002A3103">
      <w:pPr>
        <w:pStyle w:val="ImprintText"/>
      </w:pPr>
      <w:r w:rsidRPr="0091317E">
        <w:rPr>
          <w:rFonts w:ascii="Arial" w:hAnsi="Arial"/>
        </w:rPr>
        <w:t xml:space="preserve">© </w:t>
      </w:r>
      <w:r w:rsidRPr="006643F2">
        <w:t>The State of Victoria Department of Environment, Land, Water and Planning 201</w:t>
      </w:r>
      <w:r w:rsidR="00904976">
        <w:t>6</w:t>
      </w:r>
    </w:p>
    <w:p w14:paraId="4E8E8B10" w14:textId="77777777" w:rsidR="002A3103" w:rsidRPr="00767F2D" w:rsidRDefault="002A3103" w:rsidP="00FE4FF7">
      <w:pPr>
        <w:autoSpaceDE w:val="0"/>
        <w:autoSpaceDN w:val="0"/>
        <w:adjustRightInd w:val="0"/>
      </w:pPr>
      <w:r w:rsidRPr="002A3103">
        <w:rPr>
          <w:rFonts w:cstheme="minorHAnsi"/>
          <w:b/>
          <w:noProof/>
          <w:color w:val="000000"/>
          <w:sz w:val="16"/>
          <w:szCs w:val="16"/>
          <w:lang w:eastAsia="en-AU"/>
        </w:rPr>
        <w:drawing>
          <wp:anchor distT="0" distB="0" distL="144145" distR="144145" simplePos="0" relativeHeight="251660800" behindDoc="1" locked="0" layoutInCell="1" allowOverlap="1" wp14:anchorId="5A437801" wp14:editId="695FB56C">
            <wp:simplePos x="0" y="0"/>
            <wp:positionH relativeFrom="column">
              <wp:posOffset>5080</wp:posOffset>
            </wp:positionH>
            <wp:positionV relativeFrom="paragraph">
              <wp:posOffset>21590</wp:posOffset>
            </wp:positionV>
            <wp:extent cx="669925" cy="234315"/>
            <wp:effectExtent l="0" t="0" r="0" b="0"/>
            <wp:wrapTight wrapText="bothSides">
              <wp:wrapPolygon edited="0">
                <wp:start x="0" y="0"/>
                <wp:lineTo x="0" y="19317"/>
                <wp:lineTo x="20883" y="19317"/>
                <wp:lineTo x="20883"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9925" cy="234315"/>
                    </a:xfrm>
                    <a:prstGeom prst="rect">
                      <a:avLst/>
                    </a:prstGeom>
                  </pic:spPr>
                </pic:pic>
              </a:graphicData>
            </a:graphic>
            <wp14:sizeRelH relativeFrom="page">
              <wp14:pctWidth>0</wp14:pctWidth>
            </wp14:sizeRelH>
            <wp14:sizeRelV relativeFrom="page">
              <wp14:pctHeight>0</wp14:pctHeight>
            </wp14:sizeRelV>
          </wp:anchor>
        </w:drawing>
      </w:r>
      <w:r w:rsidRPr="002A3103">
        <w:rPr>
          <w:rFonts w:cs="Calibri"/>
          <w:b/>
          <w:color w:val="000000"/>
          <w:sz w:val="16"/>
          <w:szCs w:val="16"/>
        </w:rPr>
        <w:t xml:space="preserve">This work is licensed under a </w:t>
      </w:r>
      <w:hyperlink r:id="rId15" w:history="1">
        <w:r w:rsidRPr="002A3103">
          <w:rPr>
            <w:rFonts w:cs="Calibri"/>
            <w:b/>
            <w:color w:val="0000FF"/>
            <w:sz w:val="16"/>
            <w:szCs w:val="16"/>
            <w:u w:val="single"/>
          </w:rPr>
          <w:t>Creative Commons Attribution 4.0 International licence</w:t>
        </w:r>
      </w:hyperlink>
      <w:r w:rsidRPr="002A3103">
        <w:rPr>
          <w:rFonts w:cstheme="minorHAnsi"/>
          <w:b/>
          <w:color w:val="000000"/>
          <w:sz w:val="16"/>
          <w:szCs w:val="16"/>
        </w:rPr>
        <w:br/>
      </w:r>
      <w:r w:rsidRPr="00031FA3">
        <w:rPr>
          <w:rFonts w:cs="Calibri"/>
          <w:color w:val="000000"/>
          <w:sz w:val="16"/>
          <w:szCs w:val="16"/>
        </w:rPr>
        <w:t xml:space="preserve">To view a copy of this licence, visit </w:t>
      </w:r>
      <w:r w:rsidRPr="00031FA3">
        <w:rPr>
          <w:rFonts w:cs="Calibri"/>
          <w:color w:val="0000FF"/>
          <w:sz w:val="16"/>
          <w:szCs w:val="16"/>
          <w:u w:val="single"/>
        </w:rPr>
        <w:t>http://creativecommons.org/licenses/by/4.0/</w:t>
      </w:r>
    </w:p>
    <w:sectPr w:rsidR="002A3103" w:rsidRPr="00767F2D" w:rsidSect="00274A81">
      <w:headerReference w:type="default" r:id="rId16"/>
      <w:footerReference w:type="default" r:id="rId17"/>
      <w:headerReference w:type="first" r:id="rId18"/>
      <w:footerReference w:type="first" r:id="rId19"/>
      <w:pgSz w:w="11907" w:h="16840" w:code="9"/>
      <w:pgMar w:top="1843" w:right="567" w:bottom="851" w:left="1134" w:header="284" w:footer="842"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3FABC" w14:textId="77777777" w:rsidR="00274A81" w:rsidRDefault="00274A81">
      <w:r>
        <w:separator/>
      </w:r>
    </w:p>
  </w:endnote>
  <w:endnote w:type="continuationSeparator" w:id="0">
    <w:p w14:paraId="34E78F93" w14:textId="77777777" w:rsidR="00274A81" w:rsidRDefault="00274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D3DC4" w14:textId="77777777" w:rsidR="00274A81" w:rsidRDefault="00274A81" w:rsidP="00EF1DCF">
    <w:pPr>
      <w:pStyle w:val="Footer"/>
      <w:tabs>
        <w:tab w:val="clear" w:pos="8640"/>
        <w:tab w:val="right" w:pos="9639"/>
      </w:tabs>
    </w:pPr>
    <w:r>
      <w:t xml:space="preserve">Guide to </w:t>
    </w:r>
    <w:r w:rsidR="00374D3A" w:rsidRPr="00374D3A">
      <w:t xml:space="preserve">conveyancers and lawyers </w:t>
    </w:r>
    <w:r w:rsidR="00971F3C">
      <w:t xml:space="preserve">when </w:t>
    </w:r>
    <w:r w:rsidR="00374D3A" w:rsidRPr="00374D3A">
      <w:t>dealing with people who are not represented</w:t>
    </w:r>
    <w:r>
      <w:tab/>
      <w:t xml:space="preserve">Page | </w:t>
    </w:r>
    <w:r>
      <w:fldChar w:fldCharType="begin"/>
    </w:r>
    <w:r>
      <w:instrText xml:space="preserve"> PAGE   \* MERGEFORMAT </w:instrText>
    </w:r>
    <w:r>
      <w:fldChar w:fldCharType="separate"/>
    </w:r>
    <w:r w:rsidR="00A95E20">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30981" w14:textId="77777777" w:rsidR="00274A81" w:rsidRDefault="00274A81" w:rsidP="002015AD">
    <w:pPr>
      <w:pStyle w:val="Footer"/>
    </w:pPr>
    <w:r>
      <w:rPr>
        <w:noProof/>
        <w:lang w:eastAsia="en-AU"/>
      </w:rPr>
      <w:drawing>
        <wp:anchor distT="0" distB="0" distL="114300" distR="114300" simplePos="0" relativeHeight="251660288" behindDoc="0" locked="0" layoutInCell="1" allowOverlap="1" wp14:anchorId="2BB6545D" wp14:editId="0CCF3068">
          <wp:simplePos x="0" y="0"/>
          <wp:positionH relativeFrom="column">
            <wp:posOffset>4640992</wp:posOffset>
          </wp:positionH>
          <wp:positionV relativeFrom="paragraph">
            <wp:posOffset>3810</wp:posOffset>
          </wp:positionV>
          <wp:extent cx="1861200" cy="540000"/>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GOV_BLUE_PMS214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1200" cy="54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FE221" w14:textId="77777777" w:rsidR="00274A81" w:rsidRDefault="00274A81">
      <w:r>
        <w:separator/>
      </w:r>
    </w:p>
  </w:footnote>
  <w:footnote w:type="continuationSeparator" w:id="0">
    <w:p w14:paraId="7D1203B1" w14:textId="77777777" w:rsidR="00274A81" w:rsidRDefault="00274A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9747"/>
    </w:tblGrid>
    <w:tr w:rsidR="00274A81" w:rsidRPr="00F83A6F" w14:paraId="59DC90C1" w14:textId="77777777" w:rsidTr="00125376">
      <w:trPr>
        <w:trHeight w:val="1286"/>
      </w:trPr>
      <w:tc>
        <w:tcPr>
          <w:tcW w:w="9747" w:type="dxa"/>
          <w:shd w:val="clear" w:color="auto" w:fill="auto"/>
          <w:vAlign w:val="center"/>
        </w:tcPr>
        <w:p w14:paraId="50E0DED8" w14:textId="77777777" w:rsidR="00274A81" w:rsidRDefault="00274A81" w:rsidP="007D06DC">
          <w:pPr>
            <w:pStyle w:val="CertHDWhite"/>
            <w:tabs>
              <w:tab w:val="left" w:pos="7513"/>
            </w:tabs>
          </w:pPr>
          <w:r>
            <w:rPr>
              <w:noProof/>
              <w:lang w:eastAsia="en-AU"/>
            </w:rPr>
            <w:drawing>
              <wp:anchor distT="0" distB="0" distL="114300" distR="114300" simplePos="0" relativeHeight="251656192" behindDoc="1" locked="0" layoutInCell="1" allowOverlap="1" wp14:anchorId="09A40B89" wp14:editId="755B2D81">
                <wp:simplePos x="0" y="0"/>
                <wp:positionH relativeFrom="column">
                  <wp:posOffset>-382270</wp:posOffset>
                </wp:positionH>
                <wp:positionV relativeFrom="paragraph">
                  <wp:posOffset>151130</wp:posOffset>
                </wp:positionV>
                <wp:extent cx="6868160" cy="815340"/>
                <wp:effectExtent l="0" t="0" r="8890" b="3810"/>
                <wp:wrapNone/>
                <wp:docPr id="12" name="Picture 12" descr="Untitle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titled-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8160" cy="815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D1EF77" w14:textId="77777777" w:rsidR="00274A81" w:rsidRPr="00971F3C" w:rsidRDefault="00274A81" w:rsidP="007D06DC">
          <w:pPr>
            <w:pStyle w:val="CertHDWhite"/>
            <w:tabs>
              <w:tab w:val="left" w:pos="3544"/>
              <w:tab w:val="left" w:pos="7513"/>
            </w:tabs>
            <w:rPr>
              <w:sz w:val="24"/>
            </w:rPr>
          </w:pPr>
          <w:r w:rsidRPr="00971F3C">
            <w:rPr>
              <w:sz w:val="24"/>
            </w:rPr>
            <w:t xml:space="preserve">Guide to </w:t>
          </w:r>
          <w:r w:rsidR="00374D3A" w:rsidRPr="00971F3C">
            <w:rPr>
              <w:sz w:val="24"/>
            </w:rPr>
            <w:t xml:space="preserve">conveyancers and lawyers </w:t>
          </w:r>
          <w:r w:rsidR="00971F3C" w:rsidRPr="00971F3C">
            <w:rPr>
              <w:sz w:val="24"/>
            </w:rPr>
            <w:t xml:space="preserve">when </w:t>
          </w:r>
          <w:r w:rsidR="00374D3A" w:rsidRPr="00971F3C">
            <w:rPr>
              <w:sz w:val="24"/>
            </w:rPr>
            <w:t>dealing with people who are not represented</w:t>
          </w:r>
        </w:p>
      </w:tc>
    </w:tr>
  </w:tbl>
  <w:p w14:paraId="7DAA24DC" w14:textId="77777777" w:rsidR="00274A81" w:rsidRDefault="00274A81" w:rsidP="009E66AE">
    <w:pPr>
      <w:pStyle w:val="ImprintBreak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524C" w14:textId="77777777" w:rsidR="00274A81" w:rsidRDefault="00274A81" w:rsidP="0003050C">
    <w:pPr>
      <w:pStyle w:val="Header"/>
    </w:pPr>
    <w:r>
      <w:rPr>
        <w:noProof/>
        <w:lang w:eastAsia="en-AU"/>
      </w:rPr>
      <w:drawing>
        <wp:anchor distT="0" distB="0" distL="114300" distR="114300" simplePos="0" relativeHeight="251657216" behindDoc="1" locked="0" layoutInCell="1" allowOverlap="1" wp14:anchorId="45EDAA8B" wp14:editId="49B479ED">
          <wp:simplePos x="0" y="0"/>
          <wp:positionH relativeFrom="column">
            <wp:posOffset>-323850</wp:posOffset>
          </wp:positionH>
          <wp:positionV relativeFrom="paragraph">
            <wp:posOffset>236855</wp:posOffset>
          </wp:positionV>
          <wp:extent cx="6831330" cy="1808480"/>
          <wp:effectExtent l="0" t="0" r="7620" b="1270"/>
          <wp:wrapNone/>
          <wp:docPr id="13" name="Picture 13"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1330" cy="1808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EAA8D248"/>
    <w:lvl w:ilvl="0">
      <w:numFmt w:val="bullet"/>
      <w:lvlText w:val="*"/>
      <w:lvlJc w:val="left"/>
    </w:lvl>
  </w:abstractNum>
  <w:abstractNum w:abstractNumId="11"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F5F70"/>
    <w:multiLevelType w:val="hybridMultilevel"/>
    <w:tmpl w:val="47A4A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348D4CF8"/>
    <w:multiLevelType w:val="hybridMultilevel"/>
    <w:tmpl w:val="ADAE5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3B1E3D"/>
    <w:multiLevelType w:val="hybridMultilevel"/>
    <w:tmpl w:val="89B45AB0"/>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58F4498A"/>
    <w:multiLevelType w:val="hybridMultilevel"/>
    <w:tmpl w:val="82CC4062"/>
    <w:lvl w:ilvl="0" w:tplc="F14802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1E7E47"/>
    <w:multiLevelType w:val="multilevel"/>
    <w:tmpl w:val="C2E099E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986"/>
        </w:tabs>
        <w:ind w:left="1986" w:hanging="851"/>
      </w:pPr>
      <w:rPr>
        <w:rFonts w:hint="default"/>
      </w:rPr>
    </w:lvl>
    <w:lvl w:ilvl="3">
      <w:start w:val="1"/>
      <w:numFmt w:val="lowerLetter"/>
      <w:lvlText w:val="(%4)"/>
      <w:lvlJc w:val="left"/>
      <w:pPr>
        <w:tabs>
          <w:tab w:val="num" w:pos="567"/>
        </w:tabs>
        <w:ind w:left="567" w:hanging="567"/>
      </w:pPr>
      <w:rPr>
        <w:rFonts w:asciiTheme="minorHAnsi" w:eastAsia="Arial" w:hAnsiTheme="minorHAnsi" w:cstheme="majorBidi" w:hint="default"/>
        <w:b w:val="0"/>
      </w:rPr>
    </w:lvl>
    <w:lvl w:ilvl="4">
      <w:start w:val="1"/>
      <w:numFmt w:val="lowerRoman"/>
      <w:lvlText w:val="(%5)"/>
      <w:lvlJc w:val="left"/>
      <w:pPr>
        <w:ind w:left="2232" w:hanging="792"/>
      </w:pPr>
      <w:rPr>
        <w:rFonts w:ascii="Arial" w:eastAsia="Arial" w:hAnsi="Arial" w:cs="Arial" w:hint="default"/>
        <w:sz w:val="22"/>
      </w:rPr>
    </w:lvl>
    <w:lvl w:ilvl="5">
      <w:start w:val="1"/>
      <w:numFmt w:val="lowerRoman"/>
      <w:lvlText w:val="(%6)"/>
      <w:lvlJc w:val="left"/>
      <w:pPr>
        <w:ind w:left="2736" w:hanging="936"/>
      </w:pPr>
      <w:rPr>
        <w:rFonts w:ascii="Arial" w:eastAsia="Arial" w:hAnsi="Arial" w:cs="Arial" w:hint="default"/>
        <w:sz w:val="22"/>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6B19F9"/>
    <w:multiLevelType w:val="multilevel"/>
    <w:tmpl w:val="B134B11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Courier New" w:hAnsi="Courier New" w:hint="default"/>
      </w:rPr>
    </w:lvl>
    <w:lvl w:ilvl="2">
      <w:start w:val="1"/>
      <w:numFmt w:val="decimal"/>
      <w:lvlText w:val="%3."/>
      <w:lvlJc w:val="left"/>
      <w:pPr>
        <w:tabs>
          <w:tab w:val="num" w:pos="1800"/>
        </w:tabs>
        <w:ind w:left="1800" w:hanging="360"/>
      </w:pPr>
      <w:rPr>
        <w:rFont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9F0853"/>
    <w:multiLevelType w:val="hybridMultilevel"/>
    <w:tmpl w:val="D7F20CEE"/>
    <w:lvl w:ilvl="0" w:tplc="B61010A4">
      <w:start w:val="1"/>
      <w:numFmt w:val="lowerLetter"/>
      <w:lvlText w:val="(%1)"/>
      <w:lvlJc w:val="left"/>
      <w:pPr>
        <w:ind w:left="402" w:hanging="360"/>
      </w:pPr>
      <w:rPr>
        <w:rFonts w:cs="Arial" w:hint="default"/>
      </w:rPr>
    </w:lvl>
    <w:lvl w:ilvl="1" w:tplc="0C090019" w:tentative="1">
      <w:start w:val="1"/>
      <w:numFmt w:val="lowerLetter"/>
      <w:lvlText w:val="%2."/>
      <w:lvlJc w:val="left"/>
      <w:pPr>
        <w:ind w:left="1122" w:hanging="360"/>
      </w:pPr>
    </w:lvl>
    <w:lvl w:ilvl="2" w:tplc="0C09001B" w:tentative="1">
      <w:start w:val="1"/>
      <w:numFmt w:val="lowerRoman"/>
      <w:lvlText w:val="%3."/>
      <w:lvlJc w:val="right"/>
      <w:pPr>
        <w:ind w:left="1842" w:hanging="180"/>
      </w:pPr>
    </w:lvl>
    <w:lvl w:ilvl="3" w:tplc="0C09000F" w:tentative="1">
      <w:start w:val="1"/>
      <w:numFmt w:val="decimal"/>
      <w:lvlText w:val="%4."/>
      <w:lvlJc w:val="left"/>
      <w:pPr>
        <w:ind w:left="2562" w:hanging="360"/>
      </w:pPr>
    </w:lvl>
    <w:lvl w:ilvl="4" w:tplc="0C090019" w:tentative="1">
      <w:start w:val="1"/>
      <w:numFmt w:val="lowerLetter"/>
      <w:lvlText w:val="%5."/>
      <w:lvlJc w:val="left"/>
      <w:pPr>
        <w:ind w:left="3282" w:hanging="360"/>
      </w:pPr>
    </w:lvl>
    <w:lvl w:ilvl="5" w:tplc="0C09001B" w:tentative="1">
      <w:start w:val="1"/>
      <w:numFmt w:val="lowerRoman"/>
      <w:lvlText w:val="%6."/>
      <w:lvlJc w:val="right"/>
      <w:pPr>
        <w:ind w:left="4002" w:hanging="180"/>
      </w:pPr>
    </w:lvl>
    <w:lvl w:ilvl="6" w:tplc="0C09000F" w:tentative="1">
      <w:start w:val="1"/>
      <w:numFmt w:val="decimal"/>
      <w:lvlText w:val="%7."/>
      <w:lvlJc w:val="left"/>
      <w:pPr>
        <w:ind w:left="4722" w:hanging="360"/>
      </w:pPr>
    </w:lvl>
    <w:lvl w:ilvl="7" w:tplc="0C090019" w:tentative="1">
      <w:start w:val="1"/>
      <w:numFmt w:val="lowerLetter"/>
      <w:lvlText w:val="%8."/>
      <w:lvlJc w:val="left"/>
      <w:pPr>
        <w:ind w:left="5442" w:hanging="360"/>
      </w:pPr>
    </w:lvl>
    <w:lvl w:ilvl="8" w:tplc="0C09001B" w:tentative="1">
      <w:start w:val="1"/>
      <w:numFmt w:val="lowerRoman"/>
      <w:lvlText w:val="%9."/>
      <w:lvlJc w:val="right"/>
      <w:pPr>
        <w:ind w:left="6162" w:hanging="180"/>
      </w:pPr>
    </w:lvl>
  </w:abstractNum>
  <w:abstractNum w:abstractNumId="23" w15:restartNumberingAfterBreak="0">
    <w:nsid w:val="73361D02"/>
    <w:multiLevelType w:val="hybridMultilevel"/>
    <w:tmpl w:val="3530D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4"/>
  </w:num>
  <w:num w:numId="14">
    <w:abstractNumId w:val="15"/>
  </w:num>
  <w:num w:numId="15">
    <w:abstractNumId w:val="21"/>
  </w:num>
  <w:num w:numId="16">
    <w:abstractNumId w:val="12"/>
  </w:num>
  <w:num w:numId="17">
    <w:abstractNumId w:val="21"/>
  </w:num>
  <w:num w:numId="18">
    <w:abstractNumId w:val="21"/>
  </w:num>
  <w:num w:numId="19">
    <w:abstractNumId w:val="21"/>
  </w:num>
  <w:num w:numId="20">
    <w:abstractNumId w:val="11"/>
  </w:num>
  <w:num w:numId="21">
    <w:abstractNumId w:val="13"/>
  </w:num>
  <w:num w:numId="22">
    <w:abstractNumId w:val="16"/>
  </w:num>
  <w:num w:numId="23">
    <w:abstractNumId w:val="20"/>
  </w:num>
  <w:num w:numId="24">
    <w:abstractNumId w:val="10"/>
    <w:lvlOverride w:ilvl="0">
      <w:lvl w:ilvl="0">
        <w:numFmt w:val="bullet"/>
        <w:lvlText w:val=""/>
        <w:legacy w:legacy="1" w:legacySpace="0" w:legacyIndent="0"/>
        <w:lvlJc w:val="left"/>
        <w:rPr>
          <w:rFonts w:ascii="Symbol" w:hAnsi="Symbol" w:hint="default"/>
          <w:sz w:val="22"/>
        </w:rPr>
      </w:lvl>
    </w:lvlOverride>
  </w:num>
  <w:num w:numId="25">
    <w:abstractNumId w:val="19"/>
  </w:num>
  <w:num w:numId="26">
    <w:abstractNumId w:val="22"/>
  </w:num>
  <w:num w:numId="27">
    <w:abstractNumId w:val="18"/>
  </w:num>
  <w:num w:numId="28">
    <w:abstractNumId w:val="17"/>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trackRevisions/>
  <w:defaultTabStop w:val="720"/>
  <w:drawingGridHorizontalSpacing w:val="120"/>
  <w:displayHorizontalDrawingGridEvery w:val="2"/>
  <w:displayVertic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059"/>
    <w:rsid w:val="000036B2"/>
    <w:rsid w:val="00004A25"/>
    <w:rsid w:val="00007028"/>
    <w:rsid w:val="00012793"/>
    <w:rsid w:val="00013D7A"/>
    <w:rsid w:val="0003050C"/>
    <w:rsid w:val="00031FA3"/>
    <w:rsid w:val="00034D96"/>
    <w:rsid w:val="0003535F"/>
    <w:rsid w:val="00055FEF"/>
    <w:rsid w:val="00063E31"/>
    <w:rsid w:val="00077758"/>
    <w:rsid w:val="0008754B"/>
    <w:rsid w:val="0009699E"/>
    <w:rsid w:val="000A2999"/>
    <w:rsid w:val="000C1E27"/>
    <w:rsid w:val="000C3259"/>
    <w:rsid w:val="000C39E4"/>
    <w:rsid w:val="000D45AB"/>
    <w:rsid w:val="000D4EAC"/>
    <w:rsid w:val="00101DE7"/>
    <w:rsid w:val="00117376"/>
    <w:rsid w:val="00120C40"/>
    <w:rsid w:val="00120F3F"/>
    <w:rsid w:val="00125376"/>
    <w:rsid w:val="00130600"/>
    <w:rsid w:val="0013231A"/>
    <w:rsid w:val="00135491"/>
    <w:rsid w:val="00154577"/>
    <w:rsid w:val="00165C92"/>
    <w:rsid w:val="00166394"/>
    <w:rsid w:val="00177115"/>
    <w:rsid w:val="00181FBC"/>
    <w:rsid w:val="001A243B"/>
    <w:rsid w:val="001A32FD"/>
    <w:rsid w:val="001C14C3"/>
    <w:rsid w:val="001C3014"/>
    <w:rsid w:val="001D67AC"/>
    <w:rsid w:val="001E2024"/>
    <w:rsid w:val="002015AD"/>
    <w:rsid w:val="0020255B"/>
    <w:rsid w:val="002122D2"/>
    <w:rsid w:val="00217D52"/>
    <w:rsid w:val="00222EE1"/>
    <w:rsid w:val="00236DA4"/>
    <w:rsid w:val="002412DC"/>
    <w:rsid w:val="002425FB"/>
    <w:rsid w:val="00246D68"/>
    <w:rsid w:val="00247F44"/>
    <w:rsid w:val="00247F4A"/>
    <w:rsid w:val="002526EA"/>
    <w:rsid w:val="00257348"/>
    <w:rsid w:val="00261DCB"/>
    <w:rsid w:val="00265E99"/>
    <w:rsid w:val="00271B91"/>
    <w:rsid w:val="00274A81"/>
    <w:rsid w:val="00285925"/>
    <w:rsid w:val="002A3103"/>
    <w:rsid w:val="002C4BC3"/>
    <w:rsid w:val="002C5BA2"/>
    <w:rsid w:val="002D2478"/>
    <w:rsid w:val="002D3CC8"/>
    <w:rsid w:val="002D680B"/>
    <w:rsid w:val="002E2EC1"/>
    <w:rsid w:val="002F61BA"/>
    <w:rsid w:val="003172D8"/>
    <w:rsid w:val="00321F9E"/>
    <w:rsid w:val="00330679"/>
    <w:rsid w:val="00361402"/>
    <w:rsid w:val="00361CC0"/>
    <w:rsid w:val="00374D3A"/>
    <w:rsid w:val="003A4EBC"/>
    <w:rsid w:val="003B43DE"/>
    <w:rsid w:val="003C2962"/>
    <w:rsid w:val="003E0B9A"/>
    <w:rsid w:val="003F437F"/>
    <w:rsid w:val="003F5A5C"/>
    <w:rsid w:val="00404EF3"/>
    <w:rsid w:val="004101CF"/>
    <w:rsid w:val="004121EE"/>
    <w:rsid w:val="0043348E"/>
    <w:rsid w:val="004426E1"/>
    <w:rsid w:val="00451551"/>
    <w:rsid w:val="004532B0"/>
    <w:rsid w:val="00455AC0"/>
    <w:rsid w:val="0047538B"/>
    <w:rsid w:val="0048088F"/>
    <w:rsid w:val="004969C1"/>
    <w:rsid w:val="004A3248"/>
    <w:rsid w:val="004B0B3B"/>
    <w:rsid w:val="004B669F"/>
    <w:rsid w:val="004E4BDF"/>
    <w:rsid w:val="004E6888"/>
    <w:rsid w:val="0050769F"/>
    <w:rsid w:val="00511480"/>
    <w:rsid w:val="00512102"/>
    <w:rsid w:val="005229C6"/>
    <w:rsid w:val="00524C52"/>
    <w:rsid w:val="005304F7"/>
    <w:rsid w:val="00531262"/>
    <w:rsid w:val="00534B38"/>
    <w:rsid w:val="00534FA7"/>
    <w:rsid w:val="00540762"/>
    <w:rsid w:val="00544B68"/>
    <w:rsid w:val="00557B17"/>
    <w:rsid w:val="00567D7F"/>
    <w:rsid w:val="00573E23"/>
    <w:rsid w:val="00575F3A"/>
    <w:rsid w:val="00582724"/>
    <w:rsid w:val="00587426"/>
    <w:rsid w:val="00593C18"/>
    <w:rsid w:val="005945E2"/>
    <w:rsid w:val="005A7517"/>
    <w:rsid w:val="005B3CE8"/>
    <w:rsid w:val="005C70F5"/>
    <w:rsid w:val="005C715B"/>
    <w:rsid w:val="005E0A62"/>
    <w:rsid w:val="005E1B59"/>
    <w:rsid w:val="005E779C"/>
    <w:rsid w:val="005F6883"/>
    <w:rsid w:val="00603134"/>
    <w:rsid w:val="00606451"/>
    <w:rsid w:val="0061134F"/>
    <w:rsid w:val="00612FF2"/>
    <w:rsid w:val="00617805"/>
    <w:rsid w:val="00623482"/>
    <w:rsid w:val="0062669A"/>
    <w:rsid w:val="00632914"/>
    <w:rsid w:val="00641284"/>
    <w:rsid w:val="00656186"/>
    <w:rsid w:val="00661B37"/>
    <w:rsid w:val="006643F2"/>
    <w:rsid w:val="0066640E"/>
    <w:rsid w:val="006741C5"/>
    <w:rsid w:val="00675636"/>
    <w:rsid w:val="0069559B"/>
    <w:rsid w:val="006B4688"/>
    <w:rsid w:val="006C2267"/>
    <w:rsid w:val="006C297D"/>
    <w:rsid w:val="006F14E7"/>
    <w:rsid w:val="006F53DB"/>
    <w:rsid w:val="006F707D"/>
    <w:rsid w:val="00700280"/>
    <w:rsid w:val="0070362A"/>
    <w:rsid w:val="00705440"/>
    <w:rsid w:val="00707EA1"/>
    <w:rsid w:val="007236D5"/>
    <w:rsid w:val="0072594D"/>
    <w:rsid w:val="00731631"/>
    <w:rsid w:val="00752E36"/>
    <w:rsid w:val="0075315F"/>
    <w:rsid w:val="00756A07"/>
    <w:rsid w:val="007702BD"/>
    <w:rsid w:val="007827DA"/>
    <w:rsid w:val="00783BDC"/>
    <w:rsid w:val="007B0E45"/>
    <w:rsid w:val="007B1469"/>
    <w:rsid w:val="007B62F8"/>
    <w:rsid w:val="007B6E26"/>
    <w:rsid w:val="007C2C2D"/>
    <w:rsid w:val="007D06DC"/>
    <w:rsid w:val="007E3E33"/>
    <w:rsid w:val="007F5211"/>
    <w:rsid w:val="008110B2"/>
    <w:rsid w:val="008273B4"/>
    <w:rsid w:val="00834943"/>
    <w:rsid w:val="0083541B"/>
    <w:rsid w:val="008426A2"/>
    <w:rsid w:val="00865A63"/>
    <w:rsid w:val="00872BAF"/>
    <w:rsid w:val="008732EE"/>
    <w:rsid w:val="00882F46"/>
    <w:rsid w:val="008832F9"/>
    <w:rsid w:val="00887805"/>
    <w:rsid w:val="008979EB"/>
    <w:rsid w:val="008A3B87"/>
    <w:rsid w:val="008A6BBA"/>
    <w:rsid w:val="008B61B5"/>
    <w:rsid w:val="008C1B1D"/>
    <w:rsid w:val="008D147D"/>
    <w:rsid w:val="008E39E1"/>
    <w:rsid w:val="008E643D"/>
    <w:rsid w:val="008F167B"/>
    <w:rsid w:val="008F4932"/>
    <w:rsid w:val="00904976"/>
    <w:rsid w:val="00905790"/>
    <w:rsid w:val="00920C54"/>
    <w:rsid w:val="00926BDE"/>
    <w:rsid w:val="00927E6A"/>
    <w:rsid w:val="00940FB6"/>
    <w:rsid w:val="00942CDF"/>
    <w:rsid w:val="00945FD0"/>
    <w:rsid w:val="0095179E"/>
    <w:rsid w:val="00953344"/>
    <w:rsid w:val="00962D3B"/>
    <w:rsid w:val="00971F3C"/>
    <w:rsid w:val="00972191"/>
    <w:rsid w:val="009746EC"/>
    <w:rsid w:val="00981EA2"/>
    <w:rsid w:val="009872FB"/>
    <w:rsid w:val="00991C92"/>
    <w:rsid w:val="00996561"/>
    <w:rsid w:val="009A2E97"/>
    <w:rsid w:val="009C3B5A"/>
    <w:rsid w:val="009E666D"/>
    <w:rsid w:val="009E66AE"/>
    <w:rsid w:val="009F2D92"/>
    <w:rsid w:val="00A0021E"/>
    <w:rsid w:val="00A006F7"/>
    <w:rsid w:val="00A03F08"/>
    <w:rsid w:val="00A04614"/>
    <w:rsid w:val="00A11787"/>
    <w:rsid w:val="00A11FE6"/>
    <w:rsid w:val="00A26842"/>
    <w:rsid w:val="00A26DC2"/>
    <w:rsid w:val="00A357C2"/>
    <w:rsid w:val="00A36BC9"/>
    <w:rsid w:val="00A37BFA"/>
    <w:rsid w:val="00A56C4D"/>
    <w:rsid w:val="00A5743F"/>
    <w:rsid w:val="00A6450E"/>
    <w:rsid w:val="00A67D11"/>
    <w:rsid w:val="00A730A4"/>
    <w:rsid w:val="00A80E1B"/>
    <w:rsid w:val="00A83A7C"/>
    <w:rsid w:val="00A85593"/>
    <w:rsid w:val="00A95E20"/>
    <w:rsid w:val="00AA6401"/>
    <w:rsid w:val="00AB082D"/>
    <w:rsid w:val="00AB446A"/>
    <w:rsid w:val="00AC0ECF"/>
    <w:rsid w:val="00AC237B"/>
    <w:rsid w:val="00AC372B"/>
    <w:rsid w:val="00AC660A"/>
    <w:rsid w:val="00AE42D9"/>
    <w:rsid w:val="00AF4DB4"/>
    <w:rsid w:val="00B068A4"/>
    <w:rsid w:val="00B068DA"/>
    <w:rsid w:val="00B077CF"/>
    <w:rsid w:val="00B137B4"/>
    <w:rsid w:val="00B20066"/>
    <w:rsid w:val="00B24A07"/>
    <w:rsid w:val="00B32CC2"/>
    <w:rsid w:val="00B40046"/>
    <w:rsid w:val="00B475BF"/>
    <w:rsid w:val="00B545EB"/>
    <w:rsid w:val="00B95745"/>
    <w:rsid w:val="00BB295C"/>
    <w:rsid w:val="00BB37E4"/>
    <w:rsid w:val="00BD4BC3"/>
    <w:rsid w:val="00BF62F9"/>
    <w:rsid w:val="00C04AD3"/>
    <w:rsid w:val="00C061DD"/>
    <w:rsid w:val="00C12A10"/>
    <w:rsid w:val="00C16801"/>
    <w:rsid w:val="00C22FF6"/>
    <w:rsid w:val="00C32538"/>
    <w:rsid w:val="00C36059"/>
    <w:rsid w:val="00C403BA"/>
    <w:rsid w:val="00C46B5E"/>
    <w:rsid w:val="00C506AE"/>
    <w:rsid w:val="00C651CE"/>
    <w:rsid w:val="00C73267"/>
    <w:rsid w:val="00C772CA"/>
    <w:rsid w:val="00C86652"/>
    <w:rsid w:val="00C86B17"/>
    <w:rsid w:val="00C923DB"/>
    <w:rsid w:val="00CA19B7"/>
    <w:rsid w:val="00CB0AE9"/>
    <w:rsid w:val="00CE10A1"/>
    <w:rsid w:val="00CF0F04"/>
    <w:rsid w:val="00CF5E50"/>
    <w:rsid w:val="00D031F0"/>
    <w:rsid w:val="00D033C6"/>
    <w:rsid w:val="00D053C5"/>
    <w:rsid w:val="00D114E4"/>
    <w:rsid w:val="00D11924"/>
    <w:rsid w:val="00D13102"/>
    <w:rsid w:val="00D22C81"/>
    <w:rsid w:val="00D33BE6"/>
    <w:rsid w:val="00D408CF"/>
    <w:rsid w:val="00D54DE0"/>
    <w:rsid w:val="00D5714A"/>
    <w:rsid w:val="00D57FF0"/>
    <w:rsid w:val="00D634D8"/>
    <w:rsid w:val="00D840DE"/>
    <w:rsid w:val="00DA0042"/>
    <w:rsid w:val="00DA1694"/>
    <w:rsid w:val="00DA6A4D"/>
    <w:rsid w:val="00DA7D59"/>
    <w:rsid w:val="00DC0E95"/>
    <w:rsid w:val="00DC68E1"/>
    <w:rsid w:val="00DD0AB3"/>
    <w:rsid w:val="00DD3436"/>
    <w:rsid w:val="00DD70F1"/>
    <w:rsid w:val="00DE2624"/>
    <w:rsid w:val="00DE5117"/>
    <w:rsid w:val="00DF6665"/>
    <w:rsid w:val="00E07718"/>
    <w:rsid w:val="00E15BD0"/>
    <w:rsid w:val="00E1631F"/>
    <w:rsid w:val="00E2394C"/>
    <w:rsid w:val="00E30FFD"/>
    <w:rsid w:val="00E31C6D"/>
    <w:rsid w:val="00E325A1"/>
    <w:rsid w:val="00E34CA4"/>
    <w:rsid w:val="00E51072"/>
    <w:rsid w:val="00E56D27"/>
    <w:rsid w:val="00E60949"/>
    <w:rsid w:val="00E6278D"/>
    <w:rsid w:val="00E72F87"/>
    <w:rsid w:val="00E77750"/>
    <w:rsid w:val="00E8448C"/>
    <w:rsid w:val="00E9178F"/>
    <w:rsid w:val="00EA163A"/>
    <w:rsid w:val="00EA31C2"/>
    <w:rsid w:val="00EB2BB2"/>
    <w:rsid w:val="00EB62E3"/>
    <w:rsid w:val="00EB75EA"/>
    <w:rsid w:val="00EC4DCD"/>
    <w:rsid w:val="00EC6F19"/>
    <w:rsid w:val="00EF1DCF"/>
    <w:rsid w:val="00F0013D"/>
    <w:rsid w:val="00F0470C"/>
    <w:rsid w:val="00F13B95"/>
    <w:rsid w:val="00F15CF7"/>
    <w:rsid w:val="00F210DA"/>
    <w:rsid w:val="00F27E16"/>
    <w:rsid w:val="00F46148"/>
    <w:rsid w:val="00F54CCE"/>
    <w:rsid w:val="00F67782"/>
    <w:rsid w:val="00F708A6"/>
    <w:rsid w:val="00F74678"/>
    <w:rsid w:val="00F769DF"/>
    <w:rsid w:val="00F81700"/>
    <w:rsid w:val="00F83A6F"/>
    <w:rsid w:val="00F845F4"/>
    <w:rsid w:val="00F85E32"/>
    <w:rsid w:val="00F910D5"/>
    <w:rsid w:val="00F930FD"/>
    <w:rsid w:val="00F95E5A"/>
    <w:rsid w:val="00FA2BC8"/>
    <w:rsid w:val="00FC01F8"/>
    <w:rsid w:val="00FC4E61"/>
    <w:rsid w:val="00FD032D"/>
    <w:rsid w:val="00FD34FA"/>
    <w:rsid w:val="00FD674C"/>
    <w:rsid w:val="00FD74D6"/>
    <w:rsid w:val="00FE0078"/>
    <w:rsid w:val="00FE229F"/>
    <w:rsid w:val="00FE4EB7"/>
    <w:rsid w:val="00FE4FF7"/>
    <w:rsid w:val="00FF0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0D442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uiPriority="9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uiPriority w:val="99"/>
    <w:qFormat/>
    <w:rsid w:val="009A2E97"/>
    <w:rPr>
      <w:rFonts w:ascii="Calibri" w:hAnsi="Calibri"/>
      <w:sz w:val="22"/>
      <w:szCs w:val="24"/>
      <w:lang w:eastAsia="en-US"/>
    </w:rPr>
  </w:style>
  <w:style w:type="paragraph" w:styleId="Heading1">
    <w:name w:val="heading 1"/>
    <w:basedOn w:val="Normal"/>
    <w:next w:val="Normal"/>
    <w:uiPriority w:val="9"/>
    <w:qFormat/>
    <w:rsid w:val="008110B2"/>
    <w:pPr>
      <w:keepNext/>
      <w:spacing w:before="240" w:after="60"/>
      <w:outlineLvl w:val="0"/>
    </w:pPr>
    <w:rPr>
      <w:rFonts w:cs="Arial"/>
      <w:b/>
      <w:bCs/>
      <w:kern w:val="32"/>
      <w:sz w:val="32"/>
      <w:szCs w:val="32"/>
    </w:rPr>
  </w:style>
  <w:style w:type="paragraph" w:styleId="Heading2">
    <w:name w:val="heading 2"/>
    <w:basedOn w:val="Normal"/>
    <w:next w:val="Normal"/>
    <w:uiPriority w:val="9"/>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5304F7"/>
    <w:pPr>
      <w:keepNext/>
      <w:spacing w:before="240" w:after="60"/>
      <w:outlineLvl w:val="3"/>
    </w:pPr>
    <w:rPr>
      <w:b/>
      <w:bCs/>
      <w:sz w:val="28"/>
      <w:szCs w:val="28"/>
    </w:rPr>
  </w:style>
  <w:style w:type="paragraph" w:styleId="Heading5">
    <w:name w:val="heading 5"/>
    <w:basedOn w:val="Normal"/>
    <w:next w:val="Normal"/>
    <w:qFormat/>
    <w:rsid w:val="005304F7"/>
    <w:pPr>
      <w:spacing w:before="240" w:after="60"/>
      <w:outlineLvl w:val="4"/>
    </w:pPr>
    <w:rPr>
      <w:b/>
      <w:bCs/>
      <w:i/>
      <w:iCs/>
      <w:sz w:val="26"/>
      <w:szCs w:val="26"/>
    </w:rPr>
  </w:style>
  <w:style w:type="paragraph" w:styleId="Heading6">
    <w:name w:val="heading 6"/>
    <w:basedOn w:val="Normal"/>
    <w:next w:val="Normal"/>
    <w:qFormat/>
    <w:rsid w:val="005304F7"/>
    <w:pPr>
      <w:spacing w:before="240" w:after="60"/>
      <w:outlineLvl w:val="5"/>
    </w:pPr>
    <w:rPr>
      <w:b/>
      <w:bCs/>
      <w:szCs w:val="22"/>
    </w:rPr>
  </w:style>
  <w:style w:type="paragraph" w:styleId="Heading7">
    <w:name w:val="heading 7"/>
    <w:basedOn w:val="Normal"/>
    <w:next w:val="Normal"/>
    <w:qFormat/>
    <w:rsid w:val="005304F7"/>
    <w:pPr>
      <w:spacing w:before="240" w:after="60"/>
      <w:outlineLvl w:val="6"/>
    </w:pPr>
  </w:style>
  <w:style w:type="paragraph" w:styleId="Heading8">
    <w:name w:val="heading 8"/>
    <w:basedOn w:val="Normal"/>
    <w:next w:val="Normal"/>
    <w:qFormat/>
    <w:rsid w:val="005304F7"/>
    <w:pPr>
      <w:spacing w:before="240" w:after="60"/>
      <w:outlineLvl w:val="7"/>
    </w:pPr>
    <w:rPr>
      <w:i/>
      <w:iCs/>
    </w:rPr>
  </w:style>
  <w:style w:type="paragraph" w:styleId="Heading9">
    <w:name w:val="heading 9"/>
    <w:basedOn w:val="Normal"/>
    <w:next w:val="Normal"/>
    <w:qFormat/>
    <w:rsid w:val="005304F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8110B2"/>
    <w:pPr>
      <w:spacing w:after="113" w:line="240" w:lineRule="atLeast"/>
    </w:pPr>
    <w:rPr>
      <w:rFonts w:ascii="Calibri" w:hAnsi="Calibri" w:cs="Arial"/>
      <w:sz w:val="22"/>
      <w:szCs w:val="24"/>
      <w:lang w:eastAsia="en-US"/>
    </w:rPr>
  </w:style>
  <w:style w:type="paragraph" w:customStyle="1" w:styleId="Bullet">
    <w:name w:val="_Bullet"/>
    <w:link w:val="BulletChar"/>
    <w:qFormat/>
    <w:rsid w:val="008110B2"/>
    <w:pPr>
      <w:numPr>
        <w:numId w:val="16"/>
      </w:numPr>
      <w:tabs>
        <w:tab w:val="clear" w:pos="720"/>
        <w:tab w:val="num" w:pos="0"/>
      </w:tabs>
      <w:spacing w:after="113" w:line="220" w:lineRule="atLeast"/>
    </w:pPr>
    <w:rPr>
      <w:rFonts w:ascii="Calibri" w:hAnsi="Calibri" w:cs="Arial"/>
      <w:sz w:val="22"/>
      <w:szCs w:val="24"/>
      <w:lang w:eastAsia="en-US"/>
    </w:rPr>
  </w:style>
  <w:style w:type="character" w:customStyle="1" w:styleId="BulletChar">
    <w:name w:val="_Bullet Char"/>
    <w:link w:val="Bullet"/>
    <w:rsid w:val="008110B2"/>
    <w:rPr>
      <w:rFonts w:ascii="Calibri" w:hAnsi="Calibri" w:cs="Arial"/>
      <w:sz w:val="22"/>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8110B2"/>
    <w:pPr>
      <w:spacing w:before="120" w:after="120" w:line="170" w:lineRule="atLeast"/>
    </w:pPr>
    <w:rPr>
      <w:rFonts w:ascii="Calibri" w:hAnsi="Calibri" w:cs="Arial"/>
      <w:b/>
      <w:color w:val="404040"/>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6643F2"/>
    <w:pPr>
      <w:spacing w:line="720" w:lineRule="atLeast"/>
    </w:pPr>
    <w:rPr>
      <w:rFonts w:ascii="Calibri" w:hAnsi="Calibri"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8110B2"/>
    <w:pPr>
      <w:spacing w:line="440" w:lineRule="atLeast"/>
    </w:pPr>
    <w:rPr>
      <w:rFonts w:ascii="Calibri" w:hAnsi="Calibri" w:cs="Arial"/>
      <w:color w:val="FFFFFF"/>
      <w:sz w:val="40"/>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BB295C"/>
    <w:pPr>
      <w:spacing w:before="360" w:after="120" w:line="460" w:lineRule="atLeast"/>
      <w:outlineLvl w:val="0"/>
    </w:pPr>
    <w:rPr>
      <w:rFonts w:ascii="Calibri" w:hAnsi="Calibri" w:cs="Arial"/>
      <w:color w:val="228591"/>
      <w:sz w:val="40"/>
      <w:szCs w:val="24"/>
      <w:lang w:val="en-US" w:eastAsia="en-US"/>
    </w:rPr>
  </w:style>
  <w:style w:type="paragraph" w:customStyle="1" w:styleId="HB">
    <w:name w:val="_HB"/>
    <w:next w:val="Body"/>
    <w:uiPriority w:val="2"/>
    <w:qFormat/>
    <w:rsid w:val="008110B2"/>
    <w:pPr>
      <w:spacing w:before="180" w:after="113" w:line="300" w:lineRule="atLeast"/>
      <w:outlineLvl w:val="0"/>
    </w:pPr>
    <w:rPr>
      <w:rFonts w:ascii="Calibri" w:hAnsi="Calibri" w:cs="Arial"/>
      <w:b/>
      <w:color w:val="228591"/>
      <w:sz w:val="28"/>
      <w:szCs w:val="24"/>
      <w:lang w:eastAsia="en-US"/>
    </w:rPr>
  </w:style>
  <w:style w:type="paragraph" w:customStyle="1" w:styleId="HC">
    <w:name w:val="_HC"/>
    <w:next w:val="Body"/>
    <w:uiPriority w:val="2"/>
    <w:qFormat/>
    <w:rsid w:val="008110B2"/>
    <w:pPr>
      <w:spacing w:before="140" w:after="57" w:line="220" w:lineRule="atLeast"/>
    </w:pPr>
    <w:rPr>
      <w:rFonts w:ascii="Calibri" w:hAnsi="Calibri" w:cs="Arial"/>
      <w:b/>
      <w:sz w:val="24"/>
      <w:szCs w:val="24"/>
      <w:lang w:eastAsia="en-US"/>
    </w:rPr>
  </w:style>
  <w:style w:type="paragraph" w:customStyle="1" w:styleId="HD">
    <w:name w:val="_HD"/>
    <w:next w:val="Body"/>
    <w:uiPriority w:val="2"/>
    <w:qFormat/>
    <w:rsid w:val="008110B2"/>
    <w:pPr>
      <w:spacing w:before="57" w:after="57" w:line="220" w:lineRule="atLeast"/>
    </w:pPr>
    <w:rPr>
      <w:rFonts w:ascii="Calibri" w:hAnsi="Calibri" w:cs="Arial"/>
      <w:b/>
      <w:i/>
      <w:sz w:val="22"/>
      <w:szCs w:val="24"/>
      <w:lang w:eastAsia="en-US"/>
    </w:rPr>
  </w:style>
  <w:style w:type="paragraph" w:customStyle="1" w:styleId="Pullout">
    <w:name w:val="_Pullout"/>
    <w:qFormat/>
    <w:rsid w:val="006643F2"/>
    <w:pPr>
      <w:spacing w:before="85" w:after="170" w:line="300" w:lineRule="atLeast"/>
    </w:pPr>
    <w:rPr>
      <w:rFonts w:ascii="Calibri" w:hAnsi="Calibri" w:cs="Arial"/>
      <w:color w:val="228591"/>
      <w:sz w:val="24"/>
      <w:szCs w:val="24"/>
      <w:lang w:eastAsia="en-US"/>
    </w:rPr>
  </w:style>
  <w:style w:type="paragraph" w:customStyle="1" w:styleId="TableTitle">
    <w:name w:val="_TableTitle"/>
    <w:qFormat/>
    <w:rsid w:val="008110B2"/>
    <w:pPr>
      <w:spacing w:after="120" w:line="220" w:lineRule="atLeast"/>
    </w:pPr>
    <w:rPr>
      <w:rFonts w:ascii="Calibri" w:hAnsi="Calibri" w:cs="Arial"/>
      <w:b/>
      <w:color w:val="404040"/>
      <w:sz w:val="22"/>
      <w:szCs w:val="18"/>
      <w:lang w:eastAsia="en-US"/>
    </w:rPr>
  </w:style>
  <w:style w:type="paragraph" w:customStyle="1" w:styleId="TblBdy">
    <w:name w:val="_TblBdy"/>
    <w:uiPriority w:val="1"/>
    <w:qFormat/>
    <w:rsid w:val="008110B2"/>
    <w:pPr>
      <w:spacing w:before="80" w:after="60"/>
    </w:pPr>
    <w:rPr>
      <w:rFonts w:ascii="Calibri" w:hAnsi="Calibri" w:cs="Arial"/>
      <w:sz w:val="22"/>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rsid w:val="00F74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Hd">
    <w:name w:val="_TblHd"/>
    <w:qFormat/>
    <w:rsid w:val="00661B37"/>
    <w:pPr>
      <w:spacing w:before="60" w:after="60" w:line="230" w:lineRule="atLeast"/>
    </w:pPr>
    <w:rPr>
      <w:rFonts w:ascii="Calibri" w:hAnsi="Calibri" w:cs="Arial"/>
      <w:b/>
      <w:color w:val="FFFFFF" w:themeColor="background1"/>
      <w:sz w:val="22"/>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6643F2"/>
    <w:pPr>
      <w:pBdr>
        <w:top w:val="dotted" w:sz="12" w:space="1" w:color="3BBEB4"/>
      </w:pBdr>
    </w:pPr>
    <w:rPr>
      <w:rFonts w:ascii="Calibri" w:hAnsi="Calibri" w:cs="Arial"/>
      <w:sz w:val="8"/>
      <w:szCs w:val="8"/>
      <w:lang w:eastAsia="en-US"/>
    </w:rPr>
  </w:style>
  <w:style w:type="paragraph" w:customStyle="1" w:styleId="ImprintText">
    <w:name w:val="_ImprintText"/>
    <w:uiPriority w:val="9"/>
    <w:rsid w:val="00D840DE"/>
    <w:pPr>
      <w:spacing w:after="85" w:line="170" w:lineRule="atLeast"/>
    </w:pPr>
    <w:rPr>
      <w:rFonts w:ascii="Calibri" w:hAnsi="Calibri" w:cs="Arial"/>
      <w:sz w:val="16"/>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semiHidden/>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qFormat/>
    <w:rsid w:val="005304F7"/>
    <w:rPr>
      <w:b/>
      <w:bCs/>
    </w:rPr>
  </w:style>
  <w:style w:type="paragraph" w:styleId="Subtitle">
    <w:name w:val="Subtitle"/>
    <w:basedOn w:val="Normal"/>
    <w:qFormat/>
    <w:rsid w:val="005C70F5"/>
    <w:pPr>
      <w:spacing w:after="60"/>
      <w:jc w:val="center"/>
      <w:outlineLvl w:val="1"/>
    </w:pPr>
    <w:rPr>
      <w:rFonts w:cs="Arial"/>
    </w:rPr>
  </w:style>
  <w:style w:type="table" w:styleId="Table3Deffects1">
    <w:name w:val="Table 3D effects 1"/>
    <w:basedOn w:val="TableNormal"/>
    <w:semiHidden/>
    <w:rsid w:val="005304F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304F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6643F2"/>
    <w:pPr>
      <w:spacing w:before="240" w:after="60"/>
      <w:jc w:val="center"/>
      <w:outlineLvl w:val="0"/>
    </w:pPr>
    <w:rPr>
      <w:rFonts w:cs="Arial"/>
      <w:b/>
      <w:bCs/>
      <w:kern w:val="28"/>
      <w:sz w:val="32"/>
      <w:szCs w:val="32"/>
    </w:rPr>
  </w:style>
  <w:style w:type="paragraph" w:customStyle="1" w:styleId="ImprintBreak2">
    <w:name w:val="_ImprintBreak2"/>
    <w:uiPriority w:val="9"/>
    <w:rsid w:val="006643F2"/>
    <w:rPr>
      <w:rFonts w:ascii="Calibri" w:hAnsi="Calibri"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5C70F5"/>
    <w:pPr>
      <w:ind w:left="-34" w:hanging="694"/>
    </w:pPr>
    <w:rPr>
      <w:rFonts w:ascii="Calibri" w:hAnsi="Calibri" w:cs="Arial"/>
      <w:color w:val="636466"/>
      <w:sz w:val="54"/>
      <w:szCs w:val="24"/>
      <w:lang w:eastAsia="en-US"/>
    </w:rPr>
  </w:style>
  <w:style w:type="paragraph" w:styleId="FootnoteText">
    <w:name w:val="footnote text"/>
    <w:basedOn w:val="Normal"/>
    <w:link w:val="FootnoteTextChar"/>
    <w:semiHidden/>
    <w:rsid w:val="00077758"/>
    <w:rPr>
      <w:szCs w:val="20"/>
    </w:rPr>
  </w:style>
  <w:style w:type="character" w:customStyle="1" w:styleId="FootnoteTextChar">
    <w:name w:val="Footnote Text Char"/>
    <w:link w:val="FootnoteText"/>
    <w:semiHidden/>
    <w:rsid w:val="00077758"/>
    <w:rPr>
      <w:lang w:eastAsia="en-US"/>
    </w:rPr>
  </w:style>
  <w:style w:type="character" w:styleId="FootnoteReference">
    <w:name w:val="footnote reference"/>
    <w:semiHidden/>
    <w:rsid w:val="00077758"/>
    <w:rPr>
      <w:rFonts w:ascii="Arial" w:hAnsi="Arial"/>
      <w:vertAlign w:val="superscript"/>
    </w:rPr>
  </w:style>
  <w:style w:type="paragraph" w:customStyle="1" w:styleId="StyleItalic">
    <w:name w:val="Style Italic"/>
    <w:basedOn w:val="Normal"/>
    <w:link w:val="StyleItalicChar"/>
    <w:autoRedefine/>
    <w:rsid w:val="00B40046"/>
    <w:rPr>
      <w:rFonts w:ascii="Arial" w:hAnsi="Arial" w:cs="Arial"/>
      <w:i/>
      <w:sz w:val="16"/>
      <w:szCs w:val="20"/>
      <w:lang w:eastAsia="en-AU"/>
    </w:rPr>
  </w:style>
  <w:style w:type="character" w:customStyle="1" w:styleId="StyleItalicChar">
    <w:name w:val="Style Italic Char"/>
    <w:basedOn w:val="DefaultParagraphFont"/>
    <w:link w:val="StyleItalic"/>
    <w:rsid w:val="00B40046"/>
    <w:rPr>
      <w:rFonts w:ascii="Arial" w:hAnsi="Arial" w:cs="Arial"/>
      <w:i/>
      <w:sz w:val="16"/>
    </w:rPr>
  </w:style>
  <w:style w:type="paragraph" w:customStyle="1" w:styleId="StyleBold">
    <w:name w:val="Style Bold"/>
    <w:basedOn w:val="Normal"/>
    <w:autoRedefine/>
    <w:rsid w:val="00B40046"/>
    <w:rPr>
      <w:rFonts w:ascii="Arial" w:hAnsi="Arial" w:cs="Arial"/>
      <w:b/>
      <w:sz w:val="16"/>
      <w:szCs w:val="20"/>
      <w:lang w:eastAsia="en-AU"/>
    </w:rPr>
  </w:style>
  <w:style w:type="character" w:styleId="CommentReference">
    <w:name w:val="annotation reference"/>
    <w:basedOn w:val="DefaultParagraphFont"/>
    <w:semiHidden/>
    <w:rsid w:val="00D5714A"/>
    <w:rPr>
      <w:sz w:val="16"/>
      <w:szCs w:val="16"/>
    </w:rPr>
  </w:style>
  <w:style w:type="paragraph" w:styleId="CommentText">
    <w:name w:val="annotation text"/>
    <w:basedOn w:val="Normal"/>
    <w:link w:val="CommentTextChar"/>
    <w:semiHidden/>
    <w:rsid w:val="00D5714A"/>
    <w:rPr>
      <w:sz w:val="20"/>
      <w:szCs w:val="20"/>
    </w:rPr>
  </w:style>
  <w:style w:type="character" w:customStyle="1" w:styleId="CommentTextChar">
    <w:name w:val="Comment Text Char"/>
    <w:basedOn w:val="DefaultParagraphFont"/>
    <w:link w:val="CommentText"/>
    <w:semiHidden/>
    <w:rsid w:val="00D5714A"/>
    <w:rPr>
      <w:rFonts w:ascii="Calibri" w:hAnsi="Calibri"/>
      <w:lang w:eastAsia="en-US"/>
    </w:rPr>
  </w:style>
  <w:style w:type="paragraph" w:styleId="CommentSubject">
    <w:name w:val="annotation subject"/>
    <w:basedOn w:val="CommentText"/>
    <w:next w:val="CommentText"/>
    <w:link w:val="CommentSubjectChar"/>
    <w:semiHidden/>
    <w:rsid w:val="00D5714A"/>
    <w:rPr>
      <w:b/>
      <w:bCs/>
    </w:rPr>
  </w:style>
  <w:style w:type="character" w:customStyle="1" w:styleId="CommentSubjectChar">
    <w:name w:val="Comment Subject Char"/>
    <w:basedOn w:val="CommentTextChar"/>
    <w:link w:val="CommentSubject"/>
    <w:semiHidden/>
    <w:rsid w:val="00D5714A"/>
    <w:rPr>
      <w:rFonts w:ascii="Calibri" w:hAnsi="Calibri"/>
      <w:b/>
      <w:bCs/>
      <w:lang w:eastAsia="en-US"/>
    </w:rPr>
  </w:style>
  <w:style w:type="character" w:customStyle="1" w:styleId="Heading4Char">
    <w:name w:val="Heading 4 Char"/>
    <w:basedOn w:val="DefaultParagraphFont"/>
    <w:link w:val="Heading4"/>
    <w:uiPriority w:val="9"/>
    <w:rsid w:val="00B068A4"/>
    <w:rPr>
      <w:rFonts w:ascii="Calibri" w:hAnsi="Calibri"/>
      <w:b/>
      <w:bCs/>
      <w:sz w:val="28"/>
      <w:szCs w:val="28"/>
      <w:lang w:eastAsia="en-US"/>
    </w:rPr>
  </w:style>
  <w:style w:type="paragraph" w:styleId="ListParagraph">
    <w:name w:val="List Paragraph"/>
    <w:aliases w:val="List 1"/>
    <w:basedOn w:val="Normal"/>
    <w:uiPriority w:val="34"/>
    <w:qFormat/>
    <w:rsid w:val="00B068A4"/>
    <w:pPr>
      <w:widowControl w:val="0"/>
      <w:spacing w:before="120" w:after="120"/>
      <w:ind w:left="720"/>
      <w:contextualSpacing/>
    </w:pPr>
    <w:rPr>
      <w:rFonts w:ascii="Arial" w:eastAsiaTheme="minorHAnsi" w:hAnsi="Arial" w:cstheme="minorBidi"/>
      <w:szCs w:val="22"/>
      <w:lang w:val="en-US"/>
    </w:rPr>
  </w:style>
  <w:style w:type="paragraph" w:customStyle="1" w:styleId="HCAnswer">
    <w:name w:val="_HC Answer"/>
    <w:basedOn w:val="Body"/>
    <w:uiPriority w:val="99"/>
    <w:qFormat/>
    <w:rsid w:val="00DA1694"/>
    <w:pPr>
      <w:ind w:left="709" w:hanging="709"/>
    </w:pPr>
    <w:rPr>
      <w:rFonts w:eastAsiaTheme="minorHAnsi" w:cs="Helv"/>
      <w:color w:val="000000"/>
    </w:rPr>
  </w:style>
  <w:style w:type="numbering" w:customStyle="1" w:styleId="NoList1">
    <w:name w:val="No List1"/>
    <w:next w:val="NoList"/>
    <w:uiPriority w:val="99"/>
    <w:semiHidden/>
    <w:unhideWhenUsed/>
    <w:rsid w:val="00117376"/>
  </w:style>
  <w:style w:type="paragraph" w:customStyle="1" w:styleId="HCQuestion">
    <w:name w:val="_HC Question"/>
    <w:basedOn w:val="HCAnswer"/>
    <w:uiPriority w:val="99"/>
    <w:qFormat/>
    <w:rsid w:val="009A2E97"/>
    <w:pPr>
      <w:spacing w:before="24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property-and-land-titles/publications" TargetMode="External"/><Relationship Id="rId13" Type="http://schemas.openxmlformats.org/officeDocument/2006/relationships/hyperlink" Target="http://www.delwp.vic.gov.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tpli.vic.gov.au/property-and-land-titles/contact-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yperlink" Target="http://creativecommons.org/licenses/by/4.0/" TargetMode="External"/><Relationship Id="rId10" Type="http://schemas.openxmlformats.org/officeDocument/2006/relationships/hyperlink" Target="http://www.delwp.vic.gov.au/property-and-land-titles/forms,-guides-and-fee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delwp.vic.gov.au" TargetMode="External"/><Relationship Id="rId14"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full%20measure%20DEPI%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78DDC-BE5B-4A50-B189-2C428035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 full measure DEPI .dotx</Template>
  <TotalTime>0</TotalTime>
  <Pages>2</Pages>
  <Words>757</Words>
  <Characters>4315</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2020-07-16T23:47:00Z</dcterms:created>
  <dcterms:modified xsi:type="dcterms:W3CDTF">2020-07-16T23:47:00Z</dcterms:modified>
</cp:coreProperties>
</file>