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B6813" w:rsidP="0081473C">
            <w:pPr>
              <w:pStyle w:val="Title"/>
            </w:pPr>
            <w:r>
              <w:t xml:space="preserve">Land </w:t>
            </w:r>
            <w:r w:rsidR="00F6579C">
              <w:t xml:space="preserve">Use </w:t>
            </w:r>
            <w:r>
              <w:t>Victoria</w:t>
            </w:r>
            <w:r w:rsidR="007D3A3E">
              <w:br/>
            </w:r>
            <w:r w:rsidRPr="00EB6813">
              <w:rPr>
                <w:b w:val="0"/>
                <w:sz w:val="32"/>
                <w:szCs w:val="32"/>
              </w:rPr>
              <w:t>Customer Information Bulletin 16</w:t>
            </w:r>
            <w:r w:rsidR="0081473C">
              <w:rPr>
                <w:b w:val="0"/>
                <w:sz w:val="32"/>
                <w:szCs w:val="32"/>
              </w:rPr>
              <w:t>3</w:t>
            </w:r>
            <w:r w:rsidRPr="00EB6813">
              <w:rPr>
                <w:b w:val="0"/>
                <w:sz w:val="32"/>
                <w:szCs w:val="32"/>
              </w:rPr>
              <w:t xml:space="preserve">, </w:t>
            </w:r>
            <w:r w:rsidR="0081473C">
              <w:rPr>
                <w:b w:val="0"/>
                <w:sz w:val="32"/>
                <w:szCs w:val="32"/>
              </w:rPr>
              <w:t xml:space="preserve">March </w:t>
            </w:r>
            <w:r w:rsidRPr="00EB6813">
              <w:rPr>
                <w:b w:val="0"/>
                <w:sz w:val="32"/>
                <w:szCs w:val="32"/>
              </w:rPr>
              <w:t>201</w:t>
            </w:r>
            <w:r w:rsidR="00A00B59">
              <w:rPr>
                <w:b w:val="0"/>
                <w:sz w:val="32"/>
                <w:szCs w:val="32"/>
              </w:rPr>
              <w:t>7</w:t>
            </w:r>
          </w:p>
        </w:tc>
      </w:tr>
    </w:tbl>
    <w:p w:rsidR="00806AB6" w:rsidRDefault="00806AB6" w:rsidP="00307C36"/>
    <w:p w:rsidR="00E14F25" w:rsidRDefault="00E14F25" w:rsidP="00307C36"/>
    <w:p w:rsidR="00E14F25" w:rsidRDefault="00E14F25" w:rsidP="00307C36"/>
    <w:p w:rsidR="00806AB6" w:rsidRDefault="00806AB6" w:rsidP="00806AB6">
      <w:pPr>
        <w:pStyle w:val="BodyText"/>
      </w:pPr>
    </w:p>
    <w:p w:rsidR="00A16DFC" w:rsidRDefault="00A16DFC" w:rsidP="00806AB6">
      <w:pPr>
        <w:pStyle w:val="BodyText"/>
        <w:sectPr w:rsidR="00A16DFC" w:rsidSect="003D1370">
          <w:headerReference w:type="even" r:id="rId9"/>
          <w:headerReference w:type="default" r:id="rId10"/>
          <w:footerReference w:type="even" r:id="rId11"/>
          <w:footerReference w:type="default" r:id="rId12"/>
          <w:headerReference w:type="first" r:id="rId13"/>
          <w:footerReference w:type="first" r:id="rId14"/>
          <w:pgSz w:w="11907" w:h="16840" w:code="9"/>
          <w:pgMar w:top="1985" w:right="737" w:bottom="794" w:left="851" w:header="284" w:footer="0" w:gutter="0"/>
          <w:cols w:space="284"/>
          <w:titlePg/>
          <w:docGrid w:linePitch="360"/>
        </w:sectPr>
      </w:pPr>
    </w:p>
    <w:p w:rsidR="00A00B59" w:rsidRPr="00D932F8" w:rsidRDefault="00A00B59" w:rsidP="00A00B59">
      <w:pPr>
        <w:pStyle w:val="Heading1"/>
        <w:rPr>
          <w:rFonts w:eastAsia="Calibri"/>
        </w:rPr>
      </w:pPr>
      <w:r w:rsidRPr="00D932F8">
        <w:rPr>
          <w:rFonts w:eastAsia="Calibri"/>
        </w:rPr>
        <w:lastRenderedPageBreak/>
        <w:t>Registrar’s requirements for paper conveyancing transactions</w:t>
      </w:r>
    </w:p>
    <w:p w:rsidR="00D5568B" w:rsidRDefault="0081473C" w:rsidP="0081473C">
      <w:pPr>
        <w:pStyle w:val="Body"/>
        <w:rPr>
          <w:rStyle w:val="Hyperlink"/>
          <w:rFonts w:eastAsiaTheme="minorEastAsia" w:cstheme="minorBidi"/>
          <w:lang w:eastAsia="en-AU"/>
        </w:rPr>
      </w:pPr>
      <w:r>
        <w:rPr>
          <w:rFonts w:eastAsia="Calibri"/>
        </w:rPr>
        <w:t>Version 2 of the Registrar’s requirements for paper conveyancing w</w:t>
      </w:r>
      <w:r w:rsidR="00A16DFC">
        <w:rPr>
          <w:rFonts w:eastAsia="Calibri"/>
        </w:rPr>
        <w:t>as</w:t>
      </w:r>
      <w:r>
        <w:rPr>
          <w:rFonts w:eastAsia="Calibri"/>
        </w:rPr>
        <w:t xml:space="preserve"> determined on 22 March and published on 23 March.  A copy showing the changes since version 1 and a clean copy are available </w:t>
      </w:r>
      <w:r w:rsidR="00580CFC">
        <w:rPr>
          <w:rFonts w:eastAsia="Calibri"/>
        </w:rPr>
        <w:t xml:space="preserve">at </w:t>
      </w:r>
      <w:hyperlink r:id="rId15" w:history="1">
        <w:r w:rsidR="00D5568B" w:rsidRPr="00F34132">
          <w:rPr>
            <w:rStyle w:val="Hyperlink"/>
            <w:rFonts w:eastAsia="Calibri"/>
          </w:rPr>
          <w:t>www.delwp.vic.gov.au/publications</w:t>
        </w:r>
      </w:hyperlink>
    </w:p>
    <w:p w:rsidR="0081473C" w:rsidRDefault="0081473C" w:rsidP="0081473C">
      <w:pPr>
        <w:pStyle w:val="Body"/>
        <w:rPr>
          <w:rFonts w:eastAsia="Calibri"/>
        </w:rPr>
      </w:pPr>
      <w:r>
        <w:rPr>
          <w:rFonts w:eastAsia="Calibri"/>
        </w:rPr>
        <w:t>The main changes to the requirements are:</w:t>
      </w:r>
    </w:p>
    <w:p w:rsidR="0081473C" w:rsidRDefault="0081473C" w:rsidP="0081473C">
      <w:pPr>
        <w:pStyle w:val="Body"/>
        <w:numPr>
          <w:ilvl w:val="0"/>
          <w:numId w:val="18"/>
        </w:numPr>
        <w:rPr>
          <w:rFonts w:eastAsia="Calibri"/>
        </w:rPr>
      </w:pPr>
      <w:r>
        <w:rPr>
          <w:rFonts w:eastAsia="Calibri"/>
        </w:rPr>
        <w:t xml:space="preserve">amendments to requirements 5 (Certifications), 8 (Client Authorisations) and 9 (mortgagee certifications) so they take </w:t>
      </w:r>
      <w:r w:rsidR="008E4114">
        <w:rPr>
          <w:rFonts w:eastAsia="Calibri"/>
        </w:rPr>
        <w:t>e</w:t>
      </w:r>
      <w:bookmarkStart w:id="1" w:name="_GoBack"/>
      <w:bookmarkEnd w:id="1"/>
      <w:r>
        <w:rPr>
          <w:rFonts w:eastAsia="Calibri"/>
        </w:rPr>
        <w:t>ffect from the introduction of the national mortgage form on 26 May 2017</w:t>
      </w:r>
    </w:p>
    <w:p w:rsidR="0081473C" w:rsidRDefault="0081473C" w:rsidP="0081473C">
      <w:pPr>
        <w:pStyle w:val="Body"/>
        <w:numPr>
          <w:ilvl w:val="0"/>
          <w:numId w:val="18"/>
        </w:numPr>
        <w:rPr>
          <w:rFonts w:eastAsia="Calibri"/>
        </w:rPr>
      </w:pPr>
      <w:r>
        <w:rPr>
          <w:rFonts w:eastAsia="Calibri"/>
        </w:rPr>
        <w:t>introduction of a transition period for approved forms of instrument signed on or before 31 December 2017 for requirements 5, 8 and 9</w:t>
      </w:r>
    </w:p>
    <w:p w:rsidR="0081473C" w:rsidRDefault="0081473C" w:rsidP="0081473C">
      <w:pPr>
        <w:pStyle w:val="Body"/>
        <w:numPr>
          <w:ilvl w:val="0"/>
          <w:numId w:val="18"/>
        </w:numPr>
        <w:rPr>
          <w:rFonts w:eastAsia="Calibri"/>
        </w:rPr>
      </w:pPr>
      <w:r>
        <w:rPr>
          <w:rFonts w:eastAsia="Calibri"/>
        </w:rPr>
        <w:t>that certifications cannot be included on an annexure page – approved forms including certifications must be used</w:t>
      </w:r>
    </w:p>
    <w:p w:rsidR="0081473C" w:rsidRDefault="0081473C" w:rsidP="0081473C">
      <w:pPr>
        <w:pStyle w:val="Body"/>
        <w:numPr>
          <w:ilvl w:val="0"/>
          <w:numId w:val="18"/>
        </w:numPr>
        <w:rPr>
          <w:rFonts w:eastAsia="Calibri"/>
        </w:rPr>
      </w:pPr>
      <w:r>
        <w:rPr>
          <w:rFonts w:eastAsia="Calibri"/>
        </w:rPr>
        <w:t>re-finances between ADIs must be lodged electronically from 1 August 2017</w:t>
      </w:r>
    </w:p>
    <w:p w:rsidR="0081473C" w:rsidRDefault="0081473C" w:rsidP="0081473C">
      <w:pPr>
        <w:pStyle w:val="Body"/>
        <w:numPr>
          <w:ilvl w:val="0"/>
          <w:numId w:val="18"/>
        </w:numPr>
        <w:rPr>
          <w:rFonts w:eastAsia="Calibri"/>
        </w:rPr>
      </w:pPr>
      <w:r>
        <w:rPr>
          <w:rFonts w:eastAsia="Calibri"/>
        </w:rPr>
        <w:t xml:space="preserve">all ADI mortgages are included in the requirements – commercial mortgages were </w:t>
      </w:r>
      <w:r w:rsidR="00EF2F0F">
        <w:rPr>
          <w:rFonts w:eastAsia="Calibri"/>
        </w:rPr>
        <w:t xml:space="preserve">previously </w:t>
      </w:r>
      <w:r>
        <w:rPr>
          <w:rFonts w:eastAsia="Calibri"/>
        </w:rPr>
        <w:t>exempt</w:t>
      </w:r>
    </w:p>
    <w:p w:rsidR="0081473C" w:rsidRDefault="0081473C" w:rsidP="0081473C">
      <w:pPr>
        <w:pStyle w:val="Body"/>
        <w:numPr>
          <w:ilvl w:val="0"/>
          <w:numId w:val="18"/>
        </w:numPr>
        <w:rPr>
          <w:rFonts w:eastAsia="Calibri"/>
        </w:rPr>
      </w:pPr>
      <w:r>
        <w:rPr>
          <w:rFonts w:eastAsia="Calibri"/>
        </w:rPr>
        <w:t>introduction of an additional exception to requirement 6.2 that certain instruments must be lodged electronically when the relevant folio of the Register cannot be dealt with electronically</w:t>
      </w:r>
    </w:p>
    <w:p w:rsidR="0081473C" w:rsidRDefault="0081473C" w:rsidP="0081473C">
      <w:pPr>
        <w:pStyle w:val="Body"/>
        <w:numPr>
          <w:ilvl w:val="0"/>
          <w:numId w:val="18"/>
        </w:numPr>
        <w:rPr>
          <w:rFonts w:eastAsia="Calibri"/>
        </w:rPr>
      </w:pPr>
      <w:r>
        <w:rPr>
          <w:rFonts w:eastAsia="Calibri"/>
        </w:rPr>
        <w:t>new form printing requirements in requirement 10.3</w:t>
      </w:r>
    </w:p>
    <w:p w:rsidR="0081473C" w:rsidRDefault="0081473C" w:rsidP="0081473C">
      <w:pPr>
        <w:pStyle w:val="Body"/>
        <w:numPr>
          <w:ilvl w:val="0"/>
          <w:numId w:val="18"/>
        </w:numPr>
        <w:rPr>
          <w:rFonts w:eastAsia="Calibri"/>
        </w:rPr>
      </w:pPr>
      <w:r>
        <w:rPr>
          <w:rFonts w:eastAsia="Calibri"/>
        </w:rPr>
        <w:t>amendment to Schedule 4 so that certifications will be the same as those in the national mortgage form.</w:t>
      </w:r>
    </w:p>
    <w:p w:rsidR="0081473C" w:rsidRDefault="0081473C" w:rsidP="0081473C">
      <w:pPr>
        <w:pStyle w:val="Body"/>
        <w:rPr>
          <w:rFonts w:eastAsia="Calibri"/>
        </w:rPr>
      </w:pPr>
      <w:r>
        <w:rPr>
          <w:rFonts w:eastAsia="Calibri"/>
        </w:rPr>
        <w:t xml:space="preserve">The Registrar’s requirements will be next amended when Version 4 of the Model Participation Rules for electronic conveyancing </w:t>
      </w:r>
      <w:r w:rsidR="00A16DFC">
        <w:rPr>
          <w:rFonts w:eastAsia="Calibri"/>
        </w:rPr>
        <w:t>is</w:t>
      </w:r>
      <w:r>
        <w:rPr>
          <w:rFonts w:eastAsia="Calibri"/>
        </w:rPr>
        <w:t xml:space="preserve"> finalised.  The Australian Registrars’ Working Group is currently considering feedback received on </w:t>
      </w:r>
      <w:r w:rsidRPr="00283213">
        <w:rPr>
          <w:rFonts w:eastAsia="Calibri"/>
        </w:rPr>
        <w:t>consultation draft 4 of the Model Operating Requirements and consultation draft 4 Model Participation Rules.</w:t>
      </w:r>
    </w:p>
    <w:p w:rsidR="0081473C" w:rsidRPr="0081473C" w:rsidRDefault="0081473C" w:rsidP="0081473C">
      <w:pPr>
        <w:pStyle w:val="HA"/>
        <w:rPr>
          <w:rFonts w:asciiTheme="minorHAnsi" w:eastAsia="Calibri" w:hAnsiTheme="minorHAnsi"/>
          <w:b/>
          <w:bCs/>
          <w:color w:val="B3272F" w:themeColor="text2"/>
          <w:kern w:val="32"/>
          <w:szCs w:val="32"/>
          <w:lang w:val="en-AU"/>
        </w:rPr>
      </w:pPr>
      <w:r w:rsidRPr="0081473C">
        <w:rPr>
          <w:rFonts w:asciiTheme="minorHAnsi" w:eastAsia="Calibri" w:hAnsiTheme="minorHAnsi"/>
          <w:b/>
          <w:bCs/>
          <w:color w:val="B3272F" w:themeColor="text2"/>
          <w:kern w:val="32"/>
          <w:szCs w:val="32"/>
          <w:lang w:val="en-AU"/>
        </w:rPr>
        <w:t>Transition to 100% digital lodgement</w:t>
      </w:r>
    </w:p>
    <w:p w:rsidR="0081473C" w:rsidRPr="0081473C" w:rsidRDefault="0081473C" w:rsidP="0081473C">
      <w:pPr>
        <w:pStyle w:val="Body"/>
        <w:rPr>
          <w:rFonts w:eastAsiaTheme="minorEastAsia"/>
        </w:rPr>
      </w:pPr>
      <w:r w:rsidRPr="0081473C">
        <w:rPr>
          <w:rFonts w:eastAsiaTheme="minorEastAsia"/>
        </w:rPr>
        <w:t>In line with the Victorian Government’s digital strategy, the Registrar has consulted with stakeholders about transitioning to 100% digital lodgement.  The agreed requirements and timelines are as follows:</w:t>
      </w:r>
    </w:p>
    <w:p w:rsidR="0081473C" w:rsidRPr="0081473C" w:rsidRDefault="0081473C" w:rsidP="0081473C">
      <w:pPr>
        <w:pStyle w:val="Heading2"/>
      </w:pPr>
      <w:r w:rsidRPr="0081473C">
        <w:t>2017</w:t>
      </w:r>
    </w:p>
    <w:p w:rsidR="0081473C" w:rsidRPr="00D932F8" w:rsidRDefault="0081473C" w:rsidP="0081473C">
      <w:pPr>
        <w:pStyle w:val="Body"/>
        <w:rPr>
          <w:rFonts w:eastAsia="Calibri"/>
        </w:rPr>
      </w:pPr>
      <w:r w:rsidRPr="00D932F8">
        <w:rPr>
          <w:rFonts w:eastAsia="Calibri"/>
        </w:rPr>
        <w:t>26 May</w:t>
      </w:r>
    </w:p>
    <w:p w:rsidR="0081473C" w:rsidRPr="00D932F8" w:rsidRDefault="0081473C" w:rsidP="0081473C">
      <w:pPr>
        <w:pStyle w:val="Bullet"/>
        <w:rPr>
          <w:rFonts w:eastAsia="Calibri"/>
        </w:rPr>
      </w:pPr>
      <w:r w:rsidRPr="00D932F8">
        <w:rPr>
          <w:rFonts w:eastAsia="Calibri"/>
        </w:rPr>
        <w:t>National Mortgage Form</w:t>
      </w:r>
      <w:r>
        <w:rPr>
          <w:rFonts w:eastAsia="Calibri"/>
        </w:rPr>
        <w:t xml:space="preserve"> to be implemented</w:t>
      </w:r>
      <w:r w:rsidR="00EF2F0F">
        <w:rPr>
          <w:rFonts w:eastAsia="Calibri"/>
        </w:rPr>
        <w:t>.</w:t>
      </w:r>
    </w:p>
    <w:p w:rsidR="0081473C" w:rsidRPr="00D932F8" w:rsidRDefault="0081473C" w:rsidP="0081473C">
      <w:pPr>
        <w:pStyle w:val="Bullet"/>
        <w:rPr>
          <w:rFonts w:eastAsia="Calibri"/>
        </w:rPr>
      </w:pPr>
      <w:r w:rsidRPr="00D932F8">
        <w:rPr>
          <w:rFonts w:eastAsia="Calibri"/>
        </w:rPr>
        <w:t xml:space="preserve">Client </w:t>
      </w:r>
      <w:r>
        <w:rPr>
          <w:rFonts w:eastAsia="Calibri"/>
        </w:rPr>
        <w:t>A</w:t>
      </w:r>
      <w:r w:rsidRPr="00D932F8">
        <w:rPr>
          <w:rFonts w:eastAsia="Calibri"/>
        </w:rPr>
        <w:t>uthorisation</w:t>
      </w:r>
      <w:r>
        <w:rPr>
          <w:rFonts w:eastAsia="Calibri"/>
        </w:rPr>
        <w:t>s</w:t>
      </w:r>
      <w:r w:rsidRPr="00D932F8">
        <w:rPr>
          <w:rFonts w:eastAsia="Calibri"/>
        </w:rPr>
        <w:t xml:space="preserve"> required for paper conveyancing.</w:t>
      </w:r>
    </w:p>
    <w:p w:rsidR="0081473C" w:rsidRDefault="0081473C" w:rsidP="0081473C">
      <w:pPr>
        <w:pStyle w:val="Bullet"/>
        <w:rPr>
          <w:rFonts w:eastAsia="Calibri"/>
        </w:rPr>
      </w:pPr>
      <w:r w:rsidRPr="00D932F8">
        <w:rPr>
          <w:rFonts w:eastAsia="Calibri"/>
        </w:rPr>
        <w:t>Certifications required for paper conveyancing</w:t>
      </w:r>
      <w:r w:rsidR="00EF2F0F">
        <w:rPr>
          <w:rFonts w:eastAsia="Calibri"/>
        </w:rPr>
        <w:t>,</w:t>
      </w:r>
      <w:r w:rsidRPr="00D932F8">
        <w:rPr>
          <w:rFonts w:eastAsia="Calibri"/>
        </w:rPr>
        <w:t xml:space="preserve"> including those for mortgages under section 74(1A)</w:t>
      </w:r>
      <w:r>
        <w:rPr>
          <w:rFonts w:eastAsia="Calibri"/>
        </w:rPr>
        <w:t xml:space="preserve"> </w:t>
      </w:r>
      <w:r w:rsidRPr="00D932F8">
        <w:rPr>
          <w:rFonts w:eastAsia="Calibri"/>
        </w:rPr>
        <w:t xml:space="preserve">of the </w:t>
      </w:r>
      <w:r w:rsidRPr="0097489D">
        <w:rPr>
          <w:rFonts w:eastAsia="Calibri"/>
          <w:i/>
        </w:rPr>
        <w:t>Transfer of Land Act 1958</w:t>
      </w:r>
      <w:r w:rsidRPr="00D932F8">
        <w:rPr>
          <w:rFonts w:eastAsia="Calibri"/>
        </w:rPr>
        <w:t>.</w:t>
      </w:r>
    </w:p>
    <w:p w:rsidR="0081473C" w:rsidRPr="00C40095" w:rsidRDefault="0081473C" w:rsidP="0081473C">
      <w:pPr>
        <w:pStyle w:val="Bullet"/>
        <w:numPr>
          <w:ilvl w:val="0"/>
          <w:numId w:val="0"/>
        </w:numPr>
        <w:rPr>
          <w:rFonts w:eastAsia="Calibri"/>
        </w:rPr>
      </w:pPr>
      <w:r>
        <w:rPr>
          <w:rFonts w:eastAsia="Calibri"/>
        </w:rPr>
        <w:lastRenderedPageBreak/>
        <w:t xml:space="preserve">There will be a </w:t>
      </w:r>
      <w:r w:rsidRPr="00C40095">
        <w:rPr>
          <w:rFonts w:eastAsia="Calibri"/>
        </w:rPr>
        <w:t xml:space="preserve">transition period for implementation of </w:t>
      </w:r>
      <w:r>
        <w:rPr>
          <w:rFonts w:eastAsia="Calibri"/>
        </w:rPr>
        <w:t>the National Mortgage Form, C</w:t>
      </w:r>
      <w:r w:rsidRPr="00C40095">
        <w:rPr>
          <w:rFonts w:eastAsia="Calibri"/>
        </w:rPr>
        <w:t xml:space="preserve">lient </w:t>
      </w:r>
      <w:r>
        <w:rPr>
          <w:rFonts w:eastAsia="Calibri"/>
        </w:rPr>
        <w:t>A</w:t>
      </w:r>
      <w:r w:rsidRPr="00C40095">
        <w:rPr>
          <w:rFonts w:eastAsia="Calibri"/>
        </w:rPr>
        <w:t>uthorisations and certifications</w:t>
      </w:r>
      <w:r>
        <w:rPr>
          <w:rFonts w:eastAsia="Calibri"/>
        </w:rPr>
        <w:t xml:space="preserve"> from 26 May to 31 December.</w:t>
      </w:r>
    </w:p>
    <w:p w:rsidR="0081473C" w:rsidRDefault="0081473C" w:rsidP="0081473C">
      <w:pPr>
        <w:pStyle w:val="Bullet"/>
        <w:numPr>
          <w:ilvl w:val="0"/>
          <w:numId w:val="0"/>
        </w:numPr>
        <w:rPr>
          <w:rFonts w:eastAsia="Calibri"/>
        </w:rPr>
      </w:pPr>
      <w:r w:rsidRPr="00C40095">
        <w:rPr>
          <w:rFonts w:eastAsia="Calibri"/>
        </w:rPr>
        <w:t>July</w:t>
      </w:r>
    </w:p>
    <w:p w:rsidR="0081473C" w:rsidRPr="00C40095" w:rsidRDefault="0081473C" w:rsidP="0081473C">
      <w:pPr>
        <w:pStyle w:val="Bullet"/>
        <w:numPr>
          <w:ilvl w:val="0"/>
          <w:numId w:val="19"/>
        </w:numPr>
        <w:rPr>
          <w:rFonts w:eastAsia="Calibri"/>
        </w:rPr>
      </w:pPr>
      <w:r>
        <w:rPr>
          <w:rFonts w:eastAsia="Calibri"/>
        </w:rPr>
        <w:t xml:space="preserve">A second </w:t>
      </w:r>
      <w:r w:rsidRPr="00C40095">
        <w:rPr>
          <w:rFonts w:eastAsia="Calibri"/>
        </w:rPr>
        <w:t xml:space="preserve">bulk conversion of paper </w:t>
      </w:r>
      <w:r w:rsidR="00896BD7">
        <w:rPr>
          <w:rFonts w:eastAsia="Calibri"/>
        </w:rPr>
        <w:t>C</w:t>
      </w:r>
      <w:r w:rsidRPr="00C40095">
        <w:rPr>
          <w:rFonts w:eastAsia="Calibri"/>
        </w:rPr>
        <w:t xml:space="preserve">ertificates of </w:t>
      </w:r>
      <w:r w:rsidR="00896BD7">
        <w:rPr>
          <w:rFonts w:eastAsia="Calibri"/>
        </w:rPr>
        <w:t>T</w:t>
      </w:r>
      <w:r w:rsidRPr="00C40095">
        <w:rPr>
          <w:rFonts w:eastAsia="Calibri"/>
        </w:rPr>
        <w:t xml:space="preserve">itle to electronic </w:t>
      </w:r>
      <w:r w:rsidR="00896BD7">
        <w:rPr>
          <w:rFonts w:eastAsia="Calibri"/>
        </w:rPr>
        <w:t>C</w:t>
      </w:r>
      <w:r w:rsidRPr="00C40095">
        <w:rPr>
          <w:rFonts w:eastAsia="Calibri"/>
        </w:rPr>
        <w:t xml:space="preserve">ertificates of </w:t>
      </w:r>
      <w:r w:rsidR="00896BD7">
        <w:rPr>
          <w:rFonts w:eastAsia="Calibri"/>
        </w:rPr>
        <w:t>T</w:t>
      </w:r>
      <w:r w:rsidRPr="00C40095">
        <w:rPr>
          <w:rFonts w:eastAsia="Calibri"/>
        </w:rPr>
        <w:t>itle</w:t>
      </w:r>
      <w:r>
        <w:rPr>
          <w:rFonts w:eastAsia="Calibri"/>
        </w:rPr>
        <w:t xml:space="preserve"> </w:t>
      </w:r>
      <w:r w:rsidR="00E51759">
        <w:rPr>
          <w:rFonts w:eastAsia="Calibri"/>
        </w:rPr>
        <w:t xml:space="preserve">(eCT) </w:t>
      </w:r>
      <w:r>
        <w:rPr>
          <w:rFonts w:eastAsia="Calibri"/>
        </w:rPr>
        <w:t xml:space="preserve">will be undertaken.  This will involve paper </w:t>
      </w:r>
      <w:r w:rsidR="00896BD7">
        <w:rPr>
          <w:rFonts w:eastAsia="Calibri"/>
        </w:rPr>
        <w:t>C</w:t>
      </w:r>
      <w:r>
        <w:rPr>
          <w:rFonts w:eastAsia="Calibri"/>
        </w:rPr>
        <w:t xml:space="preserve">ertificates of </w:t>
      </w:r>
      <w:r w:rsidR="00896BD7">
        <w:rPr>
          <w:rFonts w:eastAsia="Calibri"/>
        </w:rPr>
        <w:t>T</w:t>
      </w:r>
      <w:r>
        <w:rPr>
          <w:rFonts w:eastAsia="Calibri"/>
        </w:rPr>
        <w:t xml:space="preserve">itle held by authorised deposit-taking institutions (ADIs) other than </w:t>
      </w:r>
      <w:r w:rsidRPr="00FF4197">
        <w:t>the four major banks (ANZ, CBA, NAB, Westpac and their brands)</w:t>
      </w:r>
      <w:r>
        <w:rPr>
          <w:rFonts w:eastAsia="Calibri"/>
        </w:rPr>
        <w:t xml:space="preserve">.  Please note that conversion of paper </w:t>
      </w:r>
      <w:r w:rsidR="00896BD7">
        <w:rPr>
          <w:rFonts w:eastAsia="Calibri"/>
        </w:rPr>
        <w:t>C</w:t>
      </w:r>
      <w:r>
        <w:rPr>
          <w:rFonts w:eastAsia="Calibri"/>
        </w:rPr>
        <w:t xml:space="preserve">ertificates of </w:t>
      </w:r>
      <w:r w:rsidR="00896BD7">
        <w:rPr>
          <w:rFonts w:eastAsia="Calibri"/>
        </w:rPr>
        <w:t>T</w:t>
      </w:r>
      <w:r>
        <w:rPr>
          <w:rFonts w:eastAsia="Calibri"/>
        </w:rPr>
        <w:t>itle held by the four major banks was undertaken in October 2016.</w:t>
      </w:r>
    </w:p>
    <w:p w:rsidR="0081473C" w:rsidRDefault="0081473C" w:rsidP="0081473C">
      <w:pPr>
        <w:pStyle w:val="Bullet"/>
        <w:numPr>
          <w:ilvl w:val="0"/>
          <w:numId w:val="0"/>
        </w:numPr>
        <w:rPr>
          <w:rFonts w:eastAsia="Calibri"/>
        </w:rPr>
      </w:pPr>
      <w:r w:rsidRPr="00206137">
        <w:rPr>
          <w:rFonts w:eastAsia="Calibri"/>
        </w:rPr>
        <w:t xml:space="preserve">1 August </w:t>
      </w:r>
    </w:p>
    <w:p w:rsidR="0081473C" w:rsidRPr="00206137" w:rsidRDefault="0081473C" w:rsidP="0081473C">
      <w:pPr>
        <w:pStyle w:val="Bullet"/>
        <w:numPr>
          <w:ilvl w:val="0"/>
          <w:numId w:val="19"/>
        </w:numPr>
        <w:rPr>
          <w:rFonts w:eastAsia="Calibri"/>
        </w:rPr>
      </w:pPr>
      <w:r>
        <w:rPr>
          <w:rFonts w:eastAsia="Calibri"/>
        </w:rPr>
        <w:t>C</w:t>
      </w:r>
      <w:r w:rsidRPr="00206137">
        <w:rPr>
          <w:rFonts w:eastAsia="Calibri"/>
        </w:rPr>
        <w:t xml:space="preserve">ommercial mortgages, refinance transactions (including commercial mortgages) </w:t>
      </w:r>
      <w:r>
        <w:rPr>
          <w:rFonts w:eastAsia="Calibri"/>
        </w:rPr>
        <w:t xml:space="preserve">to </w:t>
      </w:r>
      <w:r w:rsidRPr="00206137">
        <w:rPr>
          <w:rFonts w:eastAsia="Calibri"/>
        </w:rPr>
        <w:t xml:space="preserve">be lodged electronically where </w:t>
      </w:r>
      <w:r>
        <w:rPr>
          <w:rFonts w:eastAsia="Calibri"/>
        </w:rPr>
        <w:t xml:space="preserve">the </w:t>
      </w:r>
      <w:r w:rsidRPr="00206137">
        <w:rPr>
          <w:rFonts w:eastAsia="Calibri"/>
        </w:rPr>
        <w:t>mortgagee</w:t>
      </w:r>
      <w:r>
        <w:rPr>
          <w:rFonts w:eastAsia="Calibri"/>
        </w:rPr>
        <w:t xml:space="preserve">(s) </w:t>
      </w:r>
      <w:r w:rsidRPr="00206137">
        <w:rPr>
          <w:rFonts w:eastAsia="Calibri"/>
        </w:rPr>
        <w:t>is an ADI</w:t>
      </w:r>
      <w:r>
        <w:rPr>
          <w:rFonts w:eastAsia="Calibri"/>
        </w:rPr>
        <w:t>.  This requirement applies to ADIs and conveyancers and lawyers acting for an ADI.</w:t>
      </w:r>
    </w:p>
    <w:p w:rsidR="0081473C" w:rsidRDefault="0081473C" w:rsidP="0081473C">
      <w:pPr>
        <w:pStyle w:val="Bullet"/>
        <w:numPr>
          <w:ilvl w:val="0"/>
          <w:numId w:val="0"/>
        </w:numPr>
        <w:rPr>
          <w:rFonts w:eastAsia="Calibri"/>
        </w:rPr>
      </w:pPr>
      <w:r w:rsidRPr="00206137">
        <w:rPr>
          <w:rFonts w:eastAsia="Calibri"/>
        </w:rPr>
        <w:t xml:space="preserve">November </w:t>
      </w:r>
    </w:p>
    <w:p w:rsidR="0081473C" w:rsidRPr="00206137" w:rsidRDefault="0081473C" w:rsidP="0081473C">
      <w:pPr>
        <w:pStyle w:val="Bullet"/>
        <w:numPr>
          <w:ilvl w:val="0"/>
          <w:numId w:val="19"/>
        </w:numPr>
        <w:rPr>
          <w:rFonts w:eastAsia="Calibri"/>
        </w:rPr>
      </w:pPr>
      <w:r>
        <w:rPr>
          <w:rFonts w:eastAsia="Calibri"/>
        </w:rPr>
        <w:t>S</w:t>
      </w:r>
      <w:r w:rsidRPr="00206137">
        <w:rPr>
          <w:rFonts w:eastAsia="Calibri"/>
        </w:rPr>
        <w:t xml:space="preserve">urvivorship applications, transmission applications and change of name functionality </w:t>
      </w:r>
      <w:r>
        <w:rPr>
          <w:rFonts w:eastAsia="Calibri"/>
        </w:rPr>
        <w:t xml:space="preserve">will be </w:t>
      </w:r>
      <w:r w:rsidRPr="00206137">
        <w:rPr>
          <w:rFonts w:eastAsia="Calibri"/>
        </w:rPr>
        <w:t>available in PEXA</w:t>
      </w:r>
      <w:r>
        <w:rPr>
          <w:rFonts w:eastAsia="Calibri"/>
        </w:rPr>
        <w:t>.</w:t>
      </w:r>
    </w:p>
    <w:p w:rsidR="0081473C" w:rsidRDefault="0081473C" w:rsidP="0081473C">
      <w:pPr>
        <w:pStyle w:val="Bullet"/>
        <w:numPr>
          <w:ilvl w:val="0"/>
          <w:numId w:val="0"/>
        </w:numPr>
        <w:rPr>
          <w:rFonts w:eastAsia="Calibri"/>
        </w:rPr>
      </w:pPr>
      <w:r w:rsidRPr="00206137">
        <w:rPr>
          <w:rFonts w:eastAsia="Calibri"/>
        </w:rPr>
        <w:t>1 December</w:t>
      </w:r>
    </w:p>
    <w:p w:rsidR="0081473C" w:rsidRPr="00206137" w:rsidRDefault="0081473C" w:rsidP="0081473C">
      <w:pPr>
        <w:pStyle w:val="Bullet"/>
        <w:numPr>
          <w:ilvl w:val="0"/>
          <w:numId w:val="19"/>
        </w:numPr>
        <w:rPr>
          <w:rFonts w:eastAsia="Calibri"/>
        </w:rPr>
      </w:pPr>
      <w:r>
        <w:rPr>
          <w:rFonts w:eastAsia="Calibri"/>
        </w:rPr>
        <w:t>Standalone c</w:t>
      </w:r>
      <w:r w:rsidRPr="00206137">
        <w:rPr>
          <w:rFonts w:eastAsia="Calibri"/>
        </w:rPr>
        <w:t xml:space="preserve">aveats and withdrawals of caveat </w:t>
      </w:r>
      <w:r>
        <w:rPr>
          <w:rFonts w:eastAsia="Calibri"/>
        </w:rPr>
        <w:t xml:space="preserve">to </w:t>
      </w:r>
      <w:r w:rsidRPr="00206137">
        <w:rPr>
          <w:rFonts w:eastAsia="Calibri"/>
        </w:rPr>
        <w:t>be lodged electronically</w:t>
      </w:r>
      <w:r>
        <w:rPr>
          <w:rFonts w:eastAsia="Calibri"/>
        </w:rPr>
        <w:t>. This requirement applies to PEXA subscribers, and conveyancers and lawyers acting for a party or for themselves and PEXA Subscribers.</w:t>
      </w:r>
    </w:p>
    <w:p w:rsidR="0081473C" w:rsidRPr="00621B05" w:rsidRDefault="0081473C" w:rsidP="0081473C">
      <w:pPr>
        <w:pStyle w:val="Bullet"/>
        <w:numPr>
          <w:ilvl w:val="0"/>
          <w:numId w:val="19"/>
        </w:numPr>
        <w:rPr>
          <w:rFonts w:eastAsia="Calibri"/>
          <w:b/>
        </w:rPr>
      </w:pPr>
      <w:r>
        <w:rPr>
          <w:rFonts w:eastAsia="Calibri"/>
        </w:rPr>
        <w:t xml:space="preserve">Non-ADI standalone discharges of mortgage, standalone mortgages and </w:t>
      </w:r>
      <w:r w:rsidRPr="00A82412">
        <w:rPr>
          <w:rFonts w:eastAsia="Calibri"/>
        </w:rPr>
        <w:t xml:space="preserve">refinance transactions </w:t>
      </w:r>
      <w:r>
        <w:rPr>
          <w:rFonts w:eastAsia="Calibri"/>
        </w:rPr>
        <w:t xml:space="preserve">are to be lodged </w:t>
      </w:r>
      <w:r w:rsidRPr="00A82412">
        <w:rPr>
          <w:rFonts w:eastAsia="Calibri"/>
        </w:rPr>
        <w:t>electronically</w:t>
      </w:r>
      <w:r>
        <w:rPr>
          <w:rFonts w:eastAsia="Calibri"/>
        </w:rPr>
        <w:t>. This requirement applies to conveyancers and lawyers acting for a non-ADI and non-ADIs who are PEXA Subscribers.</w:t>
      </w:r>
    </w:p>
    <w:p w:rsidR="0081473C" w:rsidRPr="0081473C" w:rsidRDefault="0081473C" w:rsidP="0081473C">
      <w:pPr>
        <w:pStyle w:val="Heading2"/>
      </w:pPr>
      <w:r w:rsidRPr="0081473C">
        <w:t>2018</w:t>
      </w:r>
    </w:p>
    <w:p w:rsidR="0081473C" w:rsidRDefault="0081473C" w:rsidP="0081473C">
      <w:pPr>
        <w:pStyle w:val="Bullet"/>
        <w:numPr>
          <w:ilvl w:val="0"/>
          <w:numId w:val="0"/>
        </w:numPr>
        <w:rPr>
          <w:rFonts w:eastAsia="Calibri"/>
        </w:rPr>
      </w:pPr>
      <w:r>
        <w:rPr>
          <w:rFonts w:eastAsia="Calibri"/>
        </w:rPr>
        <w:t>1 January</w:t>
      </w:r>
    </w:p>
    <w:p w:rsidR="0081473C" w:rsidRDefault="0081473C" w:rsidP="0081473C">
      <w:pPr>
        <w:pStyle w:val="Bullet"/>
        <w:numPr>
          <w:ilvl w:val="0"/>
          <w:numId w:val="23"/>
        </w:numPr>
        <w:rPr>
          <w:rFonts w:eastAsia="Calibri"/>
        </w:rPr>
      </w:pPr>
      <w:r>
        <w:rPr>
          <w:rFonts w:eastAsia="Calibri"/>
        </w:rPr>
        <w:t>Transition period for mortgage (NMF), Client Authorisations and certifications ends.</w:t>
      </w:r>
    </w:p>
    <w:p w:rsidR="0081473C" w:rsidRDefault="0081473C" w:rsidP="0081473C">
      <w:pPr>
        <w:pStyle w:val="Bullet"/>
        <w:numPr>
          <w:ilvl w:val="0"/>
          <w:numId w:val="0"/>
        </w:numPr>
        <w:rPr>
          <w:rFonts w:eastAsia="Calibri"/>
        </w:rPr>
      </w:pPr>
      <w:r>
        <w:rPr>
          <w:rFonts w:eastAsia="Calibri"/>
        </w:rPr>
        <w:t>1 March</w:t>
      </w:r>
    </w:p>
    <w:p w:rsidR="0081473C" w:rsidRPr="00445557" w:rsidRDefault="0081473C" w:rsidP="0081473C">
      <w:pPr>
        <w:pStyle w:val="Bullet"/>
        <w:numPr>
          <w:ilvl w:val="0"/>
          <w:numId w:val="20"/>
        </w:numPr>
        <w:rPr>
          <w:rFonts w:eastAsia="Calibri"/>
        </w:rPr>
      </w:pPr>
      <w:r>
        <w:rPr>
          <w:rFonts w:eastAsia="Calibri"/>
        </w:rPr>
        <w:t xml:space="preserve">All </w:t>
      </w:r>
      <w:r w:rsidRPr="002C030E">
        <w:rPr>
          <w:rFonts w:eastAsia="Calibri"/>
        </w:rPr>
        <w:t xml:space="preserve">survivorship applications, transmission applications and standalone transfers </w:t>
      </w:r>
      <w:r>
        <w:rPr>
          <w:rFonts w:eastAsia="Calibri"/>
        </w:rPr>
        <w:t>must</w:t>
      </w:r>
      <w:r w:rsidRPr="002C030E">
        <w:rPr>
          <w:rFonts w:eastAsia="Calibri"/>
        </w:rPr>
        <w:t xml:space="preserve"> be lodged electronically</w:t>
      </w:r>
      <w:r>
        <w:rPr>
          <w:rFonts w:eastAsia="Calibri"/>
        </w:rPr>
        <w:t>. This requirement applies to conveyancers and lawyers acting for a party or themselves and PEXA Subscribers.</w:t>
      </w:r>
    </w:p>
    <w:p w:rsidR="0081473C" w:rsidRDefault="0081473C" w:rsidP="0081473C">
      <w:pPr>
        <w:pStyle w:val="Bullet"/>
        <w:numPr>
          <w:ilvl w:val="0"/>
          <w:numId w:val="0"/>
        </w:numPr>
        <w:rPr>
          <w:rFonts w:eastAsia="Calibri"/>
        </w:rPr>
      </w:pPr>
      <w:r w:rsidRPr="00A82412">
        <w:rPr>
          <w:rFonts w:eastAsia="Calibri"/>
        </w:rPr>
        <w:t>1 October</w:t>
      </w:r>
    </w:p>
    <w:p w:rsidR="0081473C" w:rsidRPr="00445557" w:rsidRDefault="0081473C" w:rsidP="0081473C">
      <w:pPr>
        <w:pStyle w:val="Bullet"/>
        <w:numPr>
          <w:ilvl w:val="0"/>
          <w:numId w:val="20"/>
        </w:numPr>
        <w:rPr>
          <w:rFonts w:eastAsia="Calibri"/>
        </w:rPr>
      </w:pPr>
      <w:r>
        <w:rPr>
          <w:rFonts w:eastAsia="Calibri"/>
        </w:rPr>
        <w:t>A</w:t>
      </w:r>
      <w:r w:rsidRPr="00A82412">
        <w:rPr>
          <w:rFonts w:eastAsia="Calibri"/>
        </w:rPr>
        <w:t xml:space="preserve">ll combinations of transactions </w:t>
      </w:r>
      <w:r>
        <w:rPr>
          <w:rFonts w:eastAsia="Calibri"/>
        </w:rPr>
        <w:t xml:space="preserve">available </w:t>
      </w:r>
      <w:r w:rsidRPr="00A82412">
        <w:rPr>
          <w:rFonts w:eastAsia="Calibri"/>
        </w:rPr>
        <w:t>in PEXA to be lodged electronically.  For example, a case comprising a withdrawal of caveat, discharge of mortgage, transfer and mortgage</w:t>
      </w:r>
      <w:r>
        <w:rPr>
          <w:rFonts w:eastAsia="Calibri"/>
        </w:rPr>
        <w:t>. This requirement applies to conveyancers and lawyers acting for a party or themselves and PEXA Subscribers.</w:t>
      </w:r>
    </w:p>
    <w:p w:rsidR="0081473C" w:rsidRPr="0081473C" w:rsidRDefault="0081473C" w:rsidP="0081473C">
      <w:pPr>
        <w:pStyle w:val="Heading2"/>
      </w:pPr>
      <w:r w:rsidRPr="0081473C">
        <w:t>2019</w:t>
      </w:r>
    </w:p>
    <w:p w:rsidR="0081473C" w:rsidRDefault="0081473C" w:rsidP="0081473C">
      <w:pPr>
        <w:pStyle w:val="Bullet"/>
        <w:numPr>
          <w:ilvl w:val="0"/>
          <w:numId w:val="0"/>
        </w:numPr>
        <w:rPr>
          <w:rFonts w:eastAsia="Calibri"/>
        </w:rPr>
      </w:pPr>
      <w:r w:rsidRPr="00A82412">
        <w:rPr>
          <w:rFonts w:eastAsia="Calibri"/>
        </w:rPr>
        <w:t>1 August</w:t>
      </w:r>
    </w:p>
    <w:p w:rsidR="0081473C" w:rsidRPr="00445557" w:rsidRDefault="0081473C" w:rsidP="0081473C">
      <w:pPr>
        <w:pStyle w:val="Bullet"/>
        <w:numPr>
          <w:ilvl w:val="0"/>
          <w:numId w:val="20"/>
        </w:numPr>
        <w:rPr>
          <w:rFonts w:eastAsia="Calibri"/>
        </w:rPr>
      </w:pPr>
      <w:r>
        <w:rPr>
          <w:rFonts w:eastAsia="Calibri"/>
        </w:rPr>
        <w:t>A</w:t>
      </w:r>
      <w:r w:rsidRPr="00A82412">
        <w:rPr>
          <w:rFonts w:eastAsia="Calibri"/>
        </w:rPr>
        <w:t>ll transactions to be lodged electronically</w:t>
      </w:r>
      <w:r>
        <w:rPr>
          <w:rFonts w:eastAsia="Calibri"/>
        </w:rPr>
        <w:t>. This requirement applies to conveyancers and lawyers acting for a party or themselves and PEXA Subscribers.</w:t>
      </w:r>
    </w:p>
    <w:p w:rsidR="0081473C" w:rsidRDefault="0081473C" w:rsidP="0081473C">
      <w:pPr>
        <w:pStyle w:val="Body"/>
        <w:rPr>
          <w:rFonts w:eastAsia="Calibri"/>
        </w:rPr>
      </w:pPr>
    </w:p>
    <w:p w:rsidR="0081473C" w:rsidRPr="0081473C" w:rsidRDefault="0081473C" w:rsidP="0081473C">
      <w:pPr>
        <w:pStyle w:val="Body"/>
        <w:rPr>
          <w:rFonts w:eastAsiaTheme="minorEastAsia"/>
        </w:rPr>
      </w:pPr>
      <w:r w:rsidRPr="0081473C">
        <w:rPr>
          <w:rFonts w:eastAsiaTheme="minorEastAsia"/>
        </w:rPr>
        <w:t>The exception will be whe</w:t>
      </w:r>
      <w:r w:rsidR="00EF2F0F">
        <w:rPr>
          <w:rFonts w:eastAsiaTheme="minorEastAsia"/>
        </w:rPr>
        <w:t>n</w:t>
      </w:r>
      <w:r w:rsidRPr="0081473C">
        <w:rPr>
          <w:rFonts w:eastAsiaTheme="minorEastAsia"/>
        </w:rPr>
        <w:t xml:space="preserve"> there is an existing paper instrument that has been signed prior to the date when electronic lodgement of that particular class of instrument or transaction is required.</w:t>
      </w:r>
    </w:p>
    <w:p w:rsidR="0081473C" w:rsidRPr="0081473C" w:rsidRDefault="0081473C" w:rsidP="0081473C">
      <w:pPr>
        <w:pStyle w:val="Heading1"/>
      </w:pPr>
      <w:r w:rsidRPr="0081473C">
        <w:lastRenderedPageBreak/>
        <w:t>Client Authorisations and certifications</w:t>
      </w:r>
    </w:p>
    <w:p w:rsidR="0081473C" w:rsidRPr="0081473C" w:rsidRDefault="0081473C" w:rsidP="0081473C">
      <w:pPr>
        <w:pStyle w:val="Body"/>
        <w:rPr>
          <w:rFonts w:eastAsiaTheme="minorEastAsia"/>
        </w:rPr>
      </w:pPr>
      <w:r w:rsidRPr="0081473C">
        <w:rPr>
          <w:rFonts w:eastAsiaTheme="minorEastAsia"/>
        </w:rPr>
        <w:t>The Registrar’s requirement for Client Authorisations for paper conveyancing transactions will come into effect on 26 May 2017.  A Client Authorisation will authorise a conveyancer or lawyer to act as their client’s agent and to sign paper conveyancing transactions on their client’s behalf.  Conveyancers and lawyers will be required to sign paper instruments when they have a Client Authorisation in place.</w:t>
      </w:r>
    </w:p>
    <w:p w:rsidR="0081473C" w:rsidRPr="0081473C" w:rsidRDefault="0081473C" w:rsidP="0081473C">
      <w:pPr>
        <w:pStyle w:val="Body"/>
        <w:rPr>
          <w:rFonts w:eastAsiaTheme="minorEastAsia"/>
        </w:rPr>
      </w:pPr>
      <w:r w:rsidRPr="0081473C">
        <w:rPr>
          <w:rFonts w:eastAsiaTheme="minorEastAsia"/>
        </w:rPr>
        <w:t xml:space="preserve">At the same time, the Registrar is introducing certifications for paper conveyancing transactions. This will require a conveyancer, lawyer, an ADI and a PEXA subscriber to provide certifications for each paper conveyancing transaction they sign.  </w:t>
      </w:r>
    </w:p>
    <w:p w:rsidR="0081473C" w:rsidRPr="0081473C" w:rsidRDefault="0081473C" w:rsidP="0081473C">
      <w:pPr>
        <w:pStyle w:val="Body"/>
        <w:rPr>
          <w:rFonts w:eastAsiaTheme="minorEastAsia"/>
        </w:rPr>
      </w:pPr>
      <w:r w:rsidRPr="0081473C">
        <w:rPr>
          <w:rFonts w:eastAsiaTheme="minorEastAsia"/>
        </w:rPr>
        <w:t>Client Authorisation and certification requirements are already in place for electronic conveyancing transactions.</w:t>
      </w:r>
    </w:p>
    <w:p w:rsidR="0081473C" w:rsidRPr="0081473C" w:rsidRDefault="0081473C" w:rsidP="0081473C">
      <w:pPr>
        <w:pStyle w:val="Body"/>
        <w:rPr>
          <w:rFonts w:eastAsiaTheme="minorEastAsia"/>
        </w:rPr>
      </w:pPr>
      <w:r w:rsidRPr="0081473C">
        <w:rPr>
          <w:rFonts w:eastAsiaTheme="minorEastAsia"/>
        </w:rPr>
        <w:t>Certifications must form part of an approved form and cannot be placed on annexure sheets.</w:t>
      </w:r>
    </w:p>
    <w:p w:rsidR="0081473C" w:rsidRPr="0081473C" w:rsidRDefault="0081473C" w:rsidP="0081473C">
      <w:pPr>
        <w:pStyle w:val="Heading2"/>
      </w:pPr>
      <w:r w:rsidRPr="0081473C">
        <w:t>Transition period</w:t>
      </w:r>
    </w:p>
    <w:p w:rsidR="0081473C" w:rsidRPr="0081473C" w:rsidRDefault="00EF2F0F" w:rsidP="0081473C">
      <w:pPr>
        <w:pStyle w:val="Body"/>
        <w:rPr>
          <w:rFonts w:eastAsiaTheme="minorEastAsia"/>
        </w:rPr>
      </w:pPr>
      <w:r>
        <w:rPr>
          <w:rFonts w:eastAsiaTheme="minorEastAsia"/>
        </w:rPr>
        <w:t>There will be</w:t>
      </w:r>
      <w:r w:rsidR="0081473C" w:rsidRPr="0081473C">
        <w:rPr>
          <w:rFonts w:eastAsiaTheme="minorEastAsia"/>
        </w:rPr>
        <w:t xml:space="preserve"> a transition period in Victoria (26 May to 31 December 2017) for Client Authorisations and certifications.  Transactions can be lodged in new forms containing certifications supported by a Client Authorisation if applicable or those forms (that do not contain certifications) approved by the Registrar prior to 26 May 2017. </w:t>
      </w:r>
    </w:p>
    <w:p w:rsidR="0081473C" w:rsidRDefault="0081473C" w:rsidP="0081473C">
      <w:pPr>
        <w:pStyle w:val="Body"/>
        <w:rPr>
          <w:rFonts w:eastAsiaTheme="minorEastAsia"/>
          <w:color w:val="000000"/>
          <w:lang w:eastAsia="en-AU"/>
        </w:rPr>
      </w:pPr>
      <w:r>
        <w:rPr>
          <w:rFonts w:eastAsiaTheme="minorEastAsia"/>
          <w:color w:val="000000"/>
          <w:lang w:eastAsia="en-AU"/>
        </w:rPr>
        <w:t>From 1 January 2018 the following will apply:</w:t>
      </w:r>
    </w:p>
    <w:p w:rsidR="0081473C" w:rsidRDefault="0081473C" w:rsidP="0081473C">
      <w:pPr>
        <w:pStyle w:val="Body"/>
        <w:numPr>
          <w:ilvl w:val="0"/>
          <w:numId w:val="22"/>
        </w:numPr>
        <w:rPr>
          <w:rFonts w:eastAsiaTheme="minorEastAsia"/>
          <w:color w:val="000000"/>
          <w:lang w:eastAsia="en-AU"/>
        </w:rPr>
      </w:pPr>
      <w:r>
        <w:rPr>
          <w:rFonts w:eastAsiaTheme="minorEastAsia"/>
          <w:color w:val="000000"/>
          <w:lang w:eastAsia="en-AU"/>
        </w:rPr>
        <w:t>LUV will accept forms that contain certifications supported by a Client Authorisation if applicable or</w:t>
      </w:r>
    </w:p>
    <w:p w:rsidR="0081473C" w:rsidRDefault="0081473C" w:rsidP="0081473C">
      <w:pPr>
        <w:pStyle w:val="Body"/>
        <w:numPr>
          <w:ilvl w:val="0"/>
          <w:numId w:val="22"/>
        </w:numPr>
        <w:rPr>
          <w:rFonts w:eastAsiaTheme="minorEastAsia"/>
          <w:color w:val="000000"/>
          <w:lang w:eastAsia="en-AU"/>
        </w:rPr>
      </w:pPr>
      <w:r>
        <w:rPr>
          <w:rFonts w:eastAsiaTheme="minorEastAsia"/>
          <w:color w:val="000000"/>
          <w:lang w:eastAsia="en-AU"/>
        </w:rPr>
        <w:t xml:space="preserve">LUV will accept forms approved by the Registrar (approved prior to 26 May 2017) when parties have signed on or before 1 January 2018. </w:t>
      </w:r>
    </w:p>
    <w:p w:rsidR="0081473C" w:rsidRDefault="0081473C" w:rsidP="0081473C">
      <w:pPr>
        <w:pStyle w:val="Body"/>
        <w:numPr>
          <w:ilvl w:val="0"/>
          <w:numId w:val="22"/>
        </w:numPr>
        <w:rPr>
          <w:rFonts w:eastAsiaTheme="minorEastAsia"/>
          <w:color w:val="000000"/>
          <w:lang w:eastAsia="en-AU"/>
        </w:rPr>
      </w:pPr>
      <w:r>
        <w:rPr>
          <w:rFonts w:eastAsiaTheme="minorEastAsia"/>
          <w:color w:val="000000"/>
          <w:lang w:eastAsia="en-AU"/>
        </w:rPr>
        <w:t>When parties have signed after 1 January 2018, LUV will not accept forms that do not contain certifications.</w:t>
      </w:r>
    </w:p>
    <w:p w:rsidR="0081473C" w:rsidRPr="0081473C" w:rsidRDefault="0081473C" w:rsidP="0081473C">
      <w:pPr>
        <w:pStyle w:val="Body"/>
        <w:rPr>
          <w:rFonts w:eastAsiaTheme="minorEastAsia"/>
        </w:rPr>
      </w:pPr>
      <w:r w:rsidRPr="0081473C">
        <w:rPr>
          <w:rFonts w:eastAsiaTheme="minorEastAsia"/>
        </w:rPr>
        <w:t>Customers are encouraged to start using Client Authorisations from 26 May 2017.  This means that a conveyancer or lawyer will have a Client Authorisation in place if they need to sign either an electronic or paper instrument on behalf of their client.</w:t>
      </w:r>
    </w:p>
    <w:p w:rsidR="0081473C" w:rsidRPr="0081473C" w:rsidRDefault="0081473C" w:rsidP="0081473C">
      <w:pPr>
        <w:pStyle w:val="Heading1"/>
      </w:pPr>
      <w:r w:rsidRPr="0081473C">
        <w:t>Forms</w:t>
      </w:r>
    </w:p>
    <w:p w:rsidR="0081473C" w:rsidRPr="00AA7446" w:rsidRDefault="0081473C" w:rsidP="0081473C">
      <w:pPr>
        <w:pStyle w:val="Heading2"/>
      </w:pPr>
      <w:r w:rsidRPr="00AA7446">
        <w:t>National Mortgage Form</w:t>
      </w:r>
    </w:p>
    <w:p w:rsidR="0081473C" w:rsidRDefault="0081473C" w:rsidP="0081473C">
      <w:pPr>
        <w:pStyle w:val="Body"/>
        <w:rPr>
          <w:rFonts w:eastAsiaTheme="minorEastAsia"/>
        </w:rPr>
      </w:pPr>
      <w:r>
        <w:rPr>
          <w:rFonts w:eastAsiaTheme="minorEastAsia"/>
        </w:rPr>
        <w:t>The Australian Registrars’ National Electronic Conveyancing Council (ARNECC) has published an updated version of the National Mortgage Form (NMF) Specification (December 2016).</w:t>
      </w:r>
    </w:p>
    <w:p w:rsidR="0081473C" w:rsidRDefault="0081473C" w:rsidP="0081473C">
      <w:pPr>
        <w:pStyle w:val="Body"/>
        <w:rPr>
          <w:rFonts w:eastAsiaTheme="minorEastAsia"/>
        </w:rPr>
      </w:pPr>
      <w:r w:rsidRPr="009271D3">
        <w:rPr>
          <w:rFonts w:eastAsiaTheme="minorEastAsia"/>
        </w:rPr>
        <w:t xml:space="preserve">The specification of the NMF is </w:t>
      </w:r>
      <w:r>
        <w:rPr>
          <w:rFonts w:eastAsiaTheme="minorEastAsia"/>
        </w:rPr>
        <w:t xml:space="preserve">available </w:t>
      </w:r>
      <w:r w:rsidRPr="009271D3">
        <w:rPr>
          <w:rFonts w:eastAsiaTheme="minorEastAsia"/>
        </w:rPr>
        <w:t xml:space="preserve">for use by financial institutions and other </w:t>
      </w:r>
      <w:r>
        <w:rPr>
          <w:rFonts w:eastAsiaTheme="minorEastAsia"/>
        </w:rPr>
        <w:t>organisations</w:t>
      </w:r>
      <w:r w:rsidRPr="009271D3">
        <w:rPr>
          <w:rFonts w:eastAsiaTheme="minorEastAsia"/>
        </w:rPr>
        <w:t xml:space="preserve"> in readying their systems and procedures for implementation of new national arrangements for preparing and lodging real property mortgages in all Australian states and territories. </w:t>
      </w:r>
    </w:p>
    <w:p w:rsidR="0081473C" w:rsidRPr="0081473C" w:rsidRDefault="0081473C" w:rsidP="0081473C">
      <w:pPr>
        <w:pStyle w:val="Body"/>
        <w:rPr>
          <w:rFonts w:eastAsiaTheme="minorEastAsia"/>
        </w:rPr>
      </w:pPr>
      <w:r>
        <w:rPr>
          <w:rFonts w:eastAsiaTheme="minorEastAsia"/>
        </w:rPr>
        <w:t>T</w:t>
      </w:r>
      <w:r w:rsidRPr="0081473C">
        <w:rPr>
          <w:rFonts w:eastAsiaTheme="minorEastAsia"/>
        </w:rPr>
        <w:t xml:space="preserve">he specification sets out the NMF’s acceptance and lodgement scenarios in each jurisdiction, and the execution details for the mortgagor and mortgagee for each jurisdiction. </w:t>
      </w:r>
    </w:p>
    <w:p w:rsidR="0081473C" w:rsidRPr="0081473C" w:rsidRDefault="0081473C" w:rsidP="0081473C">
      <w:pPr>
        <w:pStyle w:val="Body"/>
        <w:rPr>
          <w:rFonts w:eastAsiaTheme="minorEastAsia"/>
        </w:rPr>
      </w:pPr>
      <w:r w:rsidRPr="0081473C">
        <w:rPr>
          <w:rFonts w:eastAsiaTheme="minorEastAsia"/>
        </w:rPr>
        <w:t xml:space="preserve">The specification is available at the </w:t>
      </w:r>
      <w:hyperlink r:id="rId16" w:history="1">
        <w:r w:rsidRPr="0081473C">
          <w:rPr>
            <w:rFonts w:eastAsiaTheme="minorEastAsia"/>
          </w:rPr>
          <w:t>ARNECC</w:t>
        </w:r>
      </w:hyperlink>
      <w:r w:rsidRPr="0081473C">
        <w:rPr>
          <w:rFonts w:eastAsiaTheme="minorEastAsia"/>
        </w:rPr>
        <w:t xml:space="preserve"> website.</w:t>
      </w:r>
    </w:p>
    <w:p w:rsidR="0081473C" w:rsidRPr="0081473C" w:rsidRDefault="0081473C" w:rsidP="0081473C">
      <w:pPr>
        <w:pStyle w:val="Body"/>
        <w:rPr>
          <w:rFonts w:eastAsiaTheme="minorEastAsia"/>
        </w:rPr>
      </w:pPr>
      <w:r>
        <w:rPr>
          <w:rFonts w:eastAsiaTheme="minorEastAsia"/>
        </w:rPr>
        <w:t>As previously advised, t</w:t>
      </w:r>
      <w:r w:rsidRPr="00206709">
        <w:rPr>
          <w:rFonts w:eastAsiaTheme="minorEastAsia"/>
        </w:rPr>
        <w:t>he NMF is a significant national initiative. It standardises the content and presentation of mortgages lodged for registration through all lodgement channels with land registries in all Australian states and territories.</w:t>
      </w:r>
      <w:r>
        <w:rPr>
          <w:rFonts w:eastAsiaTheme="minorEastAsia"/>
        </w:rPr>
        <w:t xml:space="preserve">  </w:t>
      </w:r>
    </w:p>
    <w:p w:rsidR="0081473C" w:rsidRPr="0081473C" w:rsidRDefault="0081473C" w:rsidP="0081473C">
      <w:pPr>
        <w:pStyle w:val="Body"/>
        <w:rPr>
          <w:rFonts w:eastAsiaTheme="minorEastAsia"/>
        </w:rPr>
      </w:pPr>
      <w:r w:rsidRPr="0081473C">
        <w:rPr>
          <w:rFonts w:eastAsiaTheme="minorEastAsia"/>
        </w:rPr>
        <w:lastRenderedPageBreak/>
        <w:t>Implementation of the NMF in Victoria is scheduled for paper mortgages on 26 May 2017 and for electronic mortgages to coincide with the PEXA Release 6.0 now scheduled for 10 June 2017. The PEXA release for all other jurisdictions is planned for July 2017.</w:t>
      </w:r>
    </w:p>
    <w:p w:rsidR="0081473C" w:rsidRPr="0081473C" w:rsidRDefault="0081473C" w:rsidP="0081473C">
      <w:pPr>
        <w:pStyle w:val="Heading2"/>
      </w:pPr>
      <w:r w:rsidRPr="0081473C">
        <w:t>Transition period</w:t>
      </w:r>
    </w:p>
    <w:p w:rsidR="0081473C" w:rsidRPr="0081473C" w:rsidRDefault="00D5568B" w:rsidP="0081473C">
      <w:pPr>
        <w:pStyle w:val="Body"/>
        <w:rPr>
          <w:rFonts w:eastAsiaTheme="minorEastAsia"/>
        </w:rPr>
      </w:pPr>
      <w:r>
        <w:rPr>
          <w:rFonts w:eastAsiaTheme="minorEastAsia"/>
        </w:rPr>
        <w:t>There will be</w:t>
      </w:r>
      <w:r w:rsidR="0081473C" w:rsidRPr="0081473C">
        <w:rPr>
          <w:rFonts w:eastAsiaTheme="minorEastAsia"/>
        </w:rPr>
        <w:t xml:space="preserve"> a transition period in Victoria (26 May to 31 December 2017) for paper mortgages. During the transition period paper mortgages can be lodged in either the new NMF or forms approved by the Registrar prior to 26 May 2017.  </w:t>
      </w:r>
    </w:p>
    <w:p w:rsidR="0081473C" w:rsidRDefault="0081473C" w:rsidP="0081473C">
      <w:pPr>
        <w:pStyle w:val="Body"/>
        <w:rPr>
          <w:rFonts w:eastAsiaTheme="minorEastAsia"/>
          <w:color w:val="000000"/>
          <w:lang w:eastAsia="en-AU"/>
        </w:rPr>
      </w:pPr>
      <w:r>
        <w:rPr>
          <w:rFonts w:eastAsiaTheme="minorEastAsia"/>
          <w:color w:val="000000"/>
          <w:lang w:eastAsia="en-AU"/>
        </w:rPr>
        <w:t xml:space="preserve">From 1 January 2018 the following will apply: </w:t>
      </w:r>
    </w:p>
    <w:p w:rsidR="0081473C" w:rsidRDefault="0081473C" w:rsidP="0081473C">
      <w:pPr>
        <w:pStyle w:val="Body"/>
        <w:numPr>
          <w:ilvl w:val="0"/>
          <w:numId w:val="21"/>
        </w:numPr>
        <w:rPr>
          <w:rFonts w:eastAsiaTheme="minorEastAsia"/>
          <w:color w:val="000000"/>
          <w:lang w:eastAsia="en-AU"/>
        </w:rPr>
      </w:pPr>
      <w:r>
        <w:rPr>
          <w:rFonts w:eastAsiaTheme="minorEastAsia"/>
          <w:color w:val="000000"/>
          <w:lang w:eastAsia="en-AU"/>
        </w:rPr>
        <w:t>LUV will accept paper mortgages in the new NMF or</w:t>
      </w:r>
    </w:p>
    <w:p w:rsidR="0081473C" w:rsidRDefault="0081473C" w:rsidP="0081473C">
      <w:pPr>
        <w:pStyle w:val="Body"/>
        <w:numPr>
          <w:ilvl w:val="0"/>
          <w:numId w:val="21"/>
        </w:numPr>
        <w:rPr>
          <w:rFonts w:eastAsiaTheme="minorEastAsia"/>
          <w:color w:val="000000"/>
          <w:lang w:eastAsia="en-AU"/>
        </w:rPr>
      </w:pPr>
      <w:r>
        <w:rPr>
          <w:rFonts w:eastAsiaTheme="minorEastAsia"/>
          <w:color w:val="000000"/>
          <w:lang w:eastAsia="en-AU"/>
        </w:rPr>
        <w:t>LUV will accept paper mortgages in an approved form (approved prior to 26 May 2017) when parties have signed on or before 1 January 2018.</w:t>
      </w:r>
    </w:p>
    <w:p w:rsidR="0081473C" w:rsidRDefault="0081473C" w:rsidP="0081473C">
      <w:pPr>
        <w:pStyle w:val="Body"/>
        <w:numPr>
          <w:ilvl w:val="0"/>
          <w:numId w:val="21"/>
        </w:numPr>
        <w:rPr>
          <w:rFonts w:eastAsiaTheme="minorEastAsia"/>
          <w:color w:val="000000"/>
          <w:lang w:eastAsia="en-AU"/>
        </w:rPr>
      </w:pPr>
      <w:r>
        <w:rPr>
          <w:rFonts w:eastAsiaTheme="minorEastAsia"/>
          <w:color w:val="000000"/>
          <w:lang w:eastAsia="en-AU"/>
        </w:rPr>
        <w:t>When parties have signed after 1 January 2018, LUV will not accept paper mortgages that are not a NMF.</w:t>
      </w:r>
    </w:p>
    <w:p w:rsidR="0081473C" w:rsidRPr="00AA7446" w:rsidRDefault="0081473C" w:rsidP="004706A3">
      <w:pPr>
        <w:pStyle w:val="Heading2"/>
      </w:pPr>
      <w:r w:rsidRPr="00AA7446">
        <w:t>Availability and use of new forms</w:t>
      </w:r>
    </w:p>
    <w:p w:rsidR="0081473C" w:rsidRPr="00DB2F4D" w:rsidRDefault="0081473C" w:rsidP="0081473C">
      <w:pPr>
        <w:pStyle w:val="Body"/>
        <w:rPr>
          <w:rFonts w:cs="Helv"/>
          <w:iCs/>
          <w:color w:val="000000"/>
          <w:lang w:eastAsia="en-AU"/>
        </w:rPr>
      </w:pPr>
      <w:r w:rsidRPr="00DB2F4D">
        <w:rPr>
          <w:rFonts w:cs="Helv"/>
          <w:iCs/>
          <w:color w:val="000000"/>
          <w:lang w:eastAsia="en-AU"/>
        </w:rPr>
        <w:t xml:space="preserve">The Registrar will make available </w:t>
      </w:r>
      <w:r>
        <w:rPr>
          <w:rFonts w:cs="Helv"/>
          <w:iCs/>
          <w:color w:val="000000"/>
          <w:lang w:eastAsia="en-AU"/>
        </w:rPr>
        <w:t xml:space="preserve">the NMF and </w:t>
      </w:r>
      <w:r w:rsidRPr="00DB2F4D">
        <w:rPr>
          <w:rFonts w:cs="Helv"/>
          <w:iCs/>
          <w:color w:val="000000"/>
          <w:lang w:eastAsia="en-AU"/>
        </w:rPr>
        <w:t xml:space="preserve">all </w:t>
      </w:r>
      <w:r>
        <w:rPr>
          <w:rFonts w:cs="Helv"/>
          <w:iCs/>
          <w:color w:val="000000"/>
          <w:lang w:eastAsia="en-AU"/>
        </w:rPr>
        <w:t>other instruments as</w:t>
      </w:r>
      <w:r w:rsidRPr="00DB2F4D">
        <w:rPr>
          <w:rFonts w:cs="Helv"/>
          <w:iCs/>
          <w:color w:val="000000"/>
          <w:lang w:eastAsia="en-AU"/>
        </w:rPr>
        <w:t xml:space="preserve"> approved form</w:t>
      </w:r>
      <w:r>
        <w:rPr>
          <w:rFonts w:cs="Helv"/>
          <w:iCs/>
          <w:color w:val="000000"/>
          <w:lang w:eastAsia="en-AU"/>
        </w:rPr>
        <w:t>s</w:t>
      </w:r>
      <w:r w:rsidRPr="00DB2F4D">
        <w:rPr>
          <w:rFonts w:cs="Helv"/>
          <w:iCs/>
          <w:color w:val="000000"/>
          <w:lang w:eastAsia="en-AU"/>
        </w:rPr>
        <w:t xml:space="preserve"> </w:t>
      </w:r>
      <w:r>
        <w:rPr>
          <w:rFonts w:cs="Helv"/>
          <w:iCs/>
          <w:color w:val="000000"/>
          <w:lang w:eastAsia="en-AU"/>
        </w:rPr>
        <w:t>containing certifications before 26 May 2017</w:t>
      </w:r>
      <w:r w:rsidRPr="00DB2F4D">
        <w:rPr>
          <w:rFonts w:cs="Helv"/>
          <w:iCs/>
          <w:color w:val="000000"/>
          <w:lang w:eastAsia="en-AU"/>
        </w:rPr>
        <w:t>. All forms will be published on</w:t>
      </w:r>
      <w:r w:rsidR="00EF2F0F">
        <w:rPr>
          <w:rFonts w:cs="Helv"/>
          <w:iCs/>
          <w:color w:val="000000"/>
          <w:lang w:eastAsia="en-AU"/>
        </w:rPr>
        <w:t xml:space="preserve">line at </w:t>
      </w:r>
      <w:hyperlink r:id="rId17" w:history="1">
        <w:r w:rsidR="00EF2F0F" w:rsidRPr="003D4C17">
          <w:rPr>
            <w:rStyle w:val="Hyperlink"/>
            <w:rFonts w:cs="Helv"/>
            <w:iCs/>
            <w:lang w:eastAsia="en-AU"/>
          </w:rPr>
          <w:t>www.delwp.vic.gov.au/property-forms</w:t>
        </w:r>
      </w:hyperlink>
      <w:r w:rsidR="00EF2F0F">
        <w:rPr>
          <w:rFonts w:cs="Helv"/>
          <w:iCs/>
          <w:color w:val="000000"/>
          <w:lang w:eastAsia="en-AU"/>
        </w:rPr>
        <w:t xml:space="preserve">. </w:t>
      </w:r>
    </w:p>
    <w:p w:rsidR="0081473C" w:rsidRPr="00DB2F4D" w:rsidRDefault="0081473C" w:rsidP="0081473C">
      <w:pPr>
        <w:pStyle w:val="Body"/>
        <w:rPr>
          <w:rFonts w:cs="Helv"/>
          <w:iCs/>
          <w:color w:val="000000"/>
          <w:lang w:eastAsia="en-AU"/>
        </w:rPr>
      </w:pPr>
      <w:r w:rsidRPr="00DB2F4D">
        <w:rPr>
          <w:rFonts w:cs="Helv"/>
          <w:iCs/>
          <w:color w:val="000000"/>
          <w:lang w:eastAsia="en-AU"/>
        </w:rPr>
        <w:t>These</w:t>
      </w:r>
      <w:r>
        <w:rPr>
          <w:rFonts w:cs="Helv"/>
          <w:iCs/>
          <w:color w:val="000000"/>
          <w:lang w:eastAsia="en-AU"/>
        </w:rPr>
        <w:t xml:space="preserve"> new</w:t>
      </w:r>
      <w:r w:rsidRPr="00DB2F4D">
        <w:rPr>
          <w:rFonts w:cs="Helv"/>
          <w:iCs/>
          <w:color w:val="000000"/>
          <w:lang w:eastAsia="en-AU"/>
        </w:rPr>
        <w:t xml:space="preserve"> forms </w:t>
      </w:r>
      <w:r>
        <w:rPr>
          <w:rFonts w:cs="Helv"/>
          <w:iCs/>
          <w:color w:val="000000"/>
          <w:lang w:eastAsia="en-AU"/>
        </w:rPr>
        <w:t>can</w:t>
      </w:r>
      <w:r w:rsidRPr="00DB2F4D">
        <w:rPr>
          <w:rFonts w:cs="Helv"/>
          <w:iCs/>
          <w:color w:val="000000"/>
          <w:lang w:eastAsia="en-AU"/>
        </w:rPr>
        <w:t xml:space="preserve"> </w:t>
      </w:r>
      <w:r>
        <w:rPr>
          <w:rFonts w:cs="Helv"/>
          <w:iCs/>
          <w:color w:val="000000"/>
          <w:lang w:eastAsia="en-AU"/>
        </w:rPr>
        <w:t>be</w:t>
      </w:r>
      <w:r w:rsidRPr="00DB2F4D">
        <w:rPr>
          <w:rFonts w:cs="Helv"/>
          <w:iCs/>
          <w:color w:val="000000"/>
          <w:lang w:eastAsia="en-AU"/>
        </w:rPr>
        <w:t xml:space="preserve"> </w:t>
      </w:r>
      <w:r>
        <w:rPr>
          <w:rFonts w:cs="Helv"/>
          <w:iCs/>
          <w:color w:val="000000"/>
          <w:lang w:eastAsia="en-AU"/>
        </w:rPr>
        <w:t xml:space="preserve">used by external providers for forms package development. For </w:t>
      </w:r>
      <w:r w:rsidRPr="00DB2F4D">
        <w:rPr>
          <w:rFonts w:cs="Helv"/>
          <w:iCs/>
          <w:color w:val="000000"/>
          <w:lang w:eastAsia="en-AU"/>
        </w:rPr>
        <w:t xml:space="preserve">information regarding the development procedure </w:t>
      </w:r>
      <w:r>
        <w:rPr>
          <w:rFonts w:cs="Helv"/>
          <w:iCs/>
          <w:color w:val="000000"/>
          <w:lang w:eastAsia="en-AU"/>
        </w:rPr>
        <w:t>please</w:t>
      </w:r>
      <w:r w:rsidRPr="00DB2F4D">
        <w:rPr>
          <w:rFonts w:cs="Helv"/>
          <w:iCs/>
          <w:color w:val="000000"/>
          <w:lang w:eastAsia="en-AU"/>
        </w:rPr>
        <w:t xml:space="preserve"> </w:t>
      </w:r>
      <w:r w:rsidR="00FF0C83">
        <w:rPr>
          <w:rFonts w:cs="Helv"/>
          <w:iCs/>
          <w:color w:val="000000"/>
          <w:lang w:eastAsia="en-AU"/>
        </w:rPr>
        <w:t xml:space="preserve">email </w:t>
      </w:r>
      <w:hyperlink r:id="rId18" w:history="1">
        <w:r w:rsidR="00FF0C83" w:rsidRPr="00F34132">
          <w:rPr>
            <w:rStyle w:val="Hyperlink"/>
            <w:rFonts w:cs="Helv"/>
            <w:iCs/>
            <w:lang w:eastAsia="en-AU"/>
          </w:rPr>
          <w:t>LUV.Forms@delwp.vic.gov.au</w:t>
        </w:r>
      </w:hyperlink>
      <w:r>
        <w:rPr>
          <w:rFonts w:cs="Helv"/>
          <w:iCs/>
          <w:color w:val="000000"/>
          <w:lang w:eastAsia="en-AU"/>
        </w:rPr>
        <w:t xml:space="preserve"> </w:t>
      </w:r>
      <w:r w:rsidRPr="00DB2F4D">
        <w:rPr>
          <w:rFonts w:cs="Helv"/>
          <w:iCs/>
          <w:color w:val="000000"/>
          <w:lang w:eastAsia="en-AU"/>
        </w:rPr>
        <w:t>or seek an update fr</w:t>
      </w:r>
      <w:r>
        <w:rPr>
          <w:rFonts w:cs="Helv"/>
          <w:iCs/>
          <w:color w:val="000000"/>
          <w:lang w:eastAsia="en-AU"/>
        </w:rPr>
        <w:t>o</w:t>
      </w:r>
      <w:r w:rsidRPr="00DB2F4D">
        <w:rPr>
          <w:rFonts w:cs="Helv"/>
          <w:iCs/>
          <w:color w:val="000000"/>
          <w:lang w:eastAsia="en-AU"/>
        </w:rPr>
        <w:t>m your current forms provider.</w:t>
      </w:r>
    </w:p>
    <w:p w:rsidR="00CE7CB9" w:rsidRPr="00CE7CB9" w:rsidRDefault="00CE7CB9" w:rsidP="00CE7CB9">
      <w:pPr>
        <w:pStyle w:val="Heading1"/>
      </w:pPr>
      <w:r w:rsidRPr="00CE7CB9">
        <w:t xml:space="preserve">Lodgement of paper transactions where the </w:t>
      </w:r>
      <w:r w:rsidR="0074625D">
        <w:t>C</w:t>
      </w:r>
      <w:r w:rsidRPr="00CE7CB9">
        <w:t xml:space="preserve">ertificate of </w:t>
      </w:r>
      <w:r w:rsidR="0074625D">
        <w:t>T</w:t>
      </w:r>
      <w:r w:rsidRPr="00CE7CB9">
        <w:t>itle is electronic (eCT)</w:t>
      </w:r>
    </w:p>
    <w:p w:rsidR="00CE7CB9" w:rsidRDefault="00CE7CB9" w:rsidP="00E51759">
      <w:pPr>
        <w:pStyle w:val="Body"/>
      </w:pPr>
      <w:r w:rsidRPr="00CE7CB9">
        <w:t>Where a folio has an electronic Certificate of Title (eCT), nomination of the eCT using the electronic lodgement network (PEXA) is required before a paper instrument can be lodged for registration.</w:t>
      </w:r>
    </w:p>
    <w:p w:rsidR="00CE7CB9" w:rsidRPr="00CE7CB9" w:rsidRDefault="00CE7CB9" w:rsidP="00E51759">
      <w:pPr>
        <w:pStyle w:val="Body"/>
      </w:pPr>
      <w:r w:rsidRPr="00CE7CB9">
        <w:t>However, an exception will be made where a discharge of mortgage signed before 22 October 2016 is presented for lodgement, either alone or with other instruments.  Where the exception applies, the redundant paper Certificate of Title must be produced at lodgement.</w:t>
      </w:r>
    </w:p>
    <w:p w:rsidR="0081473C" w:rsidRPr="00AA7446" w:rsidRDefault="0081473C" w:rsidP="0081473C">
      <w:pPr>
        <w:pStyle w:val="Heading1"/>
      </w:pPr>
      <w:r w:rsidRPr="00AA7446">
        <w:t>Changes to over-the-counter lodgements</w:t>
      </w:r>
    </w:p>
    <w:p w:rsidR="0081473C" w:rsidRPr="00AA7446" w:rsidRDefault="0081473C" w:rsidP="0081473C">
      <w:pPr>
        <w:pStyle w:val="Body"/>
        <w:rPr>
          <w:rFonts w:cs="Helv"/>
          <w:iCs/>
          <w:color w:val="000000"/>
          <w:lang w:eastAsia="en-AU"/>
        </w:rPr>
      </w:pPr>
      <w:r w:rsidRPr="00AA7446">
        <w:rPr>
          <w:rFonts w:cs="Helv"/>
          <w:iCs/>
          <w:color w:val="000000"/>
          <w:lang w:eastAsia="en-AU"/>
        </w:rPr>
        <w:t xml:space="preserve">Land Use Victoria is introducing changes to over-the-counter lodgements on 18 April 2017. </w:t>
      </w:r>
    </w:p>
    <w:p w:rsidR="0081473C" w:rsidRDefault="0081473C" w:rsidP="0081473C">
      <w:pPr>
        <w:pStyle w:val="Body"/>
        <w:rPr>
          <w:lang w:eastAsia="en-AU"/>
        </w:rPr>
      </w:pPr>
      <w:r w:rsidRPr="00AA7446">
        <w:rPr>
          <w:lang w:eastAsia="en-AU"/>
        </w:rPr>
        <w:t>The changes will mean that, in a lodgement session, a customer will only be able to lodge a single 'case'.</w:t>
      </w:r>
    </w:p>
    <w:p w:rsidR="0081473C" w:rsidRDefault="0081473C" w:rsidP="0081473C">
      <w:pPr>
        <w:pStyle w:val="Body"/>
        <w:rPr>
          <w:lang w:eastAsia="en-AU"/>
        </w:rPr>
      </w:pPr>
      <w:r w:rsidRPr="00AA7446">
        <w:rPr>
          <w:lang w:eastAsia="en-AU"/>
        </w:rPr>
        <w:t xml:space="preserve">A case is defined as one or more dealings affecting the same folio(s). For example, a single caveat presented for lodgement would be a case; a </w:t>
      </w:r>
      <w:r>
        <w:rPr>
          <w:lang w:eastAsia="en-AU"/>
        </w:rPr>
        <w:t>d</w:t>
      </w:r>
      <w:r w:rsidRPr="00AA7446">
        <w:rPr>
          <w:lang w:eastAsia="en-AU"/>
        </w:rPr>
        <w:t xml:space="preserve">ischarge of </w:t>
      </w:r>
      <w:r>
        <w:rPr>
          <w:lang w:eastAsia="en-AU"/>
        </w:rPr>
        <w:t>m</w:t>
      </w:r>
      <w:r w:rsidRPr="00AA7446">
        <w:rPr>
          <w:lang w:eastAsia="en-AU"/>
        </w:rPr>
        <w:t>ortgage/</w:t>
      </w:r>
      <w:r>
        <w:rPr>
          <w:lang w:eastAsia="en-AU"/>
        </w:rPr>
        <w:t>t</w:t>
      </w:r>
      <w:r w:rsidRPr="00AA7446">
        <w:rPr>
          <w:lang w:eastAsia="en-AU"/>
        </w:rPr>
        <w:t xml:space="preserve">ransfer of </w:t>
      </w:r>
      <w:r>
        <w:rPr>
          <w:lang w:eastAsia="en-AU"/>
        </w:rPr>
        <w:t>l</w:t>
      </w:r>
      <w:r w:rsidRPr="00AA7446">
        <w:rPr>
          <w:lang w:eastAsia="en-AU"/>
        </w:rPr>
        <w:t>and/</w:t>
      </w:r>
      <w:r>
        <w:rPr>
          <w:lang w:eastAsia="en-AU"/>
        </w:rPr>
        <w:t>m</w:t>
      </w:r>
      <w:r w:rsidRPr="00AA7446">
        <w:rPr>
          <w:lang w:eastAsia="en-AU"/>
        </w:rPr>
        <w:t>ortgage affecting the same folio(s) presented for lodgement would also be a 'case'.</w:t>
      </w:r>
    </w:p>
    <w:p w:rsidR="0081473C" w:rsidRDefault="0081473C" w:rsidP="0081473C">
      <w:pPr>
        <w:pStyle w:val="Body"/>
        <w:rPr>
          <w:lang w:eastAsia="en-AU"/>
        </w:rPr>
      </w:pPr>
      <w:r w:rsidRPr="00AA7446">
        <w:rPr>
          <w:lang w:eastAsia="en-AU"/>
        </w:rPr>
        <w:t>Customers using over-the-counter services need to ensure they allow sufficient time for their transactions to be completed by 4.00 PM, when the office closes to the public.  Issuing of tickets will be managed to achieve this outcome.</w:t>
      </w:r>
    </w:p>
    <w:p w:rsidR="0081473C" w:rsidRPr="00AA7446" w:rsidRDefault="0081473C" w:rsidP="0081473C">
      <w:pPr>
        <w:pStyle w:val="Body"/>
        <w:rPr>
          <w:lang w:eastAsia="en-AU"/>
        </w:rPr>
      </w:pPr>
      <w:r w:rsidRPr="00AA7446">
        <w:rPr>
          <w:lang w:eastAsia="en-AU"/>
        </w:rPr>
        <w:t>We appreciate that these changes will impact customers who currently use the over-the-counter service.  Customers are encouraged to lodge their transactions as bulk lodgements or electronically using the electronic lodgement network (PEXA).</w:t>
      </w:r>
    </w:p>
    <w:p w:rsidR="0081473C" w:rsidRDefault="0081473C" w:rsidP="0081473C">
      <w:pPr>
        <w:pStyle w:val="Body"/>
        <w:rPr>
          <w:rFonts w:cs="Helv"/>
          <w:iCs/>
          <w:color w:val="000000"/>
          <w:lang w:eastAsia="en-AU"/>
        </w:rPr>
      </w:pPr>
      <w:r w:rsidRPr="00AA7446">
        <w:rPr>
          <w:rFonts w:cs="Helv"/>
          <w:iCs/>
          <w:color w:val="000000"/>
          <w:lang w:eastAsia="en-AU"/>
        </w:rPr>
        <w:t>The changes align with the Victorian Government’s digital strategy to ensure efficient and productive online interactions with customers.</w:t>
      </w:r>
    </w:p>
    <w:p w:rsidR="0081473C" w:rsidRPr="0081473C" w:rsidRDefault="0081473C" w:rsidP="0081473C">
      <w:pPr>
        <w:pStyle w:val="Heading1"/>
      </w:pPr>
      <w:r w:rsidRPr="0081473C">
        <w:t>Land Legislation Amendment Bill 2017</w:t>
      </w:r>
    </w:p>
    <w:p w:rsidR="0081473C" w:rsidRPr="000D0395" w:rsidRDefault="0081473C" w:rsidP="0081473C">
      <w:pPr>
        <w:pStyle w:val="Body"/>
        <w:rPr>
          <w:rFonts w:eastAsia="Calibri"/>
        </w:rPr>
      </w:pPr>
      <w:r>
        <w:rPr>
          <w:rFonts w:eastAsia="Calibri"/>
          <w:lang w:val="en-US" w:eastAsia="en-AU"/>
        </w:rPr>
        <w:t xml:space="preserve">The Land Legislation Amendment Bill 2017 was introduced into Parliament on 21 March.  The Bill makes a number of small but important changes to the </w:t>
      </w:r>
      <w:r w:rsidRPr="00886582">
        <w:rPr>
          <w:rFonts w:eastAsia="Calibri"/>
          <w:i/>
          <w:lang w:val="en-US" w:eastAsia="en-AU"/>
        </w:rPr>
        <w:t>Transfer of Land Act 1958</w:t>
      </w:r>
      <w:r>
        <w:rPr>
          <w:rFonts w:eastAsia="Calibri"/>
          <w:lang w:val="en-US" w:eastAsia="en-AU"/>
        </w:rPr>
        <w:t xml:space="preserve">, </w:t>
      </w:r>
      <w:r w:rsidRPr="00886582">
        <w:rPr>
          <w:rFonts w:eastAsia="Calibri"/>
          <w:i/>
          <w:lang w:val="en-US" w:eastAsia="en-AU"/>
        </w:rPr>
        <w:t>Subdivision Act 1988</w:t>
      </w:r>
      <w:r>
        <w:rPr>
          <w:rFonts w:eastAsia="Calibri"/>
          <w:lang w:val="en-US" w:eastAsia="en-AU"/>
        </w:rPr>
        <w:t xml:space="preserve"> and the </w:t>
      </w:r>
      <w:r w:rsidRPr="00886582">
        <w:rPr>
          <w:rFonts w:eastAsia="Calibri"/>
          <w:i/>
          <w:lang w:val="en-US" w:eastAsia="en-AU"/>
        </w:rPr>
        <w:t>Valuation of Land Act 1960</w:t>
      </w:r>
      <w:r>
        <w:rPr>
          <w:rFonts w:eastAsia="Calibri"/>
          <w:lang w:val="en-US" w:eastAsia="en-AU"/>
        </w:rPr>
        <w:t>.  The Bill and its Explanatory Memorandum are available on</w:t>
      </w:r>
      <w:r w:rsidR="00896BD7">
        <w:rPr>
          <w:rFonts w:eastAsia="Calibri"/>
          <w:lang w:val="en-US" w:eastAsia="en-AU"/>
        </w:rPr>
        <w:t xml:space="preserve">line at </w:t>
      </w:r>
      <w:hyperlink r:id="rId19" w:history="1">
        <w:r w:rsidR="0074625D" w:rsidRPr="0074625D">
          <w:rPr>
            <w:rStyle w:val="Hyperlink"/>
            <w:rFonts w:eastAsia="Calibri"/>
            <w:lang w:val="en-US" w:eastAsia="en-AU"/>
          </w:rPr>
          <w:t>www.parliament.vic.gov.au/legislation</w:t>
        </w:r>
      </w:hyperlink>
      <w:r w:rsidR="00896BD7">
        <w:rPr>
          <w:rFonts w:eastAsia="Calibri"/>
          <w:lang w:val="en-US" w:eastAsia="en-AU"/>
        </w:rPr>
        <w:t>.</w:t>
      </w:r>
    </w:p>
    <w:p w:rsidR="0081473C" w:rsidRPr="009E571C" w:rsidRDefault="0081473C" w:rsidP="0081473C">
      <w:pPr>
        <w:suppressAutoHyphens/>
        <w:rPr>
          <w:szCs w:val="22"/>
        </w:rPr>
      </w:pPr>
      <w:r w:rsidRPr="009E571C">
        <w:rPr>
          <w:szCs w:val="22"/>
        </w:rPr>
        <w:t xml:space="preserve">The Bill amends the </w:t>
      </w:r>
      <w:r w:rsidRPr="009E571C">
        <w:rPr>
          <w:i/>
          <w:szCs w:val="22"/>
        </w:rPr>
        <w:t>Transfer of Land Act 1958</w:t>
      </w:r>
      <w:r w:rsidRPr="009E571C">
        <w:rPr>
          <w:szCs w:val="22"/>
        </w:rPr>
        <w:t xml:space="preserve"> to:</w:t>
      </w:r>
    </w:p>
    <w:p w:rsidR="0081473C" w:rsidRPr="009E571C" w:rsidRDefault="0081473C" w:rsidP="0081473C">
      <w:pPr>
        <w:pStyle w:val="ListParagraph"/>
        <w:numPr>
          <w:ilvl w:val="0"/>
          <w:numId w:val="24"/>
        </w:numPr>
        <w:suppressLineNumbers/>
        <w:tabs>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 xml:space="preserve">amend the provisions relating to the conversion of General law land into land under the operation of the </w:t>
      </w:r>
      <w:r w:rsidRPr="009E571C">
        <w:rPr>
          <w:i/>
          <w:sz w:val="22"/>
          <w:szCs w:val="22"/>
        </w:rPr>
        <w:t>Transfer of Land Act 1958</w:t>
      </w:r>
      <w:r w:rsidRPr="009E571C">
        <w:rPr>
          <w:sz w:val="22"/>
          <w:szCs w:val="22"/>
        </w:rPr>
        <w:t xml:space="preserve"> </w:t>
      </w:r>
    </w:p>
    <w:p w:rsidR="0081473C" w:rsidRPr="009E571C" w:rsidRDefault="0081473C" w:rsidP="0081473C">
      <w:pPr>
        <w:pStyle w:val="ListParagraph"/>
        <w:numPr>
          <w:ilvl w:val="0"/>
          <w:numId w:val="24"/>
        </w:numPr>
        <w:suppressLineNumbers/>
        <w:tabs>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amend section 27G to better reflect the processes associated with registering plans under the Subdivision Act 1988</w:t>
      </w:r>
    </w:p>
    <w:p w:rsidR="0081473C" w:rsidRPr="009E571C" w:rsidRDefault="0081473C" w:rsidP="0081473C">
      <w:pPr>
        <w:pStyle w:val="ListParagraph"/>
        <w:numPr>
          <w:ilvl w:val="0"/>
          <w:numId w:val="25"/>
        </w:numPr>
        <w:suppressLineNumbers/>
        <w:tabs>
          <w:tab w:val="clear" w:pos="567"/>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amend section 28 to reflect current practices in relation to the processing of Crown grants</w:t>
      </w:r>
    </w:p>
    <w:p w:rsidR="0081473C" w:rsidRPr="009E571C" w:rsidRDefault="0081473C" w:rsidP="0081473C">
      <w:pPr>
        <w:pStyle w:val="ListParagraph"/>
        <w:numPr>
          <w:ilvl w:val="0"/>
          <w:numId w:val="25"/>
        </w:numPr>
        <w:suppressLineNumbers/>
        <w:tabs>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under section 47 enable vesting orders when the purchaser of property cannot provide proof of payment but the Registrar of Titles is otherwise satisfied there is an entitlement to a vesting order</w:t>
      </w:r>
    </w:p>
    <w:p w:rsidR="0081473C" w:rsidRPr="009E571C" w:rsidRDefault="0081473C" w:rsidP="0081473C">
      <w:pPr>
        <w:pStyle w:val="ListParagraph"/>
        <w:numPr>
          <w:ilvl w:val="0"/>
          <w:numId w:val="25"/>
        </w:numPr>
        <w:suppressLineNumbers/>
        <w:tabs>
          <w:tab w:val="clear" w:pos="567"/>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amend section 52 so that a court order against land (often a warrant) can be removed from the Register of land upon application to the Registrar of Titles of the judgement creditor without full satisfaction of the debt</w:t>
      </w:r>
    </w:p>
    <w:p w:rsidR="0081473C" w:rsidRPr="009E571C" w:rsidRDefault="0081473C" w:rsidP="0081473C">
      <w:pPr>
        <w:pStyle w:val="ListParagraph"/>
        <w:numPr>
          <w:ilvl w:val="0"/>
          <w:numId w:val="26"/>
        </w:numPr>
        <w:suppressLineNumbers/>
        <w:tabs>
          <w:tab w:val="clear" w:pos="567"/>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amend section 59 to simplify the process for persons who have land vested in them</w:t>
      </w:r>
    </w:p>
    <w:p w:rsidR="0081473C" w:rsidRPr="009E571C" w:rsidRDefault="0081473C" w:rsidP="0081473C">
      <w:pPr>
        <w:pStyle w:val="ListParagraph"/>
        <w:numPr>
          <w:ilvl w:val="0"/>
          <w:numId w:val="26"/>
        </w:numPr>
        <w:suppressLineNumbers/>
        <w:tabs>
          <w:tab w:val="clear" w:pos="567"/>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enable section 59A to apply where a successor in law is not a body corporate</w:t>
      </w:r>
    </w:p>
    <w:p w:rsidR="0081473C" w:rsidRPr="009E571C" w:rsidRDefault="0081473C" w:rsidP="0081473C">
      <w:pPr>
        <w:pStyle w:val="ListParagraph"/>
        <w:numPr>
          <w:ilvl w:val="0"/>
          <w:numId w:val="26"/>
        </w:numPr>
        <w:suppressLineNumbers/>
        <w:tabs>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amend sections 74(1A), 87A and 87B to clarify mortgage provisions to ensure consistency with the Model Participation Rules for electronic conveyancing</w:t>
      </w:r>
    </w:p>
    <w:p w:rsidR="0081473C" w:rsidRPr="009E571C" w:rsidRDefault="0081473C" w:rsidP="0081473C">
      <w:pPr>
        <w:pStyle w:val="ListParagraph"/>
        <w:numPr>
          <w:ilvl w:val="0"/>
          <w:numId w:val="26"/>
        </w:numPr>
        <w:suppressLineNumbers/>
        <w:tabs>
          <w:tab w:val="clear" w:pos="567"/>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 xml:space="preserve">amend section 84(2) to enable the Registrar of Titles to remove a mortgage, if a discharge cannot be obtained, and section 20 of the </w:t>
      </w:r>
      <w:r w:rsidRPr="009E571C">
        <w:rPr>
          <w:i/>
          <w:sz w:val="22"/>
          <w:szCs w:val="22"/>
        </w:rPr>
        <w:t>Limitations of Actions Act 1958</w:t>
      </w:r>
      <w:r w:rsidRPr="009E571C">
        <w:rPr>
          <w:sz w:val="22"/>
          <w:szCs w:val="22"/>
        </w:rPr>
        <w:t xml:space="preserve"> applies</w:t>
      </w:r>
    </w:p>
    <w:p w:rsidR="0081473C" w:rsidRPr="009E571C" w:rsidRDefault="0081473C" w:rsidP="0081473C">
      <w:pPr>
        <w:pStyle w:val="ListParagraph"/>
        <w:numPr>
          <w:ilvl w:val="0"/>
          <w:numId w:val="26"/>
        </w:numPr>
        <w:suppressLineNumbers/>
        <w:tabs>
          <w:tab w:val="clear" w:pos="567"/>
          <w:tab w:val="left" w:pos="1134"/>
        </w:tabs>
        <w:suppressAutoHyphens/>
        <w:overflowPunct w:val="0"/>
        <w:autoSpaceDE w:val="0"/>
        <w:autoSpaceDN w:val="0"/>
        <w:adjustRightInd w:val="0"/>
        <w:spacing w:before="120" w:line="264" w:lineRule="auto"/>
        <w:contextualSpacing w:val="0"/>
        <w:textAlignment w:val="baseline"/>
        <w:rPr>
          <w:sz w:val="22"/>
          <w:szCs w:val="22"/>
        </w:rPr>
      </w:pPr>
      <w:r w:rsidRPr="009E571C">
        <w:rPr>
          <w:sz w:val="22"/>
          <w:szCs w:val="22"/>
        </w:rPr>
        <w:t>amend section 89A to include proceedings in the Victorian Civil and Administrative Tribunal (VCAT) if VCAT has jurisdiction</w:t>
      </w:r>
    </w:p>
    <w:p w:rsidR="0081473C" w:rsidRPr="009E571C" w:rsidRDefault="0081473C" w:rsidP="0081473C">
      <w:pPr>
        <w:pStyle w:val="ListParagraph"/>
        <w:numPr>
          <w:ilvl w:val="0"/>
          <w:numId w:val="31"/>
        </w:numPr>
        <w:suppressLineNumbers/>
        <w:tabs>
          <w:tab w:val="clear" w:pos="567"/>
          <w:tab w:val="left" w:pos="1134"/>
        </w:tabs>
        <w:overflowPunct w:val="0"/>
        <w:autoSpaceDE w:val="0"/>
        <w:autoSpaceDN w:val="0"/>
        <w:adjustRightInd w:val="0"/>
        <w:spacing w:before="120" w:line="264" w:lineRule="auto"/>
        <w:contextualSpacing w:val="0"/>
        <w:textAlignment w:val="baseline"/>
        <w:rPr>
          <w:sz w:val="22"/>
          <w:szCs w:val="22"/>
        </w:rPr>
      </w:pPr>
      <w:r w:rsidRPr="009E571C">
        <w:rPr>
          <w:sz w:val="22"/>
          <w:szCs w:val="22"/>
        </w:rPr>
        <w:t>amend section 90 to remove the requirement for a caveator's consent to be lodged with the Registrar of Titles</w:t>
      </w:r>
    </w:p>
    <w:p w:rsidR="0081473C" w:rsidRPr="009E571C" w:rsidRDefault="0081473C" w:rsidP="0081473C">
      <w:pPr>
        <w:pStyle w:val="ListParagraph"/>
        <w:numPr>
          <w:ilvl w:val="0"/>
          <w:numId w:val="32"/>
        </w:numPr>
        <w:suppressLineNumbers/>
        <w:tabs>
          <w:tab w:val="clear" w:pos="567"/>
          <w:tab w:val="left" w:pos="1134"/>
        </w:tabs>
        <w:overflowPunct w:val="0"/>
        <w:autoSpaceDE w:val="0"/>
        <w:autoSpaceDN w:val="0"/>
        <w:adjustRightInd w:val="0"/>
        <w:spacing w:before="120" w:line="264" w:lineRule="auto"/>
        <w:contextualSpacing w:val="0"/>
        <w:textAlignment w:val="baseline"/>
        <w:rPr>
          <w:sz w:val="22"/>
          <w:szCs w:val="22"/>
        </w:rPr>
      </w:pPr>
      <w:r w:rsidRPr="009E571C">
        <w:rPr>
          <w:sz w:val="22"/>
          <w:szCs w:val="22"/>
        </w:rPr>
        <w:t>amend section 91 to permit priority notices to be extended for one period of 30 days</w:t>
      </w:r>
    </w:p>
    <w:p w:rsidR="0081473C" w:rsidRPr="009E571C" w:rsidRDefault="0081473C" w:rsidP="0081473C">
      <w:pPr>
        <w:pStyle w:val="ListParagraph"/>
        <w:numPr>
          <w:ilvl w:val="0"/>
          <w:numId w:val="33"/>
        </w:numPr>
        <w:suppressLineNumbers/>
        <w:tabs>
          <w:tab w:val="clear" w:pos="567"/>
          <w:tab w:val="left" w:pos="1134"/>
        </w:tabs>
        <w:overflowPunct w:val="0"/>
        <w:autoSpaceDE w:val="0"/>
        <w:autoSpaceDN w:val="0"/>
        <w:adjustRightInd w:val="0"/>
        <w:spacing w:before="120" w:line="264" w:lineRule="auto"/>
        <w:contextualSpacing w:val="0"/>
        <w:textAlignment w:val="baseline"/>
        <w:rPr>
          <w:sz w:val="22"/>
          <w:szCs w:val="22"/>
        </w:rPr>
      </w:pPr>
      <w:r w:rsidRPr="009E571C">
        <w:rPr>
          <w:sz w:val="22"/>
          <w:szCs w:val="22"/>
        </w:rPr>
        <w:t xml:space="preserve">insert a standardised section permitting the recording of notices of a statutory charge and the removal of those notices </w:t>
      </w:r>
    </w:p>
    <w:p w:rsidR="0081473C" w:rsidRPr="009E571C" w:rsidRDefault="0081473C" w:rsidP="0081473C">
      <w:pPr>
        <w:pStyle w:val="ListParagraph"/>
        <w:numPr>
          <w:ilvl w:val="0"/>
          <w:numId w:val="34"/>
        </w:numPr>
        <w:suppressLineNumbers/>
        <w:tabs>
          <w:tab w:val="clear" w:pos="567"/>
          <w:tab w:val="left" w:pos="1134"/>
        </w:tabs>
        <w:overflowPunct w:val="0"/>
        <w:autoSpaceDE w:val="0"/>
        <w:autoSpaceDN w:val="0"/>
        <w:adjustRightInd w:val="0"/>
        <w:spacing w:before="120" w:line="264" w:lineRule="auto"/>
        <w:contextualSpacing w:val="0"/>
        <w:textAlignment w:val="baseline"/>
        <w:rPr>
          <w:sz w:val="22"/>
          <w:szCs w:val="22"/>
        </w:rPr>
      </w:pPr>
      <w:r w:rsidRPr="009E571C">
        <w:rPr>
          <w:sz w:val="22"/>
          <w:szCs w:val="22"/>
        </w:rPr>
        <w:t>make numerous miscellaneous and minor amendments.</w:t>
      </w:r>
    </w:p>
    <w:p w:rsidR="0081473C" w:rsidRPr="009E571C" w:rsidRDefault="0081473C" w:rsidP="0081473C">
      <w:pPr>
        <w:tabs>
          <w:tab w:val="left" w:pos="1134"/>
        </w:tabs>
        <w:ind w:left="567"/>
        <w:rPr>
          <w:szCs w:val="22"/>
        </w:rPr>
      </w:pPr>
    </w:p>
    <w:p w:rsidR="0081473C" w:rsidRPr="009E571C" w:rsidRDefault="0081473C" w:rsidP="0081473C">
      <w:pPr>
        <w:rPr>
          <w:szCs w:val="22"/>
        </w:rPr>
      </w:pPr>
      <w:r w:rsidRPr="009E571C">
        <w:rPr>
          <w:szCs w:val="22"/>
        </w:rPr>
        <w:t xml:space="preserve">The Bill amends the </w:t>
      </w:r>
      <w:r w:rsidRPr="009E571C">
        <w:rPr>
          <w:i/>
          <w:szCs w:val="22"/>
        </w:rPr>
        <w:t>Subdivision Act 1988</w:t>
      </w:r>
      <w:r w:rsidRPr="009E571C">
        <w:rPr>
          <w:szCs w:val="22"/>
        </w:rPr>
        <w:t xml:space="preserve"> to:</w:t>
      </w:r>
    </w:p>
    <w:p w:rsidR="0081473C" w:rsidRPr="009E571C" w:rsidRDefault="0081473C" w:rsidP="0081473C">
      <w:pPr>
        <w:pStyle w:val="ListParagraph"/>
        <w:numPr>
          <w:ilvl w:val="0"/>
          <w:numId w:val="27"/>
        </w:numPr>
        <w:suppressLineNumbers/>
        <w:tabs>
          <w:tab w:val="clear" w:pos="567"/>
          <w:tab w:val="left" w:pos="1134"/>
        </w:tabs>
        <w:overflowPunct w:val="0"/>
        <w:autoSpaceDE w:val="0"/>
        <w:autoSpaceDN w:val="0"/>
        <w:adjustRightInd w:val="0"/>
        <w:spacing w:before="120" w:line="264" w:lineRule="auto"/>
        <w:contextualSpacing w:val="0"/>
        <w:textAlignment w:val="baseline"/>
        <w:rPr>
          <w:sz w:val="22"/>
          <w:szCs w:val="22"/>
        </w:rPr>
      </w:pPr>
      <w:r w:rsidRPr="009E571C">
        <w:rPr>
          <w:sz w:val="22"/>
          <w:szCs w:val="22"/>
        </w:rPr>
        <w:t>remove the requirement for certain owners corporation information to be provided in a separate document</w:t>
      </w:r>
    </w:p>
    <w:p w:rsidR="0081473C" w:rsidRPr="009E571C" w:rsidRDefault="0081473C" w:rsidP="0081473C">
      <w:pPr>
        <w:pStyle w:val="ListParagraph"/>
        <w:numPr>
          <w:ilvl w:val="0"/>
          <w:numId w:val="28"/>
        </w:numPr>
        <w:suppressLineNumbers/>
        <w:tabs>
          <w:tab w:val="clear" w:pos="567"/>
          <w:tab w:val="left" w:pos="1134"/>
        </w:tabs>
        <w:overflowPunct w:val="0"/>
        <w:autoSpaceDE w:val="0"/>
        <w:autoSpaceDN w:val="0"/>
        <w:adjustRightInd w:val="0"/>
        <w:spacing w:before="120" w:line="264" w:lineRule="auto"/>
        <w:contextualSpacing w:val="0"/>
        <w:textAlignment w:val="baseline"/>
        <w:rPr>
          <w:sz w:val="22"/>
          <w:szCs w:val="22"/>
        </w:rPr>
      </w:pPr>
      <w:r w:rsidRPr="009E571C">
        <w:rPr>
          <w:sz w:val="22"/>
          <w:szCs w:val="22"/>
        </w:rPr>
        <w:t>clarify the definitions of limited owners corporation and unlimited owners corporation</w:t>
      </w:r>
    </w:p>
    <w:p w:rsidR="0081473C" w:rsidRPr="009E571C" w:rsidRDefault="0081473C" w:rsidP="0081473C">
      <w:pPr>
        <w:pStyle w:val="ListParagraph"/>
        <w:numPr>
          <w:ilvl w:val="0"/>
          <w:numId w:val="29"/>
        </w:numPr>
        <w:suppressLineNumbers/>
        <w:tabs>
          <w:tab w:val="clear" w:pos="567"/>
          <w:tab w:val="left" w:pos="1134"/>
        </w:tabs>
        <w:overflowPunct w:val="0"/>
        <w:autoSpaceDE w:val="0"/>
        <w:autoSpaceDN w:val="0"/>
        <w:adjustRightInd w:val="0"/>
        <w:spacing w:before="120" w:line="264" w:lineRule="auto"/>
        <w:contextualSpacing w:val="0"/>
        <w:textAlignment w:val="baseline"/>
        <w:rPr>
          <w:sz w:val="22"/>
          <w:szCs w:val="22"/>
        </w:rPr>
      </w:pPr>
      <w:r w:rsidRPr="009E571C">
        <w:rPr>
          <w:sz w:val="22"/>
          <w:szCs w:val="22"/>
        </w:rPr>
        <w:t xml:space="preserve">provide clarity and flexibility to the provisions relating to easements implied under section 12(2) of the </w:t>
      </w:r>
      <w:r w:rsidRPr="009E571C">
        <w:rPr>
          <w:i/>
          <w:sz w:val="22"/>
          <w:szCs w:val="22"/>
        </w:rPr>
        <w:t>Subdivision Act</w:t>
      </w:r>
      <w:r>
        <w:rPr>
          <w:i/>
          <w:sz w:val="22"/>
          <w:szCs w:val="22"/>
        </w:rPr>
        <w:t xml:space="preserve"> </w:t>
      </w:r>
      <w:r w:rsidRPr="009E571C">
        <w:rPr>
          <w:i/>
          <w:sz w:val="22"/>
          <w:szCs w:val="22"/>
        </w:rPr>
        <w:t>1988</w:t>
      </w:r>
    </w:p>
    <w:p w:rsidR="0081473C" w:rsidRPr="009E571C" w:rsidRDefault="0081473C" w:rsidP="0081473C">
      <w:pPr>
        <w:pStyle w:val="ListParagraph"/>
        <w:numPr>
          <w:ilvl w:val="0"/>
          <w:numId w:val="30"/>
        </w:numPr>
        <w:suppressLineNumbers/>
        <w:tabs>
          <w:tab w:val="clear" w:pos="567"/>
          <w:tab w:val="left" w:pos="1134"/>
        </w:tabs>
        <w:overflowPunct w:val="0"/>
        <w:autoSpaceDE w:val="0"/>
        <w:autoSpaceDN w:val="0"/>
        <w:adjustRightInd w:val="0"/>
        <w:spacing w:before="120" w:line="264" w:lineRule="auto"/>
        <w:contextualSpacing w:val="0"/>
        <w:textAlignment w:val="baseline"/>
        <w:rPr>
          <w:sz w:val="22"/>
          <w:szCs w:val="22"/>
        </w:rPr>
      </w:pPr>
      <w:r w:rsidRPr="009E571C">
        <w:rPr>
          <w:sz w:val="22"/>
          <w:szCs w:val="22"/>
        </w:rPr>
        <w:t>make numerous miscellaneous amendments.</w:t>
      </w:r>
    </w:p>
    <w:p w:rsidR="0081473C" w:rsidRPr="009E571C" w:rsidRDefault="0081473C" w:rsidP="0081473C">
      <w:pPr>
        <w:suppressAutoHyphens/>
        <w:rPr>
          <w:szCs w:val="22"/>
        </w:rPr>
      </w:pPr>
    </w:p>
    <w:p w:rsidR="0081473C" w:rsidRPr="009E571C" w:rsidRDefault="0081473C" w:rsidP="0081473C">
      <w:pPr>
        <w:suppressAutoHyphens/>
        <w:rPr>
          <w:szCs w:val="22"/>
        </w:rPr>
      </w:pPr>
      <w:r w:rsidRPr="009E571C">
        <w:rPr>
          <w:szCs w:val="22"/>
        </w:rPr>
        <w:t xml:space="preserve">The Bill will amend the </w:t>
      </w:r>
      <w:r w:rsidRPr="009E571C">
        <w:rPr>
          <w:i/>
          <w:szCs w:val="22"/>
        </w:rPr>
        <w:t>Valuation of Land Act 1960</w:t>
      </w:r>
      <w:r w:rsidRPr="009E571C">
        <w:rPr>
          <w:szCs w:val="22"/>
        </w:rPr>
        <w:t xml:space="preserve"> to:</w:t>
      </w:r>
    </w:p>
    <w:p w:rsidR="0081473C" w:rsidRPr="009E571C" w:rsidRDefault="0081473C" w:rsidP="0081473C">
      <w:pPr>
        <w:pStyle w:val="ListParagraph"/>
        <w:numPr>
          <w:ilvl w:val="0"/>
          <w:numId w:val="35"/>
        </w:numPr>
        <w:suppressLineNumbers/>
        <w:tabs>
          <w:tab w:val="clear" w:pos="567"/>
          <w:tab w:val="left" w:pos="1134"/>
        </w:tabs>
        <w:overflowPunct w:val="0"/>
        <w:autoSpaceDE w:val="0"/>
        <w:autoSpaceDN w:val="0"/>
        <w:adjustRightInd w:val="0"/>
        <w:spacing w:before="120" w:line="264" w:lineRule="auto"/>
        <w:contextualSpacing w:val="0"/>
        <w:textAlignment w:val="baseline"/>
        <w:rPr>
          <w:sz w:val="22"/>
          <w:szCs w:val="22"/>
        </w:rPr>
      </w:pPr>
      <w:r w:rsidRPr="009E571C">
        <w:rPr>
          <w:sz w:val="22"/>
          <w:szCs w:val="22"/>
        </w:rPr>
        <w:t>enable the provision of releasable information from the valuation record in the same way as the provision of property sales information and consistent with Government policy on information accessibility.</w:t>
      </w:r>
    </w:p>
    <w:p w:rsidR="0081473C" w:rsidRPr="00AA7446" w:rsidRDefault="0081473C" w:rsidP="0081473C">
      <w:pPr>
        <w:pStyle w:val="Body"/>
        <w:rPr>
          <w:rFonts w:cs="Helv"/>
          <w:iCs/>
          <w:color w:val="000000"/>
          <w:lang w:eastAsia="en-AU"/>
        </w:rPr>
      </w:pPr>
    </w:p>
    <w:p w:rsidR="0074625D" w:rsidRPr="0074625D" w:rsidRDefault="009C3EC4" w:rsidP="0074625D">
      <w:pPr>
        <w:pStyle w:val="Heading1"/>
      </w:pPr>
      <w:r w:rsidRPr="0074625D">
        <w:t>Land Use Victoria is moving</w:t>
      </w:r>
    </w:p>
    <w:p w:rsidR="009C3EC4" w:rsidRPr="0074625D" w:rsidRDefault="009C3EC4" w:rsidP="0074625D">
      <w:pPr>
        <w:pStyle w:val="Body"/>
        <w:rPr>
          <w:rFonts w:eastAsia="Calibri"/>
        </w:rPr>
      </w:pPr>
      <w:r w:rsidRPr="0074625D">
        <w:rPr>
          <w:rFonts w:eastAsia="Calibri"/>
        </w:rPr>
        <w:t>After more than 15 years at 570 Bourke Street</w:t>
      </w:r>
      <w:r w:rsidR="00A16DFC">
        <w:rPr>
          <w:rFonts w:eastAsia="Calibri"/>
        </w:rPr>
        <w:t>,</w:t>
      </w:r>
      <w:r w:rsidRPr="0074625D">
        <w:rPr>
          <w:rFonts w:eastAsia="Calibri"/>
        </w:rPr>
        <w:t xml:space="preserve"> Land Use Victoria is moving to 2 Lonsdale Street. The move will</w:t>
      </w:r>
      <w:r w:rsidR="0074625D" w:rsidRPr="0074625D">
        <w:rPr>
          <w:rFonts w:eastAsia="Calibri"/>
        </w:rPr>
        <w:t xml:space="preserve"> </w:t>
      </w:r>
      <w:r w:rsidRPr="0074625D">
        <w:rPr>
          <w:rFonts w:eastAsia="Calibri"/>
        </w:rPr>
        <w:t>potentially occur in August but more information will be provided in future editions.</w:t>
      </w:r>
    </w:p>
    <w:p w:rsidR="00EB6813" w:rsidRPr="004F627B" w:rsidRDefault="00EB6813" w:rsidP="00EB6813">
      <w:pPr>
        <w:pStyle w:val="Heading1"/>
      </w:pPr>
      <w:r w:rsidRPr="004F627B">
        <w:t>Contact us</w:t>
      </w:r>
    </w:p>
    <w:p w:rsidR="00FF4197" w:rsidRDefault="00EB6813" w:rsidP="00FF4197">
      <w:pPr>
        <w:pStyle w:val="Body"/>
        <w:rPr>
          <w:rFonts w:eastAsia="Calibri"/>
        </w:rPr>
      </w:pPr>
      <w:r w:rsidRPr="00FF4197">
        <w:rPr>
          <w:rFonts w:eastAsia="Calibri"/>
        </w:rPr>
        <w:t xml:space="preserve">For </w:t>
      </w:r>
      <w:hyperlink r:id="rId20" w:history="1">
        <w:r w:rsidRPr="00DB36BB">
          <w:rPr>
            <w:rStyle w:val="Hyperlink"/>
            <w:rFonts w:eastAsia="Calibri"/>
          </w:rPr>
          <w:t>location and contact details</w:t>
        </w:r>
      </w:hyperlink>
      <w:r w:rsidRPr="00FF4197">
        <w:rPr>
          <w:rFonts w:eastAsia="Calibri"/>
        </w:rPr>
        <w:t>, go to</w:t>
      </w:r>
      <w:r w:rsidR="00FF4197">
        <w:rPr>
          <w:rFonts w:eastAsia="Calibri"/>
        </w:rPr>
        <w:t xml:space="preserve"> </w:t>
      </w:r>
      <w:hyperlink r:id="rId21" w:history="1">
        <w:r w:rsidR="00FF4197" w:rsidRPr="00FA34D3">
          <w:rPr>
            <w:rStyle w:val="Hyperlink"/>
            <w:rFonts w:eastAsia="Calibri"/>
          </w:rPr>
          <w:t>www.delwp.vic.gov.au/property</w:t>
        </w:r>
      </w:hyperlink>
      <w:r w:rsidR="001711AB">
        <w:rPr>
          <w:rFonts w:eastAsia="Calibri"/>
        </w:rPr>
        <w:t>&gt;Contact</w:t>
      </w:r>
      <w:r w:rsidR="0058012E">
        <w:rPr>
          <w:rFonts w:eastAsia="Calibri"/>
        </w:rPr>
        <w:t xml:space="preserve"> </w:t>
      </w:r>
      <w:r w:rsidR="00896BD7">
        <w:rPr>
          <w:rFonts w:eastAsia="Calibri"/>
        </w:rPr>
        <w:t>us.</w:t>
      </w:r>
    </w:p>
    <w:p w:rsidR="00EB6813" w:rsidRPr="004F627B" w:rsidRDefault="00EB6813" w:rsidP="00EB6813">
      <w:pPr>
        <w:pStyle w:val="Heading1"/>
        <w:rPr>
          <w:rFonts w:eastAsia="Calibri"/>
        </w:rPr>
      </w:pPr>
      <w:r w:rsidRPr="004F627B">
        <w:rPr>
          <w:rFonts w:eastAsia="Calibri"/>
        </w:rPr>
        <w:t>Subscribe</w:t>
      </w:r>
    </w:p>
    <w:p w:rsidR="003D1370" w:rsidRPr="00187F89" w:rsidRDefault="00EB6813" w:rsidP="00187F89">
      <w:pPr>
        <w:pStyle w:val="Body"/>
        <w:rPr>
          <w:rFonts w:eastAsia="Calibri"/>
        </w:rPr>
      </w:pPr>
      <w:r w:rsidRPr="00FF4197">
        <w:rPr>
          <w:rFonts w:eastAsia="Calibri"/>
        </w:rPr>
        <w:t>To receive the Customer Information Bulletin online, please send an email to lv.cib@delwp.vic.gov.au with SUBSCRIBE in the subject line – include your name and email address in the body of the email.</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E4114">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29105FBD" wp14:editId="7435925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3" w:name="_Accessibility"/>
            <w:bookmarkEnd w:id="3"/>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rsidR="00001E86" w:rsidRDefault="00001E86" w:rsidP="00C255C2">
            <w:pPr>
              <w:pStyle w:val="SmallBodyText"/>
            </w:pPr>
          </w:p>
        </w:tc>
      </w:tr>
    </w:tbl>
    <w:p w:rsidR="00001E86" w:rsidRPr="00806AB6" w:rsidRDefault="00001E86" w:rsidP="003D1370"/>
    <w:sectPr w:rsidR="00001E86" w:rsidRPr="00806AB6" w:rsidSect="003D025A">
      <w:type w:val="continuous"/>
      <w:pgSz w:w="11907" w:h="16840" w:code="9"/>
      <w:pgMar w:top="2211" w:right="851" w:bottom="794" w:left="851" w:header="284" w:footer="483"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4C" w:rsidRDefault="006B384C">
      <w:r>
        <w:separator/>
      </w:r>
    </w:p>
    <w:p w:rsidR="006B384C" w:rsidRDefault="006B384C"/>
    <w:p w:rsidR="006B384C" w:rsidRDefault="006B384C"/>
  </w:endnote>
  <w:endnote w:type="continuationSeparator" w:id="0">
    <w:p w:rsidR="006B384C" w:rsidRDefault="006B384C">
      <w:r>
        <w:continuationSeparator/>
      </w:r>
    </w:p>
    <w:p w:rsidR="006B384C" w:rsidRDefault="006B384C"/>
    <w:p w:rsidR="006B384C" w:rsidRDefault="006B3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97591"/>
      <w:docPartObj>
        <w:docPartGallery w:val="Page Numbers (Top of Page)"/>
        <w:docPartUnique/>
      </w:docPartObj>
    </w:sdtPr>
    <w:sdtEndPr/>
    <w:sdtContent>
      <w:p w:rsidR="003D025A" w:rsidRDefault="003D025A" w:rsidP="003D025A">
        <w:pPr>
          <w:pStyle w:val="CaptionImageorFigure"/>
          <w:rPr>
            <w:b w:val="0"/>
            <w:bCs w:val="0"/>
            <w:sz w:val="20"/>
          </w:rPr>
        </w:pPr>
        <w:r>
          <w:t xml:space="preserve">Page </w:t>
        </w:r>
        <w:r>
          <w:rPr>
            <w:sz w:val="24"/>
            <w:szCs w:val="24"/>
          </w:rPr>
          <w:fldChar w:fldCharType="begin"/>
        </w:r>
        <w:r>
          <w:instrText xml:space="preserve"> PAGE </w:instrText>
        </w:r>
        <w:r>
          <w:rPr>
            <w:sz w:val="24"/>
            <w:szCs w:val="24"/>
          </w:rPr>
          <w:fldChar w:fldCharType="separate"/>
        </w:r>
        <w:r w:rsidR="008E4114">
          <w:rPr>
            <w:noProof/>
          </w:rPr>
          <w:t>2</w:t>
        </w:r>
        <w:r>
          <w:rPr>
            <w:sz w:val="24"/>
            <w:szCs w:val="24"/>
          </w:rPr>
          <w:fldChar w:fldCharType="end"/>
        </w:r>
        <w:r>
          <w:t xml:space="preserve"> of </w:t>
        </w:r>
        <w:fldSimple w:instr=" NUMPAGES  ">
          <w:r w:rsidR="008E4114">
            <w:rPr>
              <w:noProof/>
            </w:rPr>
            <w:t>6</w:t>
          </w:r>
        </w:fldSimple>
      </w:p>
    </w:sdtContent>
  </w:sdt>
  <w:p w:rsidR="00A209C4" w:rsidRPr="00B5221E" w:rsidRDefault="003D025A" w:rsidP="00205841">
    <w:pPr>
      <w:pStyle w:val="FooterEven"/>
      <w:tabs>
        <w:tab w:val="left" w:pos="1894"/>
      </w:tabs>
    </w:pPr>
    <w:r w:rsidRPr="00D55628">
      <w:rPr>
        <w:noProof/>
      </w:rPr>
      <w:t xml:space="preserve"> </w:t>
    </w:r>
    <w:r w:rsidR="00205841">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595144"/>
      <w:docPartObj>
        <w:docPartGallery w:val="Page Numbers (Bottom of Page)"/>
        <w:docPartUnique/>
      </w:docPartObj>
    </w:sdtPr>
    <w:sdtEndPr/>
    <w:sdtContent>
      <w:sdt>
        <w:sdtPr>
          <w:id w:val="-1570262898"/>
          <w:docPartObj>
            <w:docPartGallery w:val="Page Numbers (Top of Page)"/>
            <w:docPartUnique/>
          </w:docPartObj>
        </w:sdtPr>
        <w:sdtEndPr/>
        <w:sdtContent>
          <w:p w:rsidR="003D025A" w:rsidRDefault="003D025A" w:rsidP="003D025A">
            <w:pPr>
              <w:pStyle w:val="CaptionImageorFigure"/>
            </w:pPr>
            <w:r>
              <w:t xml:space="preserve">Page </w:t>
            </w:r>
            <w:r>
              <w:rPr>
                <w:sz w:val="24"/>
                <w:szCs w:val="24"/>
              </w:rPr>
              <w:fldChar w:fldCharType="begin"/>
            </w:r>
            <w:r>
              <w:instrText xml:space="preserve"> PAGE </w:instrText>
            </w:r>
            <w:r>
              <w:rPr>
                <w:sz w:val="24"/>
                <w:szCs w:val="24"/>
              </w:rPr>
              <w:fldChar w:fldCharType="separate"/>
            </w:r>
            <w:r w:rsidR="008E4114">
              <w:rPr>
                <w:noProof/>
              </w:rPr>
              <w:t>5</w:t>
            </w:r>
            <w:r>
              <w:rPr>
                <w:sz w:val="24"/>
                <w:szCs w:val="24"/>
              </w:rPr>
              <w:fldChar w:fldCharType="end"/>
            </w:r>
            <w:r>
              <w:t xml:space="preserve"> of </w:t>
            </w:r>
            <w:fldSimple w:instr=" NUMPAGES  ">
              <w:r w:rsidR="008E4114">
                <w:rPr>
                  <w:noProof/>
                </w:rPr>
                <w:t>5</w:t>
              </w:r>
            </w:fldSimple>
          </w:p>
        </w:sdtContent>
      </w:sdt>
    </w:sdtContent>
  </w:sdt>
  <w:p w:rsidR="00A209C4" w:rsidRDefault="00A209C4" w:rsidP="00213C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23E93C81" wp14:editId="45C2F95B">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6"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3E4DF63" wp14:editId="5E5AD62B">
          <wp:simplePos x="0" y="0"/>
          <wp:positionH relativeFrom="page">
            <wp:align>right</wp:align>
          </wp:positionH>
          <wp:positionV relativeFrom="page">
            <wp:align>bottom</wp:align>
          </wp:positionV>
          <wp:extent cx="2422800" cy="108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4C" w:rsidRPr="008F5280" w:rsidRDefault="006B384C" w:rsidP="008F5280">
      <w:pPr>
        <w:pStyle w:val="FootnoteSeparator"/>
      </w:pPr>
    </w:p>
    <w:p w:rsidR="006B384C" w:rsidRDefault="006B384C"/>
  </w:footnote>
  <w:footnote w:type="continuationSeparator" w:id="0">
    <w:p w:rsidR="006B384C" w:rsidRDefault="006B384C" w:rsidP="008F5280">
      <w:pPr>
        <w:pStyle w:val="FootnoteSeparator"/>
      </w:pPr>
    </w:p>
    <w:p w:rsidR="006B384C" w:rsidRDefault="006B384C"/>
    <w:p w:rsidR="006B384C" w:rsidRDefault="006B384C"/>
  </w:footnote>
  <w:footnote w:type="continuationNotice" w:id="1">
    <w:p w:rsidR="006B384C" w:rsidRDefault="006B384C" w:rsidP="00D55628"/>
    <w:p w:rsidR="006B384C" w:rsidRDefault="006B384C"/>
    <w:p w:rsidR="006B384C" w:rsidRDefault="006B38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5757B8" w:rsidRDefault="00580CFC" w:rsidP="005757B8">
          <w:pPr>
            <w:pStyle w:val="Header"/>
            <w:rPr>
              <w:sz w:val="32"/>
              <w:szCs w:val="32"/>
            </w:rPr>
          </w:pPr>
          <w:fldSimple w:instr=" STYLEREF  Title  \* MERGEFORMAT ">
            <w:r w:rsidR="008E4114">
              <w:rPr>
                <w:noProof/>
              </w:rPr>
              <w:t>Land Use Victoria</w:t>
            </w:r>
            <w:r w:rsidR="008E4114" w:rsidRPr="008E4114">
              <w:rPr>
                <w:b w:val="0"/>
                <w:noProof/>
                <w:sz w:val="32"/>
                <w:szCs w:val="32"/>
              </w:rPr>
              <w:br/>
              <w:t>Customer Information Bulletin 163, March 2017</w:t>
            </w:r>
          </w:fldSimple>
        </w:p>
      </w:tc>
    </w:tr>
  </w:tbl>
  <w:p w:rsidR="00A209C4" w:rsidRPr="00E97294" w:rsidRDefault="00373555" w:rsidP="00435833">
    <w:pPr>
      <w:pStyle w:val="Header"/>
    </w:pPr>
    <w:r>
      <w:rPr>
        <w:noProof/>
      </w:rPr>
      <mc:AlternateContent>
        <mc:Choice Requires="wpg">
          <w:drawing>
            <wp:anchor distT="0" distB="0" distL="114300" distR="114300" simplePos="0" relativeHeight="251678720" behindDoc="1" locked="0" layoutInCell="1" allowOverlap="1" wp14:anchorId="01D46059" wp14:editId="4B80EE27">
              <wp:simplePos x="0" y="0"/>
              <wp:positionH relativeFrom="page">
                <wp:posOffset>285750</wp:posOffset>
              </wp:positionH>
              <wp:positionV relativeFrom="page">
                <wp:posOffset>285750</wp:posOffset>
              </wp:positionV>
              <wp:extent cx="7020000" cy="900000"/>
              <wp:effectExtent l="0" t="0" r="9525" b="0"/>
              <wp:wrapNone/>
              <wp:docPr id="21" name="Group 21"/>
              <wp:cNvGraphicFramePr/>
              <a:graphic xmlns:a="http://schemas.openxmlformats.org/drawingml/2006/main">
                <a:graphicData uri="http://schemas.microsoft.com/office/word/2010/wordprocessingGroup">
                  <wpg:wgp>
                    <wpg:cNvGrpSpPr/>
                    <wpg:grpSpPr>
                      <a:xfrm>
                        <a:off x="0" y="0"/>
                        <a:ext cx="7020000" cy="900000"/>
                        <a:chOff x="0" y="0"/>
                        <a:chExt cx="7020000" cy="900000"/>
                      </a:xfrm>
                    </wpg:grpSpPr>
                    <wps:wsp>
                      <wps:cNvPr id="59"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58"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56"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id="Group 21" o:spid="_x0000_s1026" style="position:absolute;margin-left:22.5pt;margin-top:22.5pt;width:552.75pt;height:70.85pt;z-index:-251637760;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">
              <v:rect id="Rectangle" o:spid="_x0000_s1027" style="position:absolute;width:70200;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9j8QA&#10;AADbAAAADwAAAGRycy9kb3ducmV2LnhtbESPQWvCQBSE74L/YXmF3nTTQotGVwlCqdiDGAv1+Mw+&#10;syHZtyG7xvTfdwuCx2FmvmGW68E2oqfOV44VvEwTEMSF0xWXCr6PH5MZCB+QNTaOScEveVivxqMl&#10;ptrd+EB9HkoRIexTVGBCaFMpfWHIop+6ljh6F9dZDFF2pdQd3iLcNvI1Sd6lxYrjgsGWNoaKOr9a&#10;BdtTFj535+vO/WSHOv8y+76u90o9Pw3ZAkSgITzC9/ZWK3ibw/+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PY/EAAAA2wAAAA8AAAAAAAAAAAAAAAAAmAIAAGRycy9k&#10;b3ducmV2LnhtbFBLBQYAAAAABAAEAPUAAACJAwAAAAA=&#10;" fillcolor="#00b2a9 [3204]" stroked="f"/>
              <v:shape id="TriangleLeft" o:spid="_x0000_s1028" style="position:absolute;width:8640;height:9000;visibility:visible;mso-wrap-style:square;v-text-anchor:top" coordsize="1334,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q8MA&#10;AADbAAAADwAAAGRycy9kb3ducmV2LnhtbERP3WrCMBS+F/YO4Qx2IzPdYG50xrLKBtULQbcHODTH&#10;tpqclCa2nU9vLgQvP77/RTZaI3rqfONYwcssAUFcOt1wpeDv9+f5A4QPyBqNY1LwTx6y5cNkgal2&#10;A++o34dKxBD2KSqoQ2hTKX1Zk0U/cy1x5A6usxgi7CqpOxxiuDXyNUnm0mLDsaHGllY1laf92SrY&#10;mtxMd8XqjJd8837cHk7r4fit1NPj+PUJItAY7uKbu9AK3uLY+C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Xq8MAAADbAAAADwAAAAAAAAAAAAAAAACYAgAAZHJzL2Rv&#10;d25yZXYueG1sUEsFBgAAAAAEAAQA9QAAAIgDA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NHcQA&#10;AADbAAAADwAAAGRycy9kb3ducmV2LnhtbESPQWvCQBSE74L/YXlCb7qxpaIxGxGhaSleYgSvj+xr&#10;Epp9G7LbJO2v7xYKHoeZ+YZJDpNpxUC9aywrWK8iEMSl1Q1XCq7Fy3ILwnlkja1lUvBNDg7pfJZg&#10;rO3IOQ0XX4kAYRejgtr7LpbSlTUZdCvbEQfvw/YGfZB9JXWPY4CbVj5G0UYabDgs1NjRqaby8/Jl&#10;FPzk2VTI85C/nndZU/j10/uAN6UeFtNxD8LT5O/h//abVvC8gb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zR3EAAAA2wAAAA8AAAAAAAAAAAAAAAAAmAIAAGRycy9k&#10;b3ducmV2LnhtbFBLBQYAAAAABAAEAPUAAACJAwAAAAA=&#10;" path="m1339,1419l669,,,1419r1339,xe" fillcolor="#201547 [3206]" stroked="f">
                <v:path arrowok="t" o:connecttype="custom" o:connectlocs="864000,900000;431677,0;0,900000;864000,900000" o:connectangles="0,0,0,0"/>
              </v:shape>
              <w10:wrap anchorx="page" anchory="page"/>
            </v:group>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55" w:rsidRDefault="00373555" w:rsidP="00373555">
    <w:pPr>
      <w:pStyle w:val="Header"/>
    </w:pPr>
    <w:r w:rsidRPr="00373555">
      <w:rPr>
        <w:b w:val="0"/>
        <w:noProof/>
      </w:rPr>
      <mc:AlternateContent>
        <mc:Choice Requires="wpg">
          <w:drawing>
            <wp:anchor distT="0" distB="0" distL="114300" distR="114300" simplePos="0" relativeHeight="251680768" behindDoc="1" locked="0" layoutInCell="1" allowOverlap="1" wp14:anchorId="430F0810" wp14:editId="32B528B4">
              <wp:simplePos x="0" y="0"/>
              <wp:positionH relativeFrom="page">
                <wp:posOffset>285750</wp:posOffset>
              </wp:positionH>
              <wp:positionV relativeFrom="page">
                <wp:posOffset>295275</wp:posOffset>
              </wp:positionV>
              <wp:extent cx="7019925" cy="899795"/>
              <wp:effectExtent l="0" t="0" r="9525" b="0"/>
              <wp:wrapNone/>
              <wp:docPr id="22" name="Group 22"/>
              <wp:cNvGraphicFramePr/>
              <a:graphic xmlns:a="http://schemas.openxmlformats.org/drawingml/2006/main">
                <a:graphicData uri="http://schemas.microsoft.com/office/word/2010/wordprocessingGroup">
                  <wpg:wgp>
                    <wpg:cNvGrpSpPr/>
                    <wpg:grpSpPr>
                      <a:xfrm>
                        <a:off x="0" y="0"/>
                        <a:ext cx="7019925" cy="899795"/>
                        <a:chOff x="0" y="0"/>
                        <a:chExt cx="7020000" cy="900000"/>
                      </a:xfrm>
                    </wpg:grpSpPr>
                    <wps:wsp>
                      <wps:cNvPr id="23"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24"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25"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id="Group 22" o:spid="_x0000_s1026" style="position:absolute;margin-left:22.5pt;margin-top:23.25pt;width:552.75pt;height:70.85pt;z-index:-251635712;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">
              <v:rect id="Rectangle" o:spid="_x0000_s1027" style="position:absolute;width:70200;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55GMQA&#10;AADbAAAADwAAAGRycy9kb3ducmV2LnhtbESPQWvCQBSE7wX/w/IEb3VThVKiq4SCKHoQo6DH1+xr&#10;NiT7NmTXGP99t1DocZiZb5jlerCN6KnzlWMFb9MEBHHhdMWlgst58/oBwgdkjY1jUvAkD+vV6GWJ&#10;qXYPPlGfh1JECPsUFZgQ2lRKXxiy6KeuJY7et+sshii7UuoOHxFuGzlLkndpseK4YLClT0NFnd+t&#10;gt0tC9v9133vrtmpzg/m2Nf1UanJeMgWIAIN4T/8195pBbM5/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eRjEAAAA2wAAAA8AAAAAAAAAAAAAAAAAmAIAAGRycy9k&#10;b3ducmV2LnhtbFBLBQYAAAAABAAEAPUAAACJAwAAAAA=&#10;" fillcolor="#00b2a9 [3204]" stroked="f"/>
              <v:shape id="TriangleLeft" o:spid="_x0000_s1028" style="position:absolute;width:8640;height:9000;visibility:visible;mso-wrap-style:square;v-text-anchor:top" coordsize="1334,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u08UA&#10;AADbAAAADwAAAGRycy9kb3ducmV2LnhtbESP3WoCMRSE7wu+QzhCb4pmlaKyGkWlgu2F4M8DHDbH&#10;3dXkZNlEd+3TNwXBy2FmvmFmi9Yacafal44VDPoJCOLM6ZJzBafjpjcB4QOyRuOYFDzIw2LeeZth&#10;ql3De7ofQi4ihH2KCooQqlRKnxVk0fddRRy9s6sthijrXOoamwi3Rg6TZCQtlhwXCqxoXVB2Pdys&#10;gp1ZmY/9dn3D39XP+LI7X7+by5dS7912OQURqA2v8LO91QqGn/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u7TxQAAANsAAAAPAAAAAAAAAAAAAAAAAJgCAABkcnMv&#10;ZG93bnJldi54bWxQSwUGAAAAAAQABAD1AAAAigM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gF8QA&#10;AADbAAAADwAAAGRycy9kb3ducmV2LnhtbESPQWvCQBSE74X+h+UVvNVNlBaNrkGEWileYgSvj+xr&#10;NjT7NmS3MfXXdwsFj8PMfMOs89G2YqDeN44VpNMEBHHldMO1gnP59rwA4QOyxtYxKfghD/nm8WGN&#10;mXZXLmg4hVpECPsMFZgQukxKXxmy6KeuI47ep+sthij7WuoerxFuWzlLkldpseG4YLCjnaHq6/Rt&#10;FdyK/VjK41C8H5f7pgzp/GPAi1KTp3G7AhFoDPfwf/ugFcxe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IBfEAAAA2wAAAA8AAAAAAAAAAAAAAAAAmAIAAGRycy9k&#10;b3ducmV2LnhtbFBLBQYAAAAABAAEAPUAAACJAwAAAAA=&#10;" path="m1339,1419l669,,,1419r1339,xe" fillcolor="#201547 [3206]" stroked="f">
                <v:path arrowok="t" o:connecttype="custom" o:connectlocs="864000,900000;431677,0;0,900000;864000,900000" o:connectangles="0,0,0,0"/>
              </v:shape>
              <w10:wrap anchorx="page" anchory="page"/>
            </v:group>
          </w:pict>
        </mc:Fallback>
      </mc:AlternateContent>
    </w:r>
  </w:p>
  <w:p w:rsidR="00E96AF3" w:rsidRPr="00373555" w:rsidRDefault="00580CFC" w:rsidP="00373555">
    <w:pPr>
      <w:pStyle w:val="Header"/>
      <w:rPr>
        <w:b w:val="0"/>
      </w:rPr>
    </w:pPr>
    <w:fldSimple w:instr=" STYLEREF  Title  \* MERGEFORMAT ">
      <w:r w:rsidR="008E4114">
        <w:rPr>
          <w:noProof/>
        </w:rPr>
        <w:t>Land Use Victoria</w:t>
      </w:r>
      <w:r w:rsidR="008E4114" w:rsidRPr="008E4114">
        <w:rPr>
          <w:b w:val="0"/>
          <w:noProof/>
          <w:sz w:val="32"/>
          <w:szCs w:val="32"/>
        </w:rPr>
        <w:br/>
        <w:t>Customer Information Bulletin 163, March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BC5437" w:rsidP="00E97294">
    <w:pPr>
      <w:pStyle w:val="Header"/>
    </w:pPr>
    <w:r w:rsidRPr="00806AB6">
      <w:rPr>
        <w:noProof/>
      </w:rPr>
      <mc:AlternateContent>
        <mc:Choice Requires="wps">
          <w:drawing>
            <wp:anchor distT="0" distB="0" distL="114300" distR="114300" simplePos="0" relativeHeight="251645952" behindDoc="1" locked="0" layoutInCell="1" allowOverlap="1" wp14:anchorId="0BCE5589" wp14:editId="05B42FCE">
              <wp:simplePos x="0" y="0"/>
              <wp:positionH relativeFrom="page">
                <wp:posOffset>205105</wp:posOffset>
              </wp:positionH>
              <wp:positionV relativeFrom="page">
                <wp:posOffset>288290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16.15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" fillcolor="#00b2a9 [3204]" stroked="f">
              <w10:wrap anchorx="page" anchory="page"/>
            </v:rect>
          </w:pict>
        </mc:Fallback>
      </mc:AlternateContent>
    </w:r>
    <w:r w:rsidR="00A209C4" w:rsidRPr="00806AB6">
      <w:rPr>
        <w:noProof/>
      </w:rPr>
      <mc:AlternateContent>
        <mc:Choice Requires="wps">
          <w:drawing>
            <wp:anchor distT="0" distB="0" distL="114300" distR="114300" simplePos="0" relativeHeight="251654144" behindDoc="1" locked="0" layoutInCell="1" allowOverlap="1" wp14:anchorId="6C9AACCD" wp14:editId="04E432C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8240" behindDoc="1" locked="0" layoutInCell="1" allowOverlap="1" wp14:anchorId="417DC5C1" wp14:editId="11184A7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0048" behindDoc="1" locked="0" layoutInCell="1" allowOverlap="1" wp14:anchorId="6BEC95E8" wp14:editId="6E3FE2B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52AC225C"/>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6F21B87"/>
    <w:multiLevelType w:val="hybridMultilevel"/>
    <w:tmpl w:val="3DFC4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51215"/>
    <w:multiLevelType w:val="multilevel"/>
    <w:tmpl w:val="0F58F6A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nsid w:val="0EC96280"/>
    <w:multiLevelType w:val="hybridMultilevel"/>
    <w:tmpl w:val="08A85FA2"/>
    <w:lvl w:ilvl="0" w:tplc="57B64B38">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nsid w:val="12272278"/>
    <w:multiLevelType w:val="hybridMultilevel"/>
    <w:tmpl w:val="11E60514"/>
    <w:lvl w:ilvl="0" w:tplc="EBD62A0A">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C154AC"/>
    <w:multiLevelType w:val="hybridMultilevel"/>
    <w:tmpl w:val="2E283F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nsid w:val="1B8570FE"/>
    <w:multiLevelType w:val="hybridMultilevel"/>
    <w:tmpl w:val="07C8F5D4"/>
    <w:lvl w:ilvl="0" w:tplc="D904031A">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6C5584"/>
    <w:multiLevelType w:val="hybridMultilevel"/>
    <w:tmpl w:val="FAA2C79C"/>
    <w:lvl w:ilvl="0" w:tplc="3B9E73F0">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nsid w:val="211E3977"/>
    <w:multiLevelType w:val="hybridMultilevel"/>
    <w:tmpl w:val="86C8455C"/>
    <w:lvl w:ilvl="0" w:tplc="845E918C">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59C64B4"/>
    <w:multiLevelType w:val="hybridMultilevel"/>
    <w:tmpl w:val="C888B3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39A65E05"/>
    <w:multiLevelType w:val="hybridMultilevel"/>
    <w:tmpl w:val="5B92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B156418"/>
    <w:multiLevelType w:val="hybridMultilevel"/>
    <w:tmpl w:val="6050718E"/>
    <w:lvl w:ilvl="0" w:tplc="B8CC0412">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E2A018A"/>
    <w:multiLevelType w:val="hybridMultilevel"/>
    <w:tmpl w:val="7604D52A"/>
    <w:lvl w:ilvl="0" w:tplc="0AAA9062">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CAD5245"/>
    <w:multiLevelType w:val="hybridMultilevel"/>
    <w:tmpl w:val="CD7E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545EC4"/>
    <w:multiLevelType w:val="multilevel"/>
    <w:tmpl w:val="20C0E4E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nsid w:val="56D626AB"/>
    <w:multiLevelType w:val="hybridMultilevel"/>
    <w:tmpl w:val="4AF071C0"/>
    <w:lvl w:ilvl="0" w:tplc="6E1207BA">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C4322F"/>
    <w:multiLevelType w:val="hybridMultilevel"/>
    <w:tmpl w:val="C5943260"/>
    <w:lvl w:ilvl="0" w:tplc="A2E81EB6">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nsid w:val="5F481CE8"/>
    <w:multiLevelType w:val="hybridMultilevel"/>
    <w:tmpl w:val="433E210E"/>
    <w:lvl w:ilvl="0" w:tplc="50985720">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8E4A49"/>
    <w:multiLevelType w:val="hybridMultilevel"/>
    <w:tmpl w:val="49E44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2">
    <w:nsid w:val="6CBC458E"/>
    <w:multiLevelType w:val="hybridMultilevel"/>
    <w:tmpl w:val="E1AC3C38"/>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5">
    <w:nsid w:val="765851FF"/>
    <w:multiLevelType w:val="hybridMultilevel"/>
    <w:tmpl w:val="C28883F4"/>
    <w:lvl w:ilvl="0" w:tplc="8A2C19BE">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nsid w:val="79CF467B"/>
    <w:multiLevelType w:val="hybridMultilevel"/>
    <w:tmpl w:val="6F92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8E30FB"/>
    <w:multiLevelType w:val="hybridMultilevel"/>
    <w:tmpl w:val="783E5520"/>
    <w:lvl w:ilvl="0" w:tplc="414A3830">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28"/>
  </w:num>
  <w:num w:numId="4">
    <w:abstractNumId w:val="36"/>
  </w:num>
  <w:num w:numId="5">
    <w:abstractNumId w:val="13"/>
  </w:num>
  <w:num w:numId="6">
    <w:abstractNumId w:val="5"/>
  </w:num>
  <w:num w:numId="7">
    <w:abstractNumId w:val="3"/>
  </w:num>
  <w:num w:numId="8">
    <w:abstractNumId w:val="0"/>
  </w:num>
  <w:num w:numId="9">
    <w:abstractNumId w:val="34"/>
  </w:num>
  <w:num w:numId="10">
    <w:abstractNumId w:val="8"/>
  </w:num>
  <w:num w:numId="11">
    <w:abstractNumId w:val="15"/>
  </w:num>
  <w:num w:numId="12">
    <w:abstractNumId w:val="11"/>
  </w:num>
  <w:num w:numId="13">
    <w:abstractNumId w:val="21"/>
  </w:num>
  <w:num w:numId="14">
    <w:abstractNumId w:val="23"/>
  </w:num>
  <w:num w:numId="15">
    <w:abstractNumId w:val="2"/>
  </w:num>
  <w:num w:numId="16">
    <w:abstractNumId w:val="32"/>
  </w:num>
  <w:num w:numId="17">
    <w:abstractNumId w:val="1"/>
  </w:num>
  <w:num w:numId="18">
    <w:abstractNumId w:val="16"/>
  </w:num>
  <w:num w:numId="19">
    <w:abstractNumId w:val="37"/>
  </w:num>
  <w:num w:numId="20">
    <w:abstractNumId w:val="30"/>
  </w:num>
  <w:num w:numId="21">
    <w:abstractNumId w:val="14"/>
  </w:num>
  <w:num w:numId="22">
    <w:abstractNumId w:val="7"/>
  </w:num>
  <w:num w:numId="23">
    <w:abstractNumId w:val="22"/>
  </w:num>
  <w:num w:numId="24">
    <w:abstractNumId w:val="35"/>
  </w:num>
  <w:num w:numId="25">
    <w:abstractNumId w:val="27"/>
  </w:num>
  <w:num w:numId="26">
    <w:abstractNumId w:val="6"/>
  </w:num>
  <w:num w:numId="27">
    <w:abstractNumId w:val="38"/>
  </w:num>
  <w:num w:numId="28">
    <w:abstractNumId w:val="20"/>
  </w:num>
  <w:num w:numId="29">
    <w:abstractNumId w:val="12"/>
  </w:num>
  <w:num w:numId="30">
    <w:abstractNumId w:val="29"/>
  </w:num>
  <w:num w:numId="31">
    <w:abstractNumId w:val="18"/>
  </w:num>
  <w:num w:numId="32">
    <w:abstractNumId w:val="9"/>
  </w:num>
  <w:num w:numId="33">
    <w:abstractNumId w:val="26"/>
  </w:num>
  <w:num w:numId="34">
    <w:abstractNumId w:val="10"/>
  </w:num>
  <w:num w:numId="35">
    <w:abstractNumId w:val="4"/>
  </w:num>
  <w:num w:numId="36">
    <w:abstractNumId w:val="3"/>
  </w:num>
  <w:num w:numId="37">
    <w:abstractNumId w:val="3"/>
  </w:num>
  <w:num w:numId="38">
    <w:abstractNumId w:val="3"/>
  </w:num>
  <w:num w:numId="39">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8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01F0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196"/>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D5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72"/>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3E4"/>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7B8"/>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AB"/>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F89"/>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F1"/>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23"/>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41"/>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6F7D"/>
    <w:rsid w:val="0025775A"/>
    <w:rsid w:val="002578D4"/>
    <w:rsid w:val="002579C1"/>
    <w:rsid w:val="002604DA"/>
    <w:rsid w:val="00260781"/>
    <w:rsid w:val="00260992"/>
    <w:rsid w:val="00260A76"/>
    <w:rsid w:val="00260FC1"/>
    <w:rsid w:val="0026107E"/>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6B6"/>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555"/>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9E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25A"/>
    <w:rsid w:val="003D0360"/>
    <w:rsid w:val="003D0CA7"/>
    <w:rsid w:val="003D1288"/>
    <w:rsid w:val="003D12AE"/>
    <w:rsid w:val="003D1370"/>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A28"/>
    <w:rsid w:val="00412DE8"/>
    <w:rsid w:val="00413316"/>
    <w:rsid w:val="004133CE"/>
    <w:rsid w:val="004134DF"/>
    <w:rsid w:val="0041360B"/>
    <w:rsid w:val="004143E5"/>
    <w:rsid w:val="0041469A"/>
    <w:rsid w:val="004146B1"/>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206"/>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4D9"/>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6A3"/>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8D6"/>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BC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B58"/>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7B8"/>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2E"/>
    <w:rsid w:val="0058016F"/>
    <w:rsid w:val="00580227"/>
    <w:rsid w:val="00580A0D"/>
    <w:rsid w:val="00580A8D"/>
    <w:rsid w:val="00580AF4"/>
    <w:rsid w:val="00580CFC"/>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6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068"/>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84C"/>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25D"/>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8D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2E35"/>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A3E"/>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826"/>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473C"/>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3D0F"/>
    <w:rsid w:val="00854775"/>
    <w:rsid w:val="00854A92"/>
    <w:rsid w:val="00854AFC"/>
    <w:rsid w:val="00854E25"/>
    <w:rsid w:val="008557D9"/>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9A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7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6BD7"/>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348"/>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23"/>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114"/>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7EA"/>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89D"/>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EC4"/>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B59"/>
    <w:rsid w:val="00A014C6"/>
    <w:rsid w:val="00A01F00"/>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0E0"/>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6DFC"/>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E69"/>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146"/>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BBB"/>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3BF"/>
    <w:rsid w:val="00BC0602"/>
    <w:rsid w:val="00BC0DC9"/>
    <w:rsid w:val="00BC0FB0"/>
    <w:rsid w:val="00BC15FC"/>
    <w:rsid w:val="00BC1BF9"/>
    <w:rsid w:val="00BC1F14"/>
    <w:rsid w:val="00BC2134"/>
    <w:rsid w:val="00BC2C8D"/>
    <w:rsid w:val="00BC3F46"/>
    <w:rsid w:val="00BC4020"/>
    <w:rsid w:val="00BC49CD"/>
    <w:rsid w:val="00BC5437"/>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4E"/>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86F"/>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ABB"/>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5A4"/>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CB9"/>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D3"/>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68B"/>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6BB"/>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671"/>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F25"/>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55A"/>
    <w:rsid w:val="00E50CB1"/>
    <w:rsid w:val="00E513DD"/>
    <w:rsid w:val="00E5145C"/>
    <w:rsid w:val="00E514AA"/>
    <w:rsid w:val="00E5164B"/>
    <w:rsid w:val="00E516F2"/>
    <w:rsid w:val="00E51759"/>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AF3"/>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813"/>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4A"/>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A31"/>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E7D36"/>
    <w:rsid w:val="00EF00BE"/>
    <w:rsid w:val="00EF0C8E"/>
    <w:rsid w:val="00EF0D1B"/>
    <w:rsid w:val="00EF0D5E"/>
    <w:rsid w:val="00EF0F35"/>
    <w:rsid w:val="00EF110A"/>
    <w:rsid w:val="00EF123C"/>
    <w:rsid w:val="00EF14F8"/>
    <w:rsid w:val="00EF1BF6"/>
    <w:rsid w:val="00EF202A"/>
    <w:rsid w:val="00EF2F0F"/>
    <w:rsid w:val="00EF3458"/>
    <w:rsid w:val="00EF373E"/>
    <w:rsid w:val="00EF3D3F"/>
    <w:rsid w:val="00EF3F56"/>
    <w:rsid w:val="00EF430B"/>
    <w:rsid w:val="00EF460B"/>
    <w:rsid w:val="00EF563F"/>
    <w:rsid w:val="00EF5823"/>
    <w:rsid w:val="00EF6341"/>
    <w:rsid w:val="00EF6562"/>
    <w:rsid w:val="00EF6618"/>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79C"/>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98A"/>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433"/>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4DC"/>
    <w:rsid w:val="00FE55DF"/>
    <w:rsid w:val="00FE5641"/>
    <w:rsid w:val="00FE5A58"/>
    <w:rsid w:val="00FE5CAA"/>
    <w:rsid w:val="00FE6915"/>
    <w:rsid w:val="00FE6E29"/>
    <w:rsid w:val="00FE72AE"/>
    <w:rsid w:val="00FE7BC4"/>
    <w:rsid w:val="00FF0A09"/>
    <w:rsid w:val="00FF0BE3"/>
    <w:rsid w:val="00FF0BF3"/>
    <w:rsid w:val="00FF0C83"/>
    <w:rsid w:val="00FF11C6"/>
    <w:rsid w:val="00FF1384"/>
    <w:rsid w:val="00FF1B34"/>
    <w:rsid w:val="00FF2495"/>
    <w:rsid w:val="00FF2AC3"/>
    <w:rsid w:val="00FF2EC4"/>
    <w:rsid w:val="00FF3625"/>
    <w:rsid w:val="00FF36AA"/>
    <w:rsid w:val="00FF3D9F"/>
    <w:rsid w:val="00FF4055"/>
    <w:rsid w:val="00FF4197"/>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15"/>
      </w:numPr>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16"/>
      </w:numPr>
      <w:tabs>
        <w:tab w:val="clear" w:pos="1080"/>
        <w:tab w:val="num" w:pos="360"/>
        <w:tab w:val="num" w:pos="567"/>
      </w:tabs>
      <w:ind w:left="1440" w:hanging="283"/>
    </w:pPr>
  </w:style>
  <w:style w:type="paragraph" w:customStyle="1" w:styleId="HA">
    <w:name w:val="_HA"/>
    <w:next w:val="Body"/>
    <w:uiPriority w:val="99"/>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HB">
    <w:name w:val="_HB"/>
    <w:next w:val="Body"/>
    <w:uiPriority w:val="2"/>
    <w:qFormat/>
    <w:rsid w:val="0081473C"/>
    <w:pPr>
      <w:spacing w:before="180" w:after="113" w:line="300" w:lineRule="atLeast"/>
      <w:outlineLvl w:val="0"/>
    </w:pPr>
    <w:rPr>
      <w:rFonts w:ascii="Calibri" w:hAnsi="Calibri"/>
      <w:b/>
      <w:color w:val="228591"/>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15"/>
      </w:numPr>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16"/>
      </w:numPr>
      <w:tabs>
        <w:tab w:val="clear" w:pos="1080"/>
        <w:tab w:val="num" w:pos="360"/>
        <w:tab w:val="num" w:pos="567"/>
      </w:tabs>
      <w:ind w:left="1440" w:hanging="283"/>
    </w:pPr>
  </w:style>
  <w:style w:type="paragraph" w:customStyle="1" w:styleId="HA">
    <w:name w:val="_HA"/>
    <w:next w:val="Body"/>
    <w:uiPriority w:val="99"/>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HB">
    <w:name w:val="_HB"/>
    <w:next w:val="Body"/>
    <w:uiPriority w:val="2"/>
    <w:qFormat/>
    <w:rsid w:val="0081473C"/>
    <w:pPr>
      <w:spacing w:before="180" w:after="113" w:line="300" w:lineRule="atLeast"/>
      <w:outlineLvl w:val="0"/>
    </w:pPr>
    <w:rPr>
      <w:rFonts w:ascii="Calibri" w:hAnsi="Calibri"/>
      <w:b/>
      <w:color w:val="228591"/>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LUV.Forms@delwp.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elwp.vic.gov.au/propert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elwp.vic.gov.au/property-forms" TargetMode="External"/><Relationship Id="rId25"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s://www.arnecc.gov.au/publications/national-mortgage" TargetMode="External"/><Relationship Id="rId20" Type="http://schemas.openxmlformats.org/officeDocument/2006/relationships/hyperlink" Target="http://www.dtpli.vic.gov.au/property-and-land-titles/contac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elayservice.com.au" TargetMode="External"/><Relationship Id="rId5" Type="http://schemas.openxmlformats.org/officeDocument/2006/relationships/settings" Target="settings.xml"/><Relationship Id="rId15" Type="http://schemas.openxmlformats.org/officeDocument/2006/relationships/hyperlink" Target="http://www.delwp.vic.gov.au/publications" TargetMode="External"/><Relationship Id="rId23" Type="http://schemas.openxmlformats.org/officeDocument/2006/relationships/hyperlink" Target="mailto:customer.service@delwp.vic.gov.au" TargetMode="External"/><Relationship Id="rId10" Type="http://schemas.openxmlformats.org/officeDocument/2006/relationships/header" Target="header2.xml"/><Relationship Id="rId19" Type="http://schemas.openxmlformats.org/officeDocument/2006/relationships/hyperlink" Target="http://www.parliament.vic.gov.au/legislatio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0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3653-CF79-4D78-B8BC-04F5F0C2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7</TotalTime>
  <Pages>6</Pages>
  <Words>2272</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Tina Osborn</dc:creator>
  <cp:lastModifiedBy>Wendy Bowran</cp:lastModifiedBy>
  <cp:revision>9</cp:revision>
  <cp:lastPrinted>2017-03-30T03:53:00Z</cp:lastPrinted>
  <dcterms:created xsi:type="dcterms:W3CDTF">2017-03-30T03:21:00Z</dcterms:created>
  <dcterms:modified xsi:type="dcterms:W3CDTF">2017-03-31T00:39:00Z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