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1FE6F4A9" w14:textId="77777777" w:rsidTr="003F46E9">
        <w:trPr>
          <w:trHeight w:hRule="exact" w:val="1418"/>
        </w:trPr>
        <w:tc>
          <w:tcPr>
            <w:tcW w:w="7761" w:type="dxa"/>
            <w:vAlign w:val="center"/>
          </w:tcPr>
          <w:p w14:paraId="1667D096" w14:textId="77777777" w:rsidR="00E9232B" w:rsidRDefault="00E9232B" w:rsidP="009B1003">
            <w:pPr>
              <w:pStyle w:val="Title"/>
            </w:pPr>
            <w:bookmarkStart w:id="0" w:name="_Hlk497466035"/>
            <w:bookmarkEnd w:id="0"/>
            <w:r>
              <w:t>Land Use Victoria</w:t>
            </w:r>
          </w:p>
          <w:p w14:paraId="27B9D9D8" w14:textId="0F7A287D" w:rsidR="009B1003" w:rsidRPr="009B1003" w:rsidRDefault="00E9232B" w:rsidP="009B1003">
            <w:pPr>
              <w:pStyle w:val="Title"/>
            </w:pPr>
            <w:r>
              <w:t xml:space="preserve"> Customer Information Bulletin 172, </w:t>
            </w:r>
            <w:r w:rsidR="00F22339">
              <w:t xml:space="preserve">November </w:t>
            </w:r>
            <w:r>
              <w:t>2017</w:t>
            </w:r>
          </w:p>
        </w:tc>
      </w:tr>
      <w:tr w:rsidR="00975ED3" w14:paraId="37843CE0" w14:textId="77777777" w:rsidTr="003F46E9">
        <w:trPr>
          <w:trHeight w:val="1247"/>
        </w:trPr>
        <w:tc>
          <w:tcPr>
            <w:tcW w:w="7761" w:type="dxa"/>
            <w:vAlign w:val="center"/>
          </w:tcPr>
          <w:p w14:paraId="7A44ABEB" w14:textId="77777777" w:rsidR="009B1003" w:rsidRPr="009B1003" w:rsidRDefault="009B1003" w:rsidP="009B1003">
            <w:pPr>
              <w:pStyle w:val="Subtitle"/>
            </w:pPr>
          </w:p>
        </w:tc>
      </w:tr>
    </w:tbl>
    <w:p w14:paraId="6720236E" w14:textId="77777777" w:rsidR="00806AB6" w:rsidRDefault="00806AB6" w:rsidP="00307C36"/>
    <w:p w14:paraId="56FC2CCB" w14:textId="77777777" w:rsidR="00806AB6" w:rsidRDefault="00806AB6" w:rsidP="00806AB6">
      <w:pPr>
        <w:pStyle w:val="BodyText"/>
        <w:sectPr w:rsidR="00806AB6" w:rsidSect="0033793B">
          <w:headerReference w:type="even" r:id="rId8"/>
          <w:headerReference w:type="default" r:id="rId9"/>
          <w:footerReference w:type="default" r:id="rId10"/>
          <w:headerReference w:type="first" r:id="rId11"/>
          <w:footerReference w:type="first" r:id="rId12"/>
          <w:pgSz w:w="11907" w:h="16840" w:code="9"/>
          <w:pgMar w:top="2211" w:right="737" w:bottom="1758" w:left="851" w:header="284" w:footer="284" w:gutter="0"/>
          <w:cols w:space="284"/>
          <w:titlePg/>
          <w:docGrid w:linePitch="360"/>
        </w:sectPr>
      </w:pPr>
    </w:p>
    <w:p w14:paraId="769605AC" w14:textId="77777777" w:rsidR="001B2678" w:rsidRDefault="001B2678" w:rsidP="001B2678">
      <w:pPr>
        <w:pStyle w:val="Heading1"/>
      </w:pPr>
      <w:bookmarkStart w:id="1" w:name="Here"/>
      <w:bookmarkEnd w:id="1"/>
      <w:r>
        <w:t xml:space="preserve">Change to nominating eCTs to electronic conveyancing transactions </w:t>
      </w:r>
    </w:p>
    <w:p w14:paraId="74648D7E" w14:textId="77777777" w:rsidR="001B2678" w:rsidRPr="00736192" w:rsidRDefault="001B2678" w:rsidP="001B2678">
      <w:pPr>
        <w:spacing w:before="100" w:beforeAutospacing="1" w:after="100" w:afterAutospacing="1" w:line="240" w:lineRule="auto"/>
        <w:outlineLvl w:val="3"/>
        <w:rPr>
          <w:rFonts w:ascii="Calibri" w:hAnsi="Calibri" w:cs="Helv"/>
          <w:sz w:val="22"/>
          <w:szCs w:val="22"/>
        </w:rPr>
      </w:pPr>
      <w:r w:rsidRPr="00736192">
        <w:rPr>
          <w:rFonts w:ascii="Calibri" w:hAnsi="Calibri" w:cs="Helv"/>
          <w:sz w:val="22"/>
          <w:szCs w:val="22"/>
        </w:rPr>
        <w:t>PEXA Ltd is introducing functionality into the PEXA system from 6 November 2017 to streamline the process for nomination of electronic Certificates of Title (eCTs).</w:t>
      </w:r>
    </w:p>
    <w:p w14:paraId="50951E46" w14:textId="77777777" w:rsidR="001B2678" w:rsidRPr="00736192" w:rsidRDefault="001B2678" w:rsidP="001B2678">
      <w:pPr>
        <w:spacing w:before="100" w:beforeAutospacing="1" w:after="100" w:afterAutospacing="1" w:line="240" w:lineRule="auto"/>
        <w:outlineLvl w:val="3"/>
        <w:rPr>
          <w:rFonts w:ascii="Calibri" w:hAnsi="Calibri" w:cs="Helv"/>
          <w:sz w:val="22"/>
          <w:szCs w:val="22"/>
        </w:rPr>
      </w:pPr>
      <w:r w:rsidRPr="00736192">
        <w:rPr>
          <w:rFonts w:ascii="Calibri" w:hAnsi="Calibri" w:cs="Helv"/>
          <w:sz w:val="22"/>
          <w:szCs w:val="22"/>
        </w:rPr>
        <w:t>Subscribers with control of the eCT (the eCT Control) and who have signed an instrument in an electronic transaction can lodge their instruments without the need for a nomination (Administrative Notice).  Land Use Victoria will accept lodgment of these transactions provided the supporting eCT has not been nominated to another lodgment case or paper instrument.  For example, a nomination will be optional for a refinance transaction when ABC Bank Ltd is eCT Control and ABC Bank Ltd is signing the Discharge of Mortgage.</w:t>
      </w:r>
    </w:p>
    <w:p w14:paraId="03B734E1" w14:textId="77777777" w:rsidR="001B2678" w:rsidRPr="00736192" w:rsidRDefault="001B2678" w:rsidP="001B2678">
      <w:pPr>
        <w:spacing w:before="100" w:beforeAutospacing="1" w:after="100" w:afterAutospacing="1" w:line="240" w:lineRule="auto"/>
        <w:outlineLvl w:val="3"/>
        <w:rPr>
          <w:rFonts w:ascii="Calibri" w:hAnsi="Calibri" w:cs="Helv"/>
          <w:sz w:val="22"/>
          <w:szCs w:val="22"/>
        </w:rPr>
      </w:pPr>
      <w:r w:rsidRPr="00736192">
        <w:rPr>
          <w:rFonts w:ascii="Calibri" w:hAnsi="Calibri" w:cs="Helv"/>
          <w:sz w:val="22"/>
          <w:szCs w:val="22"/>
        </w:rPr>
        <w:t xml:space="preserve"> In all other cases, an Administrative Notice will need to be completed to nominate a supporting eCT.</w:t>
      </w:r>
    </w:p>
    <w:p w14:paraId="2674603A" w14:textId="77777777" w:rsidR="001B2678" w:rsidRDefault="001B2678" w:rsidP="001B2678">
      <w:pPr>
        <w:spacing w:before="100" w:beforeAutospacing="1" w:after="100" w:afterAutospacing="1" w:line="240" w:lineRule="auto"/>
        <w:outlineLvl w:val="3"/>
        <w:rPr>
          <w:rFonts w:ascii="Calibri" w:hAnsi="Calibri" w:cs="Helv"/>
          <w:sz w:val="22"/>
          <w:szCs w:val="22"/>
        </w:rPr>
      </w:pPr>
      <w:r w:rsidRPr="00736192">
        <w:rPr>
          <w:rFonts w:ascii="Calibri" w:hAnsi="Calibri" w:cs="Helv"/>
          <w:sz w:val="22"/>
          <w:szCs w:val="22"/>
        </w:rPr>
        <w:t>Nominations are still required for all paper transactions.</w:t>
      </w:r>
    </w:p>
    <w:p w14:paraId="42F45A38" w14:textId="1FF9DB46" w:rsidR="00E9232B" w:rsidRPr="00FB75E3" w:rsidRDefault="00E9232B" w:rsidP="00E9232B">
      <w:pPr>
        <w:pStyle w:val="Heading1"/>
      </w:pPr>
      <w:r w:rsidRPr="00FB75E3">
        <w:t xml:space="preserve">Important dates for </w:t>
      </w:r>
      <w:r>
        <w:t xml:space="preserve">electronic and </w:t>
      </w:r>
      <w:r w:rsidRPr="00FB75E3">
        <w:t xml:space="preserve">paper </w:t>
      </w:r>
      <w:r>
        <w:t>transactions</w:t>
      </w:r>
    </w:p>
    <w:p w14:paraId="3335EB64" w14:textId="23B8190D" w:rsidR="00E9232B" w:rsidRPr="00736192" w:rsidRDefault="00E9232B" w:rsidP="00E9232B">
      <w:pPr>
        <w:autoSpaceDE w:val="0"/>
        <w:autoSpaceDN w:val="0"/>
        <w:adjustRightInd w:val="0"/>
        <w:spacing w:after="120" w:line="240" w:lineRule="auto"/>
        <w:rPr>
          <w:rFonts w:ascii="Calibri" w:hAnsi="Calibri" w:cs="Helv"/>
          <w:sz w:val="22"/>
          <w:szCs w:val="22"/>
        </w:rPr>
      </w:pPr>
      <w:r w:rsidRPr="00736192">
        <w:rPr>
          <w:rFonts w:ascii="Calibri" w:hAnsi="Calibri" w:cs="Helv"/>
          <w:sz w:val="22"/>
          <w:szCs w:val="22"/>
        </w:rPr>
        <w:t xml:space="preserve"> Customers are reminded of significant dates fast approaching:</w:t>
      </w:r>
    </w:p>
    <w:p w14:paraId="3694207D" w14:textId="77777777" w:rsidR="00E9232B" w:rsidRPr="00736192" w:rsidRDefault="00E9232B" w:rsidP="00E9232B">
      <w:pPr>
        <w:autoSpaceDE w:val="0"/>
        <w:autoSpaceDN w:val="0"/>
        <w:adjustRightInd w:val="0"/>
        <w:spacing w:after="120" w:line="240" w:lineRule="auto"/>
        <w:rPr>
          <w:rFonts w:ascii="Arial" w:hAnsi="Arial"/>
          <w:b/>
          <w:bCs/>
          <w:sz w:val="22"/>
          <w:szCs w:val="22"/>
        </w:rPr>
      </w:pPr>
      <w:r w:rsidRPr="00736192">
        <w:rPr>
          <w:rFonts w:ascii="Arial" w:hAnsi="Arial"/>
          <w:b/>
          <w:bCs/>
          <w:sz w:val="22"/>
          <w:szCs w:val="22"/>
        </w:rPr>
        <w:t>1 December 2017</w:t>
      </w:r>
    </w:p>
    <w:p w14:paraId="6BAF27FC" w14:textId="1169A1A7" w:rsidR="00E9232B" w:rsidRPr="00736192" w:rsidRDefault="00E9232B" w:rsidP="00E9232B">
      <w:pPr>
        <w:numPr>
          <w:ilvl w:val="0"/>
          <w:numId w:val="43"/>
        </w:numPr>
        <w:autoSpaceDE w:val="0"/>
        <w:autoSpaceDN w:val="0"/>
        <w:adjustRightInd w:val="0"/>
        <w:spacing w:after="120" w:line="240" w:lineRule="auto"/>
        <w:rPr>
          <w:rFonts w:ascii="Calibri" w:hAnsi="Calibri" w:cs="Helv"/>
          <w:sz w:val="22"/>
          <w:szCs w:val="22"/>
        </w:rPr>
      </w:pPr>
      <w:r w:rsidRPr="00736192">
        <w:rPr>
          <w:rFonts w:ascii="Calibri" w:hAnsi="Calibri" w:cs="Helv"/>
          <w:sz w:val="22"/>
          <w:szCs w:val="22"/>
        </w:rPr>
        <w:t>All standalone caveats and withdrawals of caveat signed on or after 1 December 2017 must be lodged using the Electronic Lodgment Network (PEXA).  This requirement applies to conveyancers and lawyers acting for a party or for themselves and PEXA subscribers.</w:t>
      </w:r>
    </w:p>
    <w:p w14:paraId="399DE0D0" w14:textId="77777777" w:rsidR="00E9232B" w:rsidRPr="00736192" w:rsidRDefault="00E9232B" w:rsidP="00E9232B">
      <w:pPr>
        <w:numPr>
          <w:ilvl w:val="0"/>
          <w:numId w:val="43"/>
        </w:numPr>
        <w:autoSpaceDE w:val="0"/>
        <w:autoSpaceDN w:val="0"/>
        <w:adjustRightInd w:val="0"/>
        <w:spacing w:after="120" w:line="240" w:lineRule="auto"/>
        <w:rPr>
          <w:rFonts w:ascii="Calibri" w:hAnsi="Calibri" w:cs="Helv"/>
          <w:sz w:val="22"/>
          <w:szCs w:val="22"/>
        </w:rPr>
      </w:pPr>
      <w:r w:rsidRPr="00736192">
        <w:rPr>
          <w:rFonts w:ascii="Calibri" w:hAnsi="Calibri" w:cs="Helv"/>
          <w:sz w:val="22"/>
          <w:szCs w:val="22"/>
        </w:rPr>
        <w:t>Non-authorised deposit-taking institutions (ADIs) standalone discharges of mortgage, standalone mortgages and refinance transactions (discharge of mortgage and mortgage) signed on or after 1 December 2017 must be lodged using the Electronic Lodgment Network (PEXA).  This requirement applies to conveyancers and lawyers acting for a non-ADI and non-ADIs who are PEXA subscribers.</w:t>
      </w:r>
    </w:p>
    <w:p w14:paraId="78C6658C" w14:textId="77777777" w:rsidR="00E9232B" w:rsidRPr="00736192" w:rsidRDefault="00E9232B" w:rsidP="00E9232B">
      <w:pPr>
        <w:autoSpaceDE w:val="0"/>
        <w:autoSpaceDN w:val="0"/>
        <w:adjustRightInd w:val="0"/>
        <w:spacing w:after="120" w:line="240" w:lineRule="auto"/>
        <w:rPr>
          <w:rFonts w:ascii="Arial" w:hAnsi="Arial"/>
          <w:b/>
          <w:bCs/>
          <w:sz w:val="22"/>
          <w:szCs w:val="22"/>
        </w:rPr>
      </w:pPr>
      <w:r w:rsidRPr="00736192">
        <w:rPr>
          <w:rFonts w:ascii="Arial" w:hAnsi="Arial"/>
          <w:b/>
          <w:bCs/>
          <w:sz w:val="22"/>
          <w:szCs w:val="22"/>
        </w:rPr>
        <w:t>31 December 2017</w:t>
      </w:r>
    </w:p>
    <w:p w14:paraId="6E32B1D4" w14:textId="6217BE5E" w:rsidR="00E9232B" w:rsidRPr="00736192" w:rsidRDefault="00E9232B" w:rsidP="00E9232B">
      <w:pPr>
        <w:autoSpaceDE w:val="0"/>
        <w:autoSpaceDN w:val="0"/>
        <w:adjustRightInd w:val="0"/>
        <w:spacing w:after="120" w:line="240" w:lineRule="auto"/>
        <w:rPr>
          <w:rFonts w:ascii="Calibri" w:hAnsi="Calibri" w:cs="Helv"/>
          <w:sz w:val="22"/>
          <w:szCs w:val="22"/>
        </w:rPr>
      </w:pPr>
      <w:r w:rsidRPr="00736192">
        <w:rPr>
          <w:rFonts w:ascii="Calibri" w:hAnsi="Calibri" w:cs="Helv"/>
          <w:sz w:val="22"/>
          <w:szCs w:val="22"/>
        </w:rPr>
        <w:t>The ‘transition period’ for accepting forms not containing certifications ends on 31 December 2017.  All forms signed on or after 1 January 2018 lodged for registration must be in the new form.  Where a conveyancer or lawyer represents a party in the transaction, the form must</w:t>
      </w:r>
      <w:r w:rsidR="005E0880">
        <w:rPr>
          <w:rFonts w:ascii="Calibri" w:hAnsi="Calibri" w:cs="Helv"/>
          <w:sz w:val="22"/>
          <w:szCs w:val="22"/>
        </w:rPr>
        <w:t>:</w:t>
      </w:r>
    </w:p>
    <w:p w14:paraId="29DD0987" w14:textId="77777777" w:rsidR="00E9232B" w:rsidRPr="00736192" w:rsidRDefault="00E9232B" w:rsidP="00E9232B">
      <w:pPr>
        <w:pStyle w:val="ListParagraph"/>
        <w:numPr>
          <w:ilvl w:val="0"/>
          <w:numId w:val="48"/>
        </w:numPr>
        <w:autoSpaceDE w:val="0"/>
        <w:autoSpaceDN w:val="0"/>
        <w:adjustRightInd w:val="0"/>
        <w:spacing w:after="120" w:line="240" w:lineRule="auto"/>
        <w:rPr>
          <w:rFonts w:ascii="Calibri" w:hAnsi="Calibri" w:cs="Helv"/>
          <w:sz w:val="22"/>
          <w:szCs w:val="22"/>
        </w:rPr>
      </w:pPr>
      <w:r w:rsidRPr="00736192">
        <w:rPr>
          <w:rFonts w:ascii="Calibri" w:hAnsi="Calibri" w:cs="Helv"/>
          <w:sz w:val="22"/>
          <w:szCs w:val="22"/>
        </w:rPr>
        <w:t>be signed on behalf of the party by the conveyancer or lawyer</w:t>
      </w:r>
    </w:p>
    <w:p w14:paraId="1FC34F18" w14:textId="77777777" w:rsidR="00E9232B" w:rsidRPr="00736192" w:rsidRDefault="00E9232B" w:rsidP="00E9232B">
      <w:pPr>
        <w:pStyle w:val="ListParagraph"/>
        <w:numPr>
          <w:ilvl w:val="0"/>
          <w:numId w:val="48"/>
        </w:numPr>
        <w:autoSpaceDE w:val="0"/>
        <w:autoSpaceDN w:val="0"/>
        <w:adjustRightInd w:val="0"/>
        <w:spacing w:after="120" w:line="240" w:lineRule="auto"/>
        <w:rPr>
          <w:rFonts w:ascii="Calibri" w:hAnsi="Calibri" w:cs="Helv"/>
          <w:sz w:val="22"/>
          <w:szCs w:val="22"/>
        </w:rPr>
      </w:pPr>
      <w:r w:rsidRPr="00736192">
        <w:rPr>
          <w:rFonts w:ascii="Calibri" w:hAnsi="Calibri" w:cs="Helv"/>
          <w:sz w:val="22"/>
          <w:szCs w:val="22"/>
        </w:rPr>
        <w:t>contain the certifications required by the Registrar’s requirements for paper conveyancing transactions.</w:t>
      </w:r>
    </w:p>
    <w:p w14:paraId="3D2561E6" w14:textId="3CA52F5B" w:rsidR="005E0880" w:rsidRDefault="00220DFC" w:rsidP="00E9232B">
      <w:pPr>
        <w:autoSpaceDE w:val="0"/>
        <w:autoSpaceDN w:val="0"/>
        <w:adjustRightInd w:val="0"/>
        <w:spacing w:after="120" w:line="240" w:lineRule="auto"/>
        <w:ind w:left="45"/>
        <w:rPr>
          <w:rFonts w:ascii="Calibri" w:hAnsi="Calibri" w:cs="Helv"/>
          <w:sz w:val="22"/>
          <w:szCs w:val="22"/>
        </w:rPr>
      </w:pPr>
      <w:r>
        <w:rPr>
          <w:rFonts w:ascii="Calibri" w:hAnsi="Calibri" w:cs="Helv"/>
          <w:sz w:val="22"/>
          <w:szCs w:val="22"/>
        </w:rPr>
        <w:lastRenderedPageBreak/>
        <w:t xml:space="preserve">Detailed information regarding the Registrar’s requirements for Client Authorisations and certifications </w:t>
      </w:r>
      <w:r w:rsidR="00B51388">
        <w:rPr>
          <w:rFonts w:ascii="Calibri" w:hAnsi="Calibri" w:cs="Helv"/>
          <w:sz w:val="22"/>
          <w:szCs w:val="22"/>
        </w:rPr>
        <w:t xml:space="preserve">is </w:t>
      </w:r>
      <w:r>
        <w:rPr>
          <w:rFonts w:ascii="Calibri" w:hAnsi="Calibri" w:cs="Helv"/>
          <w:sz w:val="22"/>
          <w:szCs w:val="22"/>
        </w:rPr>
        <w:t xml:space="preserve">in </w:t>
      </w:r>
      <w:r w:rsidRPr="00B51388">
        <w:rPr>
          <w:rFonts w:ascii="Calibri" w:hAnsi="Calibri" w:cs="Helv"/>
          <w:i/>
          <w:sz w:val="22"/>
          <w:szCs w:val="22"/>
        </w:rPr>
        <w:t>Customer Information Bulletin 163</w:t>
      </w:r>
      <w:r>
        <w:rPr>
          <w:rFonts w:ascii="Calibri" w:hAnsi="Calibri" w:cs="Helv"/>
          <w:sz w:val="22"/>
          <w:szCs w:val="22"/>
        </w:rPr>
        <w:t xml:space="preserve">. </w:t>
      </w:r>
    </w:p>
    <w:p w14:paraId="22BE1766" w14:textId="268AFD55" w:rsidR="00E9232B" w:rsidRPr="00736192" w:rsidRDefault="00E9232B" w:rsidP="00E9232B">
      <w:pPr>
        <w:autoSpaceDE w:val="0"/>
        <w:autoSpaceDN w:val="0"/>
        <w:adjustRightInd w:val="0"/>
        <w:spacing w:after="120" w:line="240" w:lineRule="auto"/>
        <w:ind w:left="45"/>
        <w:rPr>
          <w:rFonts w:ascii="Calibri" w:hAnsi="Calibri" w:cs="Helv"/>
          <w:sz w:val="22"/>
          <w:szCs w:val="22"/>
        </w:rPr>
      </w:pPr>
      <w:r w:rsidRPr="00736192">
        <w:rPr>
          <w:rFonts w:ascii="Calibri" w:hAnsi="Calibri" w:cs="Helv"/>
          <w:sz w:val="22"/>
          <w:szCs w:val="22"/>
        </w:rPr>
        <w:t xml:space="preserve">Non-compliant forms will not be accepted. </w:t>
      </w:r>
    </w:p>
    <w:p w14:paraId="724C167F" w14:textId="29A29854" w:rsidR="00337438" w:rsidRPr="00B53B14" w:rsidRDefault="00337438" w:rsidP="00337438">
      <w:pPr>
        <w:pStyle w:val="Heading1"/>
        <w:rPr>
          <w:rFonts w:ascii="Calibri" w:hAnsi="Calibri" w:cs="Helv"/>
          <w:color w:val="363534" w:themeColor="text1"/>
        </w:rPr>
      </w:pPr>
      <w:r w:rsidRPr="008D223C">
        <w:t>Transition to 100% digital lodgment</w:t>
      </w:r>
    </w:p>
    <w:p w14:paraId="6C080D01" w14:textId="5DBA9E2A" w:rsidR="00337438" w:rsidRPr="0081473C" w:rsidRDefault="00337438" w:rsidP="00337438">
      <w:pPr>
        <w:pStyle w:val="Body"/>
        <w:rPr>
          <w:rFonts w:eastAsiaTheme="minorEastAsia"/>
        </w:rPr>
      </w:pPr>
      <w:r>
        <w:rPr>
          <w:rFonts w:eastAsiaTheme="minorEastAsia"/>
        </w:rPr>
        <w:t xml:space="preserve">The following sets out all the requirements and timelines for </w:t>
      </w:r>
      <w:r w:rsidRPr="0081473C">
        <w:rPr>
          <w:rFonts w:eastAsiaTheme="minorEastAsia"/>
        </w:rPr>
        <w:t xml:space="preserve">transitioning to 100% digital lodgment. </w:t>
      </w:r>
    </w:p>
    <w:p w14:paraId="0BE7DDC5" w14:textId="77777777" w:rsidR="00337438" w:rsidRDefault="00337438" w:rsidP="00337438">
      <w:pPr>
        <w:pStyle w:val="Heading2"/>
        <w:numPr>
          <w:ilvl w:val="1"/>
          <w:numId w:val="0"/>
        </w:numPr>
      </w:pPr>
      <w:r>
        <w:t>2017</w:t>
      </w:r>
    </w:p>
    <w:p w14:paraId="59339286" w14:textId="77777777" w:rsidR="00337438" w:rsidRPr="00422B97" w:rsidRDefault="00337438" w:rsidP="00337438">
      <w:pPr>
        <w:pStyle w:val="Bullet"/>
        <w:numPr>
          <w:ilvl w:val="0"/>
          <w:numId w:val="0"/>
        </w:numPr>
        <w:rPr>
          <w:rFonts w:eastAsia="Calibri"/>
          <w:b/>
        </w:rPr>
      </w:pPr>
      <w:r w:rsidRPr="00422B97">
        <w:rPr>
          <w:rFonts w:eastAsia="Calibri"/>
          <w:b/>
        </w:rPr>
        <w:t xml:space="preserve">November </w:t>
      </w:r>
    </w:p>
    <w:p w14:paraId="2A891538" w14:textId="051C39D1" w:rsidR="00337438" w:rsidRPr="00B160E1" w:rsidRDefault="00337438" w:rsidP="00B160E1">
      <w:pPr>
        <w:pStyle w:val="ListBullet"/>
        <w:rPr>
          <w:rFonts w:eastAsia="Calibri"/>
          <w:szCs w:val="22"/>
        </w:rPr>
      </w:pPr>
      <w:r w:rsidRPr="00B160E1">
        <w:rPr>
          <w:rFonts w:ascii="Calibri" w:eastAsia="Calibri" w:hAnsi="Calibri"/>
          <w:sz w:val="22"/>
          <w:szCs w:val="22"/>
        </w:rPr>
        <w:t>Survivorship functionality will be available in PEXA.</w:t>
      </w:r>
    </w:p>
    <w:p w14:paraId="26E2C9D7" w14:textId="2B68B933" w:rsidR="00B50033" w:rsidRPr="00B160E1" w:rsidRDefault="00B50033" w:rsidP="00B160E1">
      <w:pPr>
        <w:pStyle w:val="ListBullet"/>
        <w:rPr>
          <w:rFonts w:eastAsia="Calibri"/>
          <w:szCs w:val="22"/>
        </w:rPr>
      </w:pPr>
      <w:r w:rsidRPr="00B160E1">
        <w:rPr>
          <w:rFonts w:ascii="Calibri" w:eastAsia="Calibri" w:hAnsi="Calibri"/>
          <w:sz w:val="22"/>
          <w:szCs w:val="22"/>
        </w:rPr>
        <w:t xml:space="preserve">Streamlined nomination </w:t>
      </w:r>
      <w:r w:rsidR="00B46C5A">
        <w:rPr>
          <w:rFonts w:ascii="Calibri" w:eastAsia="Calibri" w:hAnsi="Calibri"/>
          <w:sz w:val="22"/>
          <w:szCs w:val="22"/>
        </w:rPr>
        <w:t>functionality</w:t>
      </w:r>
      <w:r w:rsidRPr="00B160E1">
        <w:rPr>
          <w:rFonts w:ascii="Calibri" w:eastAsia="Calibri" w:hAnsi="Calibri"/>
          <w:sz w:val="22"/>
          <w:szCs w:val="22"/>
        </w:rPr>
        <w:t xml:space="preserve"> for </w:t>
      </w:r>
      <w:r w:rsidR="00B46C5A">
        <w:rPr>
          <w:rFonts w:ascii="Calibri" w:eastAsia="Calibri" w:hAnsi="Calibri"/>
          <w:sz w:val="22"/>
          <w:szCs w:val="22"/>
        </w:rPr>
        <w:t>electronic certificates of title (</w:t>
      </w:r>
      <w:r w:rsidRPr="00B160E1">
        <w:rPr>
          <w:rFonts w:ascii="Calibri" w:eastAsia="Calibri" w:hAnsi="Calibri"/>
          <w:sz w:val="22"/>
          <w:szCs w:val="22"/>
        </w:rPr>
        <w:t>eCTs</w:t>
      </w:r>
      <w:r w:rsidR="00B46C5A">
        <w:rPr>
          <w:rFonts w:ascii="Calibri" w:eastAsia="Calibri" w:hAnsi="Calibri"/>
          <w:sz w:val="22"/>
          <w:szCs w:val="22"/>
        </w:rPr>
        <w:t>)</w:t>
      </w:r>
      <w:r w:rsidRPr="00B160E1">
        <w:rPr>
          <w:rFonts w:ascii="Calibri" w:eastAsia="Calibri" w:hAnsi="Calibri"/>
          <w:sz w:val="22"/>
          <w:szCs w:val="22"/>
        </w:rPr>
        <w:t xml:space="preserve"> in PEXA. </w:t>
      </w:r>
    </w:p>
    <w:p w14:paraId="67FFC674" w14:textId="77777777" w:rsidR="00337438" w:rsidRPr="00422B97" w:rsidRDefault="00337438" w:rsidP="00337438">
      <w:pPr>
        <w:pStyle w:val="Bullet"/>
        <w:numPr>
          <w:ilvl w:val="0"/>
          <w:numId w:val="0"/>
        </w:numPr>
        <w:rPr>
          <w:rFonts w:eastAsia="Calibri"/>
          <w:b/>
        </w:rPr>
      </w:pPr>
      <w:r w:rsidRPr="00422B97">
        <w:rPr>
          <w:rFonts w:eastAsia="Calibri"/>
          <w:b/>
        </w:rPr>
        <w:t>1 December</w:t>
      </w:r>
    </w:p>
    <w:p w14:paraId="5A6D4A6C" w14:textId="09F254E1" w:rsidR="00337438" w:rsidRPr="00B160E1" w:rsidRDefault="00337438" w:rsidP="00B160E1">
      <w:pPr>
        <w:pStyle w:val="ListBullet"/>
        <w:rPr>
          <w:rFonts w:eastAsia="Calibri"/>
          <w:szCs w:val="22"/>
        </w:rPr>
      </w:pPr>
      <w:r w:rsidRPr="00B160E1">
        <w:rPr>
          <w:rFonts w:ascii="Calibri" w:eastAsia="Calibri" w:hAnsi="Calibri"/>
          <w:sz w:val="22"/>
          <w:szCs w:val="22"/>
        </w:rPr>
        <w:t xml:space="preserve">Standalone caveats and withdrawals of caveat to be lodged electronically. </w:t>
      </w:r>
    </w:p>
    <w:p w14:paraId="170235E7" w14:textId="12552A5F" w:rsidR="00B50033" w:rsidRPr="0044551F" w:rsidRDefault="00337438" w:rsidP="00B160E1">
      <w:pPr>
        <w:pStyle w:val="ListBullet"/>
        <w:rPr>
          <w:rFonts w:ascii="Calibri" w:eastAsia="Calibri" w:hAnsi="Calibri"/>
          <w:sz w:val="22"/>
          <w:szCs w:val="22"/>
        </w:rPr>
      </w:pPr>
      <w:r w:rsidRPr="0044551F">
        <w:rPr>
          <w:rFonts w:ascii="Calibri" w:eastAsia="Calibri" w:hAnsi="Calibri"/>
          <w:sz w:val="22"/>
          <w:szCs w:val="22"/>
        </w:rPr>
        <w:t xml:space="preserve">Non-ADI standalone discharges of mortgage, standalone mortgages and refinance transactions are to be lodged electronically. </w:t>
      </w:r>
      <w:r w:rsidR="000142CB" w:rsidRPr="0044551F">
        <w:rPr>
          <w:rFonts w:ascii="Calibri" w:eastAsia="Calibri" w:hAnsi="Calibri"/>
          <w:sz w:val="22"/>
          <w:szCs w:val="22"/>
        </w:rPr>
        <w:t xml:space="preserve"> </w:t>
      </w:r>
      <w:r w:rsidR="00B46C5A" w:rsidRPr="0044551F">
        <w:rPr>
          <w:rFonts w:ascii="Calibri" w:hAnsi="Calibri"/>
          <w:sz w:val="22"/>
          <w:szCs w:val="22"/>
        </w:rPr>
        <w:t>This requirement applies to conveyancers and lawyers acting for a non-ADI and non-ADIs who are PEXA subscribers.</w:t>
      </w:r>
    </w:p>
    <w:p w14:paraId="2BE6EC9B" w14:textId="1AD275E9" w:rsidR="00337438" w:rsidRPr="00B160E1" w:rsidRDefault="00337438" w:rsidP="00B160E1">
      <w:pPr>
        <w:pStyle w:val="Bullet"/>
        <w:numPr>
          <w:ilvl w:val="0"/>
          <w:numId w:val="0"/>
        </w:numPr>
        <w:rPr>
          <w:rFonts w:eastAsia="Calibri"/>
          <w:b/>
        </w:rPr>
      </w:pPr>
      <w:r w:rsidRPr="00B160E1">
        <w:rPr>
          <w:rFonts w:eastAsia="Calibri"/>
          <w:b/>
        </w:rPr>
        <w:t>31 December</w:t>
      </w:r>
    </w:p>
    <w:p w14:paraId="550FCD4D" w14:textId="092AAA32" w:rsidR="00337438" w:rsidRPr="00736192" w:rsidRDefault="00337438" w:rsidP="00337438">
      <w:pPr>
        <w:pStyle w:val="ListBullet"/>
        <w:rPr>
          <w:rFonts w:ascii="Calibri" w:eastAsia="Calibri" w:hAnsi="Calibri"/>
          <w:sz w:val="22"/>
          <w:szCs w:val="22"/>
        </w:rPr>
      </w:pPr>
      <w:r w:rsidRPr="00736192">
        <w:rPr>
          <w:rFonts w:ascii="Calibri" w:eastAsia="Calibri" w:hAnsi="Calibri"/>
          <w:sz w:val="22"/>
          <w:szCs w:val="22"/>
        </w:rPr>
        <w:t xml:space="preserve">Transition period for the national mortgage form (NMF), Client Authorisations and forms not containing </w:t>
      </w:r>
      <w:r w:rsidR="005E0880">
        <w:rPr>
          <w:rFonts w:ascii="Calibri" w:eastAsia="Calibri" w:hAnsi="Calibri"/>
          <w:sz w:val="22"/>
          <w:szCs w:val="22"/>
        </w:rPr>
        <w:t>c</w:t>
      </w:r>
      <w:r w:rsidRPr="00736192">
        <w:rPr>
          <w:rFonts w:ascii="Calibri" w:eastAsia="Calibri" w:hAnsi="Calibri"/>
          <w:sz w:val="22"/>
          <w:szCs w:val="22"/>
        </w:rPr>
        <w:t>ertifications ends.</w:t>
      </w:r>
    </w:p>
    <w:p w14:paraId="5A43D864" w14:textId="77777777" w:rsidR="00337438" w:rsidRPr="0081473C" w:rsidRDefault="00337438" w:rsidP="00337438">
      <w:pPr>
        <w:pStyle w:val="Heading2"/>
        <w:numPr>
          <w:ilvl w:val="1"/>
          <w:numId w:val="0"/>
        </w:numPr>
      </w:pPr>
      <w:r w:rsidRPr="0081473C">
        <w:t>2018</w:t>
      </w:r>
    </w:p>
    <w:p w14:paraId="77D150DD" w14:textId="77777777" w:rsidR="00337438" w:rsidRPr="00736192" w:rsidRDefault="00337438" w:rsidP="00337438">
      <w:pPr>
        <w:pStyle w:val="Heading3"/>
        <w:numPr>
          <w:ilvl w:val="2"/>
          <w:numId w:val="0"/>
        </w:numPr>
        <w:rPr>
          <w:rFonts w:ascii="Calibri" w:eastAsia="Calibri" w:hAnsi="Calibri"/>
          <w:sz w:val="22"/>
          <w:szCs w:val="22"/>
        </w:rPr>
      </w:pPr>
      <w:r w:rsidRPr="00736192">
        <w:rPr>
          <w:rFonts w:ascii="Calibri" w:eastAsia="Calibri" w:hAnsi="Calibri"/>
          <w:sz w:val="22"/>
          <w:szCs w:val="22"/>
        </w:rPr>
        <w:t>February</w:t>
      </w:r>
    </w:p>
    <w:p w14:paraId="341814A3" w14:textId="77777777" w:rsidR="00337438" w:rsidRPr="00736192" w:rsidRDefault="00337438" w:rsidP="00337438">
      <w:pPr>
        <w:pStyle w:val="ListBullet"/>
        <w:rPr>
          <w:rFonts w:ascii="Calibri" w:eastAsia="Calibri" w:hAnsi="Calibri"/>
          <w:sz w:val="22"/>
          <w:szCs w:val="22"/>
        </w:rPr>
      </w:pPr>
      <w:r w:rsidRPr="00736192">
        <w:rPr>
          <w:rFonts w:ascii="Calibri" w:eastAsia="Calibri" w:hAnsi="Calibri"/>
          <w:sz w:val="22"/>
          <w:szCs w:val="22"/>
        </w:rPr>
        <w:t>Transmission application functionality will be available in PEXA.</w:t>
      </w:r>
    </w:p>
    <w:p w14:paraId="1ADC8FDA" w14:textId="77777777" w:rsidR="00337438" w:rsidRPr="00736192" w:rsidRDefault="00337438" w:rsidP="00337438">
      <w:pPr>
        <w:pStyle w:val="Heading3"/>
        <w:numPr>
          <w:ilvl w:val="2"/>
          <w:numId w:val="0"/>
        </w:numPr>
        <w:rPr>
          <w:rFonts w:ascii="Calibri" w:eastAsia="Calibri" w:hAnsi="Calibri"/>
          <w:sz w:val="22"/>
          <w:szCs w:val="22"/>
        </w:rPr>
      </w:pPr>
      <w:r w:rsidRPr="00736192">
        <w:rPr>
          <w:rFonts w:ascii="Calibri" w:eastAsia="Calibri" w:hAnsi="Calibri"/>
          <w:sz w:val="22"/>
          <w:szCs w:val="22"/>
        </w:rPr>
        <w:t>1 March</w:t>
      </w:r>
    </w:p>
    <w:p w14:paraId="1A87617C" w14:textId="2AE4BD70" w:rsidR="00337438" w:rsidRDefault="00337438" w:rsidP="00337438">
      <w:pPr>
        <w:pStyle w:val="ListBullet"/>
        <w:rPr>
          <w:rFonts w:ascii="Calibri" w:eastAsia="Calibri" w:hAnsi="Calibri"/>
          <w:sz w:val="22"/>
          <w:szCs w:val="22"/>
        </w:rPr>
      </w:pPr>
      <w:r w:rsidRPr="00736192">
        <w:rPr>
          <w:rFonts w:ascii="Calibri" w:eastAsia="Calibri" w:hAnsi="Calibri"/>
          <w:sz w:val="22"/>
          <w:szCs w:val="22"/>
        </w:rPr>
        <w:t xml:space="preserve">All survivorship applications and standalone transfers must be lodged electronically. This requirement applies to conveyancers and lawyers acting for a party or themselves and PEXA </w:t>
      </w:r>
      <w:r w:rsidR="003F3BD3">
        <w:rPr>
          <w:rFonts w:ascii="Calibri" w:eastAsia="Calibri" w:hAnsi="Calibri"/>
          <w:sz w:val="22"/>
          <w:szCs w:val="22"/>
        </w:rPr>
        <w:t>s</w:t>
      </w:r>
      <w:r w:rsidRPr="00736192">
        <w:rPr>
          <w:rFonts w:ascii="Calibri" w:eastAsia="Calibri" w:hAnsi="Calibri"/>
          <w:sz w:val="22"/>
          <w:szCs w:val="22"/>
        </w:rPr>
        <w:t>ubscribers.</w:t>
      </w:r>
    </w:p>
    <w:p w14:paraId="3E03F7C7" w14:textId="3E549AFB" w:rsidR="005E0880" w:rsidRPr="00736192" w:rsidRDefault="00B46C5A" w:rsidP="005E0880">
      <w:pPr>
        <w:pStyle w:val="ListBullet"/>
        <w:numPr>
          <w:ilvl w:val="0"/>
          <w:numId w:val="0"/>
        </w:numPr>
        <w:ind w:left="170"/>
        <w:rPr>
          <w:rFonts w:ascii="Calibri" w:eastAsia="Calibri" w:hAnsi="Calibri"/>
          <w:sz w:val="22"/>
          <w:szCs w:val="22"/>
        </w:rPr>
      </w:pPr>
      <w:r>
        <w:rPr>
          <w:rFonts w:ascii="Calibri" w:eastAsia="Calibri" w:hAnsi="Calibri"/>
          <w:sz w:val="22"/>
          <w:szCs w:val="22"/>
        </w:rPr>
        <w:t xml:space="preserve">Standalone transfers are transfers that are not lodged with </w:t>
      </w:r>
      <w:r w:rsidR="002E6414">
        <w:rPr>
          <w:rFonts w:ascii="Calibri" w:eastAsia="Calibri" w:hAnsi="Calibri"/>
          <w:sz w:val="22"/>
          <w:szCs w:val="22"/>
        </w:rPr>
        <w:t xml:space="preserve">some </w:t>
      </w:r>
      <w:r>
        <w:rPr>
          <w:rFonts w:ascii="Calibri" w:eastAsia="Calibri" w:hAnsi="Calibri"/>
          <w:sz w:val="22"/>
          <w:szCs w:val="22"/>
        </w:rPr>
        <w:t>other instrument</w:t>
      </w:r>
      <w:r w:rsidR="000A2F97">
        <w:rPr>
          <w:rFonts w:ascii="Calibri" w:eastAsia="Calibri" w:hAnsi="Calibri"/>
          <w:sz w:val="22"/>
          <w:szCs w:val="22"/>
        </w:rPr>
        <w:t>s</w:t>
      </w:r>
      <w:r>
        <w:rPr>
          <w:rFonts w:ascii="Calibri" w:eastAsia="Calibri" w:hAnsi="Calibri"/>
          <w:sz w:val="22"/>
          <w:szCs w:val="22"/>
        </w:rPr>
        <w:t xml:space="preserve">. </w:t>
      </w:r>
      <w:r w:rsidR="002E6414">
        <w:rPr>
          <w:rFonts w:ascii="Calibri" w:eastAsia="Calibri" w:hAnsi="Calibri"/>
          <w:sz w:val="22"/>
          <w:szCs w:val="22"/>
        </w:rPr>
        <w:t xml:space="preserve"> The requirement does not include</w:t>
      </w:r>
      <w:r w:rsidR="005E0880">
        <w:rPr>
          <w:rFonts w:ascii="Calibri" w:eastAsia="Calibri" w:hAnsi="Calibri"/>
          <w:sz w:val="22"/>
          <w:szCs w:val="22"/>
        </w:rPr>
        <w:t xml:space="preserve"> transfer</w:t>
      </w:r>
      <w:r w:rsidR="002E6414">
        <w:rPr>
          <w:rFonts w:ascii="Calibri" w:eastAsia="Calibri" w:hAnsi="Calibri"/>
          <w:sz w:val="22"/>
          <w:szCs w:val="22"/>
        </w:rPr>
        <w:t xml:space="preserve"> type</w:t>
      </w:r>
      <w:r w:rsidR="005E0880">
        <w:rPr>
          <w:rFonts w:ascii="Calibri" w:eastAsia="Calibri" w:hAnsi="Calibri"/>
          <w:sz w:val="22"/>
          <w:szCs w:val="22"/>
        </w:rPr>
        <w:t>s</w:t>
      </w:r>
      <w:r w:rsidR="002E6414">
        <w:rPr>
          <w:rFonts w:ascii="Calibri" w:eastAsia="Calibri" w:hAnsi="Calibri"/>
          <w:sz w:val="22"/>
          <w:szCs w:val="22"/>
        </w:rPr>
        <w:t xml:space="preserve"> that as at 1 March 2018 are not available in PEXA such as transfer</w:t>
      </w:r>
      <w:r w:rsidR="0063099A">
        <w:rPr>
          <w:rFonts w:ascii="Calibri" w:eastAsia="Calibri" w:hAnsi="Calibri"/>
          <w:sz w:val="22"/>
          <w:szCs w:val="22"/>
        </w:rPr>
        <w:t>s: by mortgagees</w:t>
      </w:r>
      <w:r w:rsidR="00491850">
        <w:rPr>
          <w:rFonts w:ascii="Calibri" w:eastAsia="Calibri" w:hAnsi="Calibri"/>
          <w:sz w:val="22"/>
          <w:szCs w:val="22"/>
        </w:rPr>
        <w:t>, by a minor, creating an easement, of an in</w:t>
      </w:r>
      <w:r w:rsidR="0063099A">
        <w:rPr>
          <w:rFonts w:ascii="Calibri" w:eastAsia="Calibri" w:hAnsi="Calibri"/>
          <w:sz w:val="22"/>
          <w:szCs w:val="22"/>
        </w:rPr>
        <w:t>terest</w:t>
      </w:r>
      <w:r w:rsidR="00EC3071">
        <w:rPr>
          <w:rFonts w:ascii="Calibri" w:eastAsia="Calibri" w:hAnsi="Calibri"/>
          <w:sz w:val="22"/>
          <w:szCs w:val="22"/>
        </w:rPr>
        <w:t xml:space="preserve"> (e</w:t>
      </w:r>
      <w:r w:rsidR="0044551F">
        <w:rPr>
          <w:rFonts w:ascii="Calibri" w:eastAsia="Calibri" w:hAnsi="Calibri"/>
          <w:sz w:val="22"/>
          <w:szCs w:val="22"/>
        </w:rPr>
        <w:t>.</w:t>
      </w:r>
      <w:r w:rsidR="00EC3071">
        <w:rPr>
          <w:rFonts w:ascii="Calibri" w:eastAsia="Calibri" w:hAnsi="Calibri"/>
          <w:sz w:val="22"/>
          <w:szCs w:val="22"/>
        </w:rPr>
        <w:t>g</w:t>
      </w:r>
      <w:r w:rsidR="0044551F">
        <w:rPr>
          <w:rFonts w:ascii="Calibri" w:eastAsia="Calibri" w:hAnsi="Calibri"/>
          <w:sz w:val="22"/>
          <w:szCs w:val="22"/>
        </w:rPr>
        <w:t>.</w:t>
      </w:r>
      <w:r w:rsidR="00EC3071">
        <w:rPr>
          <w:rFonts w:ascii="Calibri" w:eastAsia="Calibri" w:hAnsi="Calibri"/>
          <w:sz w:val="22"/>
          <w:szCs w:val="22"/>
        </w:rPr>
        <w:t xml:space="preserve"> </w:t>
      </w:r>
      <w:r w:rsidR="0063099A">
        <w:rPr>
          <w:rFonts w:ascii="Calibri" w:eastAsia="Calibri" w:hAnsi="Calibri"/>
          <w:sz w:val="22"/>
          <w:szCs w:val="22"/>
        </w:rPr>
        <w:t>a lease o</w:t>
      </w:r>
      <w:r w:rsidR="0044551F">
        <w:rPr>
          <w:rFonts w:ascii="Calibri" w:eastAsia="Calibri" w:hAnsi="Calibri"/>
          <w:sz w:val="22"/>
          <w:szCs w:val="22"/>
        </w:rPr>
        <w:t>r</w:t>
      </w:r>
      <w:r w:rsidR="0063099A">
        <w:rPr>
          <w:rFonts w:ascii="Calibri" w:eastAsia="Calibri" w:hAnsi="Calibri"/>
          <w:sz w:val="22"/>
          <w:szCs w:val="22"/>
        </w:rPr>
        <w:t xml:space="preserve"> mortgag</w:t>
      </w:r>
      <w:r w:rsidR="00491850">
        <w:rPr>
          <w:rFonts w:ascii="Calibri" w:eastAsia="Calibri" w:hAnsi="Calibri"/>
          <w:sz w:val="22"/>
          <w:szCs w:val="22"/>
        </w:rPr>
        <w:t>e</w:t>
      </w:r>
      <w:r w:rsidR="00EC3071">
        <w:rPr>
          <w:rFonts w:ascii="Calibri" w:eastAsia="Calibri" w:hAnsi="Calibri"/>
          <w:sz w:val="22"/>
          <w:szCs w:val="22"/>
        </w:rPr>
        <w:t>)</w:t>
      </w:r>
      <w:r w:rsidR="0063099A">
        <w:rPr>
          <w:rFonts w:ascii="Calibri" w:eastAsia="Calibri" w:hAnsi="Calibri"/>
          <w:sz w:val="22"/>
          <w:szCs w:val="22"/>
        </w:rPr>
        <w:t>, of part of land in a folio of the Register</w:t>
      </w:r>
      <w:r w:rsidR="000142CB">
        <w:rPr>
          <w:rFonts w:ascii="Calibri" w:eastAsia="Calibri" w:hAnsi="Calibri"/>
          <w:sz w:val="22"/>
          <w:szCs w:val="22"/>
        </w:rPr>
        <w:t>, of a tenant in common’s share</w:t>
      </w:r>
      <w:r w:rsidR="0063099A">
        <w:rPr>
          <w:rFonts w:ascii="Calibri" w:eastAsia="Calibri" w:hAnsi="Calibri"/>
          <w:sz w:val="22"/>
          <w:szCs w:val="22"/>
        </w:rPr>
        <w:t xml:space="preserve">; </w:t>
      </w:r>
      <w:r w:rsidR="005E0880">
        <w:rPr>
          <w:rFonts w:ascii="Calibri" w:eastAsia="Calibri" w:hAnsi="Calibri"/>
          <w:sz w:val="22"/>
          <w:szCs w:val="22"/>
        </w:rPr>
        <w:t xml:space="preserve">and </w:t>
      </w:r>
      <w:r w:rsidR="0083202E">
        <w:rPr>
          <w:rFonts w:ascii="Calibri" w:eastAsia="Calibri" w:hAnsi="Calibri"/>
          <w:sz w:val="22"/>
          <w:szCs w:val="22"/>
        </w:rPr>
        <w:t xml:space="preserve">those </w:t>
      </w:r>
      <w:r>
        <w:rPr>
          <w:rFonts w:ascii="Calibri" w:eastAsia="Calibri" w:hAnsi="Calibri"/>
          <w:sz w:val="22"/>
          <w:szCs w:val="22"/>
        </w:rPr>
        <w:t xml:space="preserve">transfers </w:t>
      </w:r>
      <w:r w:rsidR="002E6414">
        <w:rPr>
          <w:rFonts w:ascii="Calibri" w:eastAsia="Calibri" w:hAnsi="Calibri"/>
          <w:sz w:val="22"/>
          <w:szCs w:val="22"/>
        </w:rPr>
        <w:t xml:space="preserve">that </w:t>
      </w:r>
      <w:r w:rsidR="005E0880">
        <w:rPr>
          <w:rFonts w:ascii="Calibri" w:eastAsia="Calibri" w:hAnsi="Calibri"/>
          <w:sz w:val="22"/>
          <w:szCs w:val="22"/>
        </w:rPr>
        <w:t xml:space="preserve">cannot be </w:t>
      </w:r>
      <w:r w:rsidR="002E6414">
        <w:rPr>
          <w:rFonts w:ascii="Calibri" w:eastAsia="Calibri" w:hAnsi="Calibri"/>
          <w:sz w:val="22"/>
          <w:szCs w:val="22"/>
        </w:rPr>
        <w:t>assessed in</w:t>
      </w:r>
      <w:r w:rsidR="005E0880">
        <w:rPr>
          <w:rFonts w:ascii="Calibri" w:eastAsia="Calibri" w:hAnsi="Calibri"/>
          <w:sz w:val="22"/>
          <w:szCs w:val="22"/>
        </w:rPr>
        <w:t xml:space="preserve"> </w:t>
      </w:r>
      <w:hyperlink r:id="rId13" w:history="1">
        <w:r w:rsidR="005E0880" w:rsidRPr="00EC3071">
          <w:rPr>
            <w:rStyle w:val="Hyperlink"/>
            <w:rFonts w:ascii="Calibri" w:eastAsia="Calibri" w:hAnsi="Calibri"/>
            <w:sz w:val="22"/>
            <w:szCs w:val="22"/>
          </w:rPr>
          <w:t>Duties Online</w:t>
        </w:r>
      </w:hyperlink>
      <w:r w:rsidR="005E0880">
        <w:rPr>
          <w:rFonts w:ascii="Calibri" w:eastAsia="Calibri" w:hAnsi="Calibri"/>
          <w:sz w:val="22"/>
          <w:szCs w:val="22"/>
        </w:rPr>
        <w:t>.</w:t>
      </w:r>
    </w:p>
    <w:p w14:paraId="56B389DE" w14:textId="77777777" w:rsidR="00337438" w:rsidRPr="00736192" w:rsidRDefault="00337438" w:rsidP="00337438">
      <w:pPr>
        <w:pStyle w:val="Heading3"/>
        <w:numPr>
          <w:ilvl w:val="2"/>
          <w:numId w:val="0"/>
        </w:numPr>
        <w:rPr>
          <w:rFonts w:ascii="Calibri" w:eastAsia="Calibri" w:hAnsi="Calibri"/>
          <w:sz w:val="22"/>
          <w:szCs w:val="22"/>
        </w:rPr>
      </w:pPr>
      <w:r w:rsidRPr="00736192">
        <w:rPr>
          <w:rFonts w:ascii="Calibri" w:eastAsia="Calibri" w:hAnsi="Calibri"/>
          <w:sz w:val="22"/>
          <w:szCs w:val="22"/>
        </w:rPr>
        <w:t>1 October</w:t>
      </w:r>
    </w:p>
    <w:p w14:paraId="40BCEFDA" w14:textId="15E2F638" w:rsidR="00337438" w:rsidRPr="00736192" w:rsidRDefault="00337438" w:rsidP="00337438">
      <w:pPr>
        <w:pStyle w:val="ListBullet"/>
        <w:rPr>
          <w:rFonts w:ascii="Calibri" w:eastAsia="Calibri" w:hAnsi="Calibri"/>
          <w:sz w:val="22"/>
          <w:szCs w:val="22"/>
        </w:rPr>
      </w:pPr>
      <w:r w:rsidRPr="00736192">
        <w:rPr>
          <w:rFonts w:ascii="Calibri" w:eastAsia="Calibri" w:hAnsi="Calibri"/>
          <w:sz w:val="22"/>
          <w:szCs w:val="22"/>
        </w:rPr>
        <w:t xml:space="preserve">All </w:t>
      </w:r>
      <w:r w:rsidR="005E0880">
        <w:rPr>
          <w:rFonts w:ascii="Calibri" w:eastAsia="Calibri" w:hAnsi="Calibri"/>
          <w:sz w:val="22"/>
          <w:szCs w:val="22"/>
        </w:rPr>
        <w:t xml:space="preserve">instruments or </w:t>
      </w:r>
      <w:r w:rsidR="009D6860">
        <w:rPr>
          <w:rFonts w:ascii="Calibri" w:eastAsia="Calibri" w:hAnsi="Calibri"/>
          <w:sz w:val="22"/>
          <w:szCs w:val="22"/>
        </w:rPr>
        <w:t xml:space="preserve">a </w:t>
      </w:r>
      <w:r w:rsidR="009D6860" w:rsidRPr="00736192">
        <w:rPr>
          <w:rFonts w:ascii="Calibri" w:eastAsia="Calibri" w:hAnsi="Calibri"/>
          <w:sz w:val="22"/>
          <w:szCs w:val="22"/>
        </w:rPr>
        <w:t>combination of instruments</w:t>
      </w:r>
      <w:r w:rsidRPr="00736192">
        <w:rPr>
          <w:rFonts w:ascii="Calibri" w:eastAsia="Calibri" w:hAnsi="Calibri"/>
          <w:sz w:val="22"/>
          <w:szCs w:val="22"/>
        </w:rPr>
        <w:t xml:space="preserve"> available in PEXA </w:t>
      </w:r>
      <w:r w:rsidR="002E6414">
        <w:rPr>
          <w:rFonts w:ascii="Calibri" w:eastAsia="Calibri" w:hAnsi="Calibri"/>
          <w:sz w:val="22"/>
          <w:szCs w:val="22"/>
        </w:rPr>
        <w:t xml:space="preserve">are </w:t>
      </w:r>
      <w:r w:rsidRPr="00736192">
        <w:rPr>
          <w:rFonts w:ascii="Calibri" w:eastAsia="Calibri" w:hAnsi="Calibri"/>
          <w:sz w:val="22"/>
          <w:szCs w:val="22"/>
        </w:rPr>
        <w:t>to be lodged electronically.</w:t>
      </w:r>
      <w:r w:rsidR="000142CB">
        <w:rPr>
          <w:rFonts w:ascii="Calibri" w:eastAsia="Calibri" w:hAnsi="Calibri"/>
          <w:sz w:val="22"/>
          <w:szCs w:val="22"/>
        </w:rPr>
        <w:t xml:space="preserve"> </w:t>
      </w:r>
      <w:r w:rsidRPr="00736192">
        <w:rPr>
          <w:rFonts w:ascii="Calibri" w:eastAsia="Calibri" w:hAnsi="Calibri"/>
          <w:sz w:val="22"/>
          <w:szCs w:val="22"/>
        </w:rPr>
        <w:t xml:space="preserve"> Examples include a case comprising a withdrawal of caveat, discharge of mortgage, transfer and mortgage. </w:t>
      </w:r>
      <w:r w:rsidR="000142CB">
        <w:rPr>
          <w:rFonts w:ascii="Calibri" w:eastAsia="Calibri" w:hAnsi="Calibri"/>
          <w:sz w:val="22"/>
          <w:szCs w:val="22"/>
        </w:rPr>
        <w:t xml:space="preserve"> </w:t>
      </w:r>
      <w:r w:rsidRPr="00736192">
        <w:rPr>
          <w:rFonts w:ascii="Calibri" w:eastAsia="Calibri" w:hAnsi="Calibri"/>
          <w:sz w:val="22"/>
          <w:szCs w:val="22"/>
        </w:rPr>
        <w:t xml:space="preserve">This requirement applies to conveyancers and lawyers acting for a party or themselves and PEXA </w:t>
      </w:r>
      <w:r w:rsidR="003F3BD3">
        <w:rPr>
          <w:rFonts w:ascii="Calibri" w:eastAsia="Calibri" w:hAnsi="Calibri"/>
          <w:sz w:val="22"/>
          <w:szCs w:val="22"/>
        </w:rPr>
        <w:t>s</w:t>
      </w:r>
      <w:r w:rsidRPr="00736192">
        <w:rPr>
          <w:rFonts w:ascii="Calibri" w:eastAsia="Calibri" w:hAnsi="Calibri"/>
          <w:sz w:val="22"/>
          <w:szCs w:val="22"/>
        </w:rPr>
        <w:t>ubscribers.</w:t>
      </w:r>
    </w:p>
    <w:p w14:paraId="2B4A4EBF" w14:textId="77777777" w:rsidR="00337438" w:rsidRPr="0081473C" w:rsidRDefault="00337438" w:rsidP="00337438">
      <w:pPr>
        <w:pStyle w:val="Heading2"/>
        <w:numPr>
          <w:ilvl w:val="1"/>
          <w:numId w:val="0"/>
        </w:numPr>
      </w:pPr>
      <w:r w:rsidRPr="0081473C">
        <w:lastRenderedPageBreak/>
        <w:t>2019</w:t>
      </w:r>
    </w:p>
    <w:p w14:paraId="5CBBB2FA" w14:textId="77777777" w:rsidR="00337438" w:rsidRDefault="00337438" w:rsidP="00337438">
      <w:pPr>
        <w:pStyle w:val="Heading3"/>
        <w:numPr>
          <w:ilvl w:val="2"/>
          <w:numId w:val="0"/>
        </w:numPr>
        <w:rPr>
          <w:rFonts w:eastAsia="Calibri"/>
        </w:rPr>
      </w:pPr>
      <w:r w:rsidRPr="00A82412">
        <w:rPr>
          <w:rFonts w:eastAsia="Calibri"/>
        </w:rPr>
        <w:t>1 August</w:t>
      </w:r>
    </w:p>
    <w:p w14:paraId="27CE0680" w14:textId="7D2EFA77" w:rsidR="00337438" w:rsidRPr="00736192" w:rsidRDefault="00337438" w:rsidP="00337438">
      <w:pPr>
        <w:pStyle w:val="ListBullet"/>
        <w:rPr>
          <w:rFonts w:ascii="Calibri" w:eastAsia="Calibri" w:hAnsi="Calibri"/>
          <w:sz w:val="22"/>
          <w:szCs w:val="22"/>
        </w:rPr>
      </w:pPr>
      <w:r w:rsidRPr="00736192">
        <w:rPr>
          <w:rFonts w:ascii="Calibri" w:eastAsia="Calibri" w:hAnsi="Calibri"/>
          <w:sz w:val="22"/>
          <w:szCs w:val="22"/>
        </w:rPr>
        <w:t xml:space="preserve">All </w:t>
      </w:r>
      <w:r w:rsidR="005E0880">
        <w:rPr>
          <w:rFonts w:ascii="Calibri" w:eastAsia="Calibri" w:hAnsi="Calibri"/>
          <w:sz w:val="22"/>
          <w:szCs w:val="22"/>
        </w:rPr>
        <w:t>instruments</w:t>
      </w:r>
      <w:r w:rsidRPr="00736192">
        <w:rPr>
          <w:rFonts w:ascii="Calibri" w:eastAsia="Calibri" w:hAnsi="Calibri"/>
          <w:sz w:val="22"/>
          <w:szCs w:val="22"/>
        </w:rPr>
        <w:t xml:space="preserve"> to be lodged electronically. </w:t>
      </w:r>
      <w:r w:rsidR="000142CB">
        <w:rPr>
          <w:rFonts w:ascii="Calibri" w:eastAsia="Calibri" w:hAnsi="Calibri"/>
          <w:sz w:val="22"/>
          <w:szCs w:val="22"/>
        </w:rPr>
        <w:t xml:space="preserve"> </w:t>
      </w:r>
      <w:r w:rsidRPr="00736192">
        <w:rPr>
          <w:rFonts w:ascii="Calibri" w:eastAsia="Calibri" w:hAnsi="Calibri"/>
          <w:sz w:val="22"/>
          <w:szCs w:val="22"/>
        </w:rPr>
        <w:t xml:space="preserve">This requirement applies to conveyancers and lawyers acting for a party or themselves and PEXA </w:t>
      </w:r>
      <w:r w:rsidR="003F3BD3">
        <w:rPr>
          <w:rFonts w:ascii="Calibri" w:eastAsia="Calibri" w:hAnsi="Calibri"/>
          <w:sz w:val="22"/>
          <w:szCs w:val="22"/>
        </w:rPr>
        <w:t>s</w:t>
      </w:r>
      <w:r w:rsidRPr="00736192">
        <w:rPr>
          <w:rFonts w:ascii="Calibri" w:eastAsia="Calibri" w:hAnsi="Calibri"/>
          <w:sz w:val="22"/>
          <w:szCs w:val="22"/>
        </w:rPr>
        <w:t>ubscribers.</w:t>
      </w:r>
    </w:p>
    <w:p w14:paraId="25DC22A3" w14:textId="77777777" w:rsidR="00337438" w:rsidRDefault="00337438" w:rsidP="00E72067">
      <w:pPr>
        <w:pStyle w:val="BodyText"/>
        <w:ind w:left="170"/>
        <w:rPr>
          <w:rFonts w:ascii="Calibri" w:eastAsiaTheme="minorEastAsia" w:hAnsi="Calibri"/>
          <w:sz w:val="22"/>
          <w:szCs w:val="22"/>
        </w:rPr>
      </w:pPr>
      <w:r w:rsidRPr="00736192">
        <w:rPr>
          <w:rFonts w:ascii="Calibri" w:eastAsiaTheme="minorEastAsia" w:hAnsi="Calibri"/>
          <w:sz w:val="22"/>
          <w:szCs w:val="22"/>
        </w:rPr>
        <w:t xml:space="preserve">The exception will be when there is an existing paper instrument that has been signed prior to the date when electronic lodgment of that particular </w:t>
      </w:r>
      <w:bookmarkStart w:id="2" w:name="_GoBack"/>
      <w:bookmarkEnd w:id="2"/>
      <w:r w:rsidRPr="00736192">
        <w:rPr>
          <w:rFonts w:ascii="Calibri" w:eastAsiaTheme="minorEastAsia" w:hAnsi="Calibri"/>
          <w:sz w:val="22"/>
          <w:szCs w:val="22"/>
        </w:rPr>
        <w:t>class of instrument or transaction is required.</w:t>
      </w:r>
    </w:p>
    <w:p w14:paraId="12980C72" w14:textId="77777777" w:rsidR="000756F1" w:rsidRDefault="000756F1" w:rsidP="00B160E1">
      <w:pPr>
        <w:pStyle w:val="Heading1"/>
      </w:pPr>
    </w:p>
    <w:p w14:paraId="38DB59FE" w14:textId="401F79FF" w:rsidR="00E9232B" w:rsidRPr="00736192" w:rsidRDefault="00E9232B" w:rsidP="00B160E1">
      <w:pPr>
        <w:pStyle w:val="Heading1"/>
      </w:pPr>
      <w:r w:rsidRPr="00736192">
        <w:t>Using new forms</w:t>
      </w:r>
      <w:r w:rsidR="00220DFC">
        <w:t xml:space="preserve"> containing certifications</w:t>
      </w:r>
    </w:p>
    <w:p w14:paraId="7350AA2F" w14:textId="77777777" w:rsidR="00220DFC" w:rsidRDefault="00220DFC" w:rsidP="00220DFC">
      <w:pPr>
        <w:pStyle w:val="Bullet"/>
        <w:numPr>
          <w:ilvl w:val="0"/>
          <w:numId w:val="0"/>
        </w:numPr>
      </w:pPr>
      <w:r>
        <w:t>All customers should note the following when using the new forms:</w:t>
      </w:r>
    </w:p>
    <w:p w14:paraId="218DD4E6" w14:textId="1D800AFF" w:rsidR="00220DFC" w:rsidRDefault="00220DFC" w:rsidP="00220DFC">
      <w:pPr>
        <w:pStyle w:val="Bullet"/>
      </w:pPr>
      <w:r w:rsidRPr="00C11B23">
        <w:t xml:space="preserve">each item in </w:t>
      </w:r>
      <w:r>
        <w:t>a</w:t>
      </w:r>
      <w:r w:rsidRPr="00C11B23">
        <w:t xml:space="preserve"> form </w:t>
      </w:r>
      <w:r>
        <w:t xml:space="preserve">should be </w:t>
      </w:r>
      <w:r w:rsidRPr="00C11B23">
        <w:t>complete</w:t>
      </w:r>
      <w:r>
        <w:t>d</w:t>
      </w:r>
      <w:r w:rsidRPr="00C11B23">
        <w:t xml:space="preserve"> </w:t>
      </w:r>
      <w:r w:rsidR="002D51D5">
        <w:t xml:space="preserve">before selecting the signing option </w:t>
      </w:r>
    </w:p>
    <w:p w14:paraId="475DBF3B" w14:textId="1F15E994" w:rsidR="00220DFC" w:rsidRDefault="00220DFC" w:rsidP="00220DFC">
      <w:pPr>
        <w:pStyle w:val="Bullet"/>
      </w:pPr>
      <w:r>
        <w:t>the appropriate signing option should be selected prior to printing so the relevant certifications are displayed</w:t>
      </w:r>
    </w:p>
    <w:p w14:paraId="727E1B8A" w14:textId="105AD8B0" w:rsidR="00220DFC" w:rsidRDefault="00220DFC" w:rsidP="00220DFC">
      <w:pPr>
        <w:pStyle w:val="Bullet"/>
      </w:pPr>
      <w:r>
        <w:t>all new forms print as at</w:t>
      </w:r>
      <w:r w:rsidRPr="00C11B23">
        <w:t xml:space="preserve"> least two (2) pages and mus</w:t>
      </w:r>
      <w:r>
        <w:t>t be printed single sided</w:t>
      </w:r>
    </w:p>
    <w:p w14:paraId="08378CC4" w14:textId="741CA6C1" w:rsidR="00F06030" w:rsidRPr="00C11B23" w:rsidRDefault="00F06030" w:rsidP="00220DFC">
      <w:pPr>
        <w:pStyle w:val="Bullet"/>
      </w:pPr>
      <w:r>
        <w:t>when printing, only the required certifications and si</w:t>
      </w:r>
      <w:r w:rsidR="002E6414">
        <w:t>gn</w:t>
      </w:r>
      <w:r>
        <w:t>ing panels appear</w:t>
      </w:r>
    </w:p>
    <w:p w14:paraId="25AC4F54" w14:textId="5AF8E44D" w:rsidR="00220DFC" w:rsidRDefault="00220DFC" w:rsidP="00220DFC">
      <w:pPr>
        <w:pStyle w:val="Bullet"/>
      </w:pPr>
      <w:r>
        <w:t xml:space="preserve">when there are </w:t>
      </w:r>
      <w:r w:rsidRPr="00C11B23">
        <w:t xml:space="preserve">multiple parties in </w:t>
      </w:r>
      <w:r>
        <w:t xml:space="preserve">an Applicant </w:t>
      </w:r>
      <w:r w:rsidRPr="00C11B23">
        <w:t>panel</w:t>
      </w:r>
      <w:r>
        <w:t xml:space="preserve">, </w:t>
      </w:r>
      <w:r w:rsidRPr="00C11B23">
        <w:t xml:space="preserve">use </w:t>
      </w:r>
      <w:r>
        <w:t xml:space="preserve">the </w:t>
      </w:r>
      <w:r w:rsidRPr="00C11B23">
        <w:t>&lt;return&gt; key after each applicant/party</w:t>
      </w:r>
      <w:r w:rsidR="002D51D5">
        <w:t xml:space="preserve">. This will ensure a signing option will appear for each </w:t>
      </w:r>
      <w:r>
        <w:t xml:space="preserve">applicant/party. </w:t>
      </w:r>
      <w:r w:rsidR="00491850">
        <w:t xml:space="preserve"> </w:t>
      </w:r>
      <w:r>
        <w:t>See example below</w:t>
      </w:r>
      <w:r w:rsidR="005E0880">
        <w:t>:</w:t>
      </w:r>
    </w:p>
    <w:p w14:paraId="141640CC" w14:textId="195B526A" w:rsidR="000756F1" w:rsidRDefault="000756F1">
      <w:pPr>
        <w:rPr>
          <w:b/>
          <w:bCs/>
          <w:iCs/>
          <w:color w:val="B3272F" w:themeColor="text2"/>
          <w:kern w:val="20"/>
          <w:sz w:val="22"/>
          <w:szCs w:val="28"/>
        </w:rPr>
      </w:pPr>
      <w:r>
        <w:rPr>
          <w:noProof/>
        </w:rPr>
        <w:drawing>
          <wp:anchor distT="0" distB="0" distL="114300" distR="114300" simplePos="0" relativeHeight="251658240" behindDoc="1" locked="0" layoutInCell="1" allowOverlap="1" wp14:anchorId="64D30386" wp14:editId="5D3F9468">
            <wp:simplePos x="0" y="0"/>
            <wp:positionH relativeFrom="page">
              <wp:posOffset>1146175</wp:posOffset>
            </wp:positionH>
            <wp:positionV relativeFrom="page">
              <wp:posOffset>6482478</wp:posOffset>
            </wp:positionV>
            <wp:extent cx="4752340" cy="721360"/>
            <wp:effectExtent l="152400" t="152400" r="353060" b="3644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52340" cy="7213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br w:type="page"/>
      </w:r>
    </w:p>
    <w:p w14:paraId="21EDD129" w14:textId="631ABECA" w:rsidR="009242FB" w:rsidRDefault="009242FB" w:rsidP="00B160E1">
      <w:pPr>
        <w:pStyle w:val="Heading2"/>
        <w:numPr>
          <w:ilvl w:val="1"/>
          <w:numId w:val="0"/>
        </w:numPr>
      </w:pPr>
      <w:r>
        <w:lastRenderedPageBreak/>
        <w:t>Making the appropriate signing selection</w:t>
      </w:r>
    </w:p>
    <w:p w14:paraId="37CD7A23" w14:textId="455CC12E" w:rsidR="000959B5" w:rsidRDefault="000959B5" w:rsidP="00B160E1">
      <w:pPr>
        <w:pStyle w:val="Heading3"/>
      </w:pPr>
      <w:r>
        <w:t>Representing a client</w:t>
      </w:r>
    </w:p>
    <w:p w14:paraId="49861345" w14:textId="5CEF4C9A" w:rsidR="000959B5" w:rsidRDefault="000959B5" w:rsidP="000959B5">
      <w:pPr>
        <w:autoSpaceDE w:val="0"/>
        <w:autoSpaceDN w:val="0"/>
        <w:adjustRightInd w:val="0"/>
        <w:spacing w:line="240" w:lineRule="auto"/>
        <w:rPr>
          <w:rFonts w:ascii="Calibri" w:hAnsi="Calibri"/>
          <w:sz w:val="22"/>
          <w:szCs w:val="22"/>
        </w:rPr>
      </w:pPr>
      <w:r w:rsidRPr="00736192">
        <w:rPr>
          <w:rFonts w:ascii="Calibri" w:hAnsi="Calibri"/>
          <w:sz w:val="22"/>
          <w:szCs w:val="22"/>
        </w:rPr>
        <w:t>For conveyancers and lawyers representing a client, under ‘Signing’</w:t>
      </w:r>
      <w:r w:rsidR="00535AB8">
        <w:rPr>
          <w:rFonts w:ascii="Calibri" w:hAnsi="Calibri"/>
          <w:sz w:val="22"/>
          <w:szCs w:val="22"/>
        </w:rPr>
        <w:t>,</w:t>
      </w:r>
      <w:r w:rsidRPr="00736192">
        <w:rPr>
          <w:rFonts w:ascii="Calibri" w:hAnsi="Calibri"/>
          <w:sz w:val="22"/>
          <w:szCs w:val="22"/>
        </w:rPr>
        <w:t xml:space="preserve"> the correct selections are: </w:t>
      </w:r>
      <w:r w:rsidRPr="00736192">
        <w:rPr>
          <w:rFonts w:ascii="Calibri" w:hAnsi="Calibri" w:cs="ArialMT"/>
          <w:sz w:val="22"/>
          <w:szCs w:val="22"/>
        </w:rPr>
        <w:t>LICENSED CONVEYANCER</w:t>
      </w:r>
      <w:r w:rsidR="005E0880">
        <w:rPr>
          <w:rFonts w:ascii="Calibri" w:hAnsi="Calibri" w:cs="ArialMT"/>
          <w:sz w:val="22"/>
          <w:szCs w:val="22"/>
        </w:rPr>
        <w:t>/CONVEYANCING PRACTICE</w:t>
      </w:r>
      <w:r w:rsidRPr="00736192">
        <w:rPr>
          <w:rFonts w:ascii="Calibri" w:hAnsi="Calibri" w:cs="ArialMT"/>
          <w:sz w:val="22"/>
          <w:szCs w:val="22"/>
        </w:rPr>
        <w:t xml:space="preserve"> or AUSTRALIAN LEGAL PRACTITIONER, and then </w:t>
      </w:r>
      <w:r w:rsidRPr="00736192">
        <w:rPr>
          <w:rFonts w:ascii="Calibri" w:hAnsi="Calibri"/>
          <w:sz w:val="22"/>
          <w:szCs w:val="22"/>
        </w:rPr>
        <w:t>REPRESENTING ANOTHER.</w:t>
      </w:r>
    </w:p>
    <w:p w14:paraId="5DCD7109" w14:textId="6F3604BC" w:rsidR="000959B5" w:rsidRDefault="000959B5" w:rsidP="000959B5">
      <w:pPr>
        <w:autoSpaceDE w:val="0"/>
        <w:autoSpaceDN w:val="0"/>
        <w:adjustRightInd w:val="0"/>
        <w:spacing w:line="240" w:lineRule="auto"/>
        <w:rPr>
          <w:rFonts w:ascii="Calibri" w:hAnsi="Calibri"/>
          <w:sz w:val="22"/>
          <w:szCs w:val="22"/>
        </w:rPr>
      </w:pPr>
      <w:r>
        <w:rPr>
          <w:noProof/>
        </w:rPr>
        <w:drawing>
          <wp:inline distT="0" distB="0" distL="0" distR="0" wp14:anchorId="06608E5F" wp14:editId="6CB444FE">
            <wp:extent cx="4837814" cy="1406072"/>
            <wp:effectExtent l="152400" t="152400" r="363220" b="3657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70893" cy="1415686"/>
                    </a:xfrm>
                    <a:prstGeom prst="rect">
                      <a:avLst/>
                    </a:prstGeom>
                    <a:ln>
                      <a:noFill/>
                    </a:ln>
                    <a:effectLst>
                      <a:outerShdw blurRad="292100" dist="139700" dir="2700000" algn="tl" rotWithShape="0">
                        <a:srgbClr val="333333">
                          <a:alpha val="65000"/>
                        </a:srgbClr>
                      </a:outerShdw>
                    </a:effectLst>
                  </pic:spPr>
                </pic:pic>
              </a:graphicData>
            </a:graphic>
          </wp:inline>
        </w:drawing>
      </w:r>
    </w:p>
    <w:p w14:paraId="23B4701F" w14:textId="77777777" w:rsidR="000756F1" w:rsidRDefault="000756F1" w:rsidP="000959B5">
      <w:pPr>
        <w:autoSpaceDE w:val="0"/>
        <w:autoSpaceDN w:val="0"/>
        <w:adjustRightInd w:val="0"/>
        <w:spacing w:line="240" w:lineRule="auto"/>
        <w:rPr>
          <w:rFonts w:ascii="Calibri" w:hAnsi="Calibri"/>
          <w:sz w:val="22"/>
          <w:szCs w:val="22"/>
        </w:rPr>
      </w:pPr>
    </w:p>
    <w:p w14:paraId="379E100A" w14:textId="32C3FC57" w:rsidR="000959B5" w:rsidRDefault="00337438" w:rsidP="000959B5">
      <w:pPr>
        <w:autoSpaceDE w:val="0"/>
        <w:autoSpaceDN w:val="0"/>
        <w:adjustRightInd w:val="0"/>
        <w:spacing w:line="240" w:lineRule="auto"/>
        <w:rPr>
          <w:rFonts w:ascii="Calibri" w:hAnsi="Calibri"/>
          <w:sz w:val="22"/>
          <w:szCs w:val="22"/>
        </w:rPr>
      </w:pPr>
      <w:r>
        <w:rPr>
          <w:rFonts w:ascii="Calibri" w:hAnsi="Calibri"/>
          <w:sz w:val="22"/>
          <w:szCs w:val="22"/>
        </w:rPr>
        <w:t>After making the appropriate selection t</w:t>
      </w:r>
      <w:r w:rsidR="000959B5" w:rsidRPr="00736192">
        <w:rPr>
          <w:rFonts w:ascii="Calibri" w:hAnsi="Calibri"/>
          <w:sz w:val="22"/>
          <w:szCs w:val="22"/>
        </w:rPr>
        <w:t>he certifications are automatically displayed</w:t>
      </w:r>
      <w:r w:rsidR="000959B5">
        <w:rPr>
          <w:rFonts w:ascii="Calibri" w:hAnsi="Calibri"/>
          <w:sz w:val="22"/>
          <w:szCs w:val="22"/>
        </w:rPr>
        <w:t xml:space="preserve">. </w:t>
      </w:r>
    </w:p>
    <w:p w14:paraId="5BD22B82" w14:textId="1FD6CB2F" w:rsidR="000959B5" w:rsidRDefault="000959B5" w:rsidP="000959B5">
      <w:pPr>
        <w:pStyle w:val="Body"/>
        <w:rPr>
          <w:noProof/>
        </w:rPr>
      </w:pPr>
      <w:r>
        <w:t xml:space="preserve">Below is </w:t>
      </w:r>
      <w:r w:rsidR="009D6860" w:rsidRPr="00015C87">
        <w:t>a</w:t>
      </w:r>
      <w:r w:rsidR="009D6860">
        <w:t xml:space="preserve"> sample</w:t>
      </w:r>
      <w:r w:rsidRPr="00015C87">
        <w:t xml:space="preserve"> of </w:t>
      </w:r>
      <w:r>
        <w:t>the certifications when a lawyer represents a client in, for example, an application.</w:t>
      </w:r>
      <w:r w:rsidR="007C60CC" w:rsidRPr="007C60CC">
        <w:rPr>
          <w:noProof/>
        </w:rPr>
        <w:t xml:space="preserve"> </w:t>
      </w:r>
    </w:p>
    <w:p w14:paraId="0E3D88A5" w14:textId="77777777" w:rsidR="000756F1" w:rsidRDefault="000756F1" w:rsidP="000959B5">
      <w:pPr>
        <w:pStyle w:val="Body"/>
        <w:rPr>
          <w:noProof/>
        </w:rPr>
      </w:pPr>
    </w:p>
    <w:p w14:paraId="09A1B648" w14:textId="6497A485" w:rsidR="00491850" w:rsidRDefault="00491850" w:rsidP="000959B5">
      <w:pPr>
        <w:pStyle w:val="Body"/>
      </w:pPr>
      <w:r>
        <w:rPr>
          <w:noProof/>
        </w:rPr>
        <w:drawing>
          <wp:inline distT="0" distB="0" distL="0" distR="0" wp14:anchorId="288F6872" wp14:editId="0CB1397E">
            <wp:extent cx="4197600" cy="2804400"/>
            <wp:effectExtent l="152400" t="152400" r="355600" b="3581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97600" cy="2804400"/>
                    </a:xfrm>
                    <a:prstGeom prst="rect">
                      <a:avLst/>
                    </a:prstGeom>
                    <a:ln>
                      <a:noFill/>
                    </a:ln>
                    <a:effectLst>
                      <a:outerShdw blurRad="292100" dist="139700" dir="2700000" algn="tl" rotWithShape="0">
                        <a:srgbClr val="333333">
                          <a:alpha val="65000"/>
                        </a:srgbClr>
                      </a:outerShdw>
                    </a:effectLst>
                  </pic:spPr>
                </pic:pic>
              </a:graphicData>
            </a:graphic>
          </wp:inline>
        </w:drawing>
      </w:r>
    </w:p>
    <w:p w14:paraId="192B9930" w14:textId="7E4B4B4A" w:rsidR="009242FB" w:rsidRPr="00B160E1" w:rsidRDefault="000959B5" w:rsidP="00B160E1">
      <w:pPr>
        <w:pStyle w:val="BodyText"/>
      </w:pPr>
      <w:r>
        <w:rPr>
          <w:lang w:eastAsia="en-AU"/>
        </w:rPr>
        <w:t xml:space="preserve">Note: the same certifications and signing structure is displayed when a conveyancer selects </w:t>
      </w:r>
      <w:r w:rsidRPr="00736192">
        <w:rPr>
          <w:rFonts w:ascii="Calibri" w:hAnsi="Calibri" w:cs="ArialMT"/>
          <w:sz w:val="22"/>
          <w:szCs w:val="22"/>
        </w:rPr>
        <w:t>LICENSED CONVEYANCER</w:t>
      </w:r>
      <w:r>
        <w:rPr>
          <w:rFonts w:ascii="Calibri" w:hAnsi="Calibri" w:cs="ArialMT"/>
          <w:sz w:val="22"/>
          <w:szCs w:val="22"/>
        </w:rPr>
        <w:t>/</w:t>
      </w:r>
      <w:r w:rsidR="005E0880">
        <w:rPr>
          <w:rFonts w:ascii="Calibri" w:hAnsi="Calibri" w:cs="ArialMT"/>
          <w:sz w:val="22"/>
          <w:szCs w:val="22"/>
        </w:rPr>
        <w:t>CONVEYANCING PRACTICE and</w:t>
      </w:r>
      <w:r>
        <w:rPr>
          <w:rFonts w:ascii="Calibri" w:hAnsi="Calibri" w:cs="ArialMT"/>
          <w:sz w:val="22"/>
          <w:szCs w:val="22"/>
        </w:rPr>
        <w:t xml:space="preserve"> REPRESENTING ANOTHER. </w:t>
      </w:r>
    </w:p>
    <w:p w14:paraId="6565F165" w14:textId="77777777" w:rsidR="00535AB8" w:rsidRDefault="00535AB8">
      <w:pPr>
        <w:rPr>
          <w:b/>
          <w:color w:val="494847"/>
        </w:rPr>
      </w:pPr>
    </w:p>
    <w:p w14:paraId="134176D1" w14:textId="77777777" w:rsidR="000756F1" w:rsidRDefault="000756F1">
      <w:pPr>
        <w:rPr>
          <w:b/>
          <w:color w:val="494847"/>
        </w:rPr>
      </w:pPr>
      <w:r>
        <w:br w:type="page"/>
      </w:r>
    </w:p>
    <w:p w14:paraId="344C372D" w14:textId="5741D2D1" w:rsidR="000959B5" w:rsidRDefault="000959B5" w:rsidP="000959B5">
      <w:pPr>
        <w:pStyle w:val="Heading3"/>
      </w:pPr>
      <w:r>
        <w:lastRenderedPageBreak/>
        <w:t xml:space="preserve">Self-representing </w:t>
      </w:r>
      <w:r w:rsidR="00A974FE">
        <w:t>(</w:t>
      </w:r>
      <w:r w:rsidR="00EC3071">
        <w:t>s</w:t>
      </w:r>
      <w:r w:rsidR="00A974FE">
        <w:t>ubscribers)</w:t>
      </w:r>
    </w:p>
    <w:p w14:paraId="1D7B2931" w14:textId="6C4B8454" w:rsidR="000959B5" w:rsidRDefault="00512B27" w:rsidP="00B160E1">
      <w:pPr>
        <w:pStyle w:val="BodyText"/>
      </w:pPr>
      <w:r>
        <w:t xml:space="preserve">A </w:t>
      </w:r>
      <w:r w:rsidR="000959B5" w:rsidRPr="00015C87">
        <w:t>conveyancer, lawyer or financial institution acting on their own behalf</w:t>
      </w:r>
      <w:r>
        <w:t xml:space="preserve"> should</w:t>
      </w:r>
      <w:r w:rsidR="000959B5">
        <w:t xml:space="preserve"> select REPESENTING SELF.  </w:t>
      </w:r>
    </w:p>
    <w:p w14:paraId="11F8E28B" w14:textId="324143D6" w:rsidR="00512B27" w:rsidRDefault="0007088F" w:rsidP="00B160E1">
      <w:pPr>
        <w:pStyle w:val="BodyText"/>
      </w:pPr>
      <w:r>
        <w:rPr>
          <w:noProof/>
        </w:rPr>
        <w:drawing>
          <wp:inline distT="0" distB="0" distL="0" distR="0" wp14:anchorId="6B46ECBA" wp14:editId="6178EC0D">
            <wp:extent cx="4600575" cy="1312776"/>
            <wp:effectExtent l="152400" t="152400" r="352425" b="3638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33404" cy="1322144"/>
                    </a:xfrm>
                    <a:prstGeom prst="rect">
                      <a:avLst/>
                    </a:prstGeom>
                    <a:ln>
                      <a:noFill/>
                    </a:ln>
                    <a:effectLst>
                      <a:outerShdw blurRad="292100" dist="139700" dir="2700000" algn="tl" rotWithShape="0">
                        <a:srgbClr val="333333">
                          <a:alpha val="65000"/>
                        </a:srgbClr>
                      </a:outerShdw>
                    </a:effectLst>
                  </pic:spPr>
                </pic:pic>
              </a:graphicData>
            </a:graphic>
          </wp:inline>
        </w:drawing>
      </w:r>
    </w:p>
    <w:p w14:paraId="1B34390B" w14:textId="07CCE864" w:rsidR="00512B27" w:rsidRPr="00B50033" w:rsidRDefault="00512B27" w:rsidP="000756F1">
      <w:pPr>
        <w:pStyle w:val="Heading3"/>
      </w:pPr>
      <w:r>
        <w:t>Non-represented party</w:t>
      </w:r>
    </w:p>
    <w:p w14:paraId="18E7EDE2" w14:textId="5AAD14B8" w:rsidR="000959B5" w:rsidRDefault="00A974FE" w:rsidP="00B160E1">
      <w:pPr>
        <w:pStyle w:val="BodyText"/>
        <w:rPr>
          <w:iCs/>
        </w:rPr>
      </w:pPr>
      <w:r>
        <w:t xml:space="preserve">For </w:t>
      </w:r>
      <w:r w:rsidR="007C60CC">
        <w:t xml:space="preserve">the </w:t>
      </w:r>
      <w:r>
        <w:t>Transfer of Land, Caveat</w:t>
      </w:r>
      <w:r w:rsidR="007C60CC">
        <w:t xml:space="preserve"> and</w:t>
      </w:r>
      <w:r>
        <w:t xml:space="preserve"> Withdrawal of Caveat </w:t>
      </w:r>
      <w:r w:rsidR="007C60CC">
        <w:t xml:space="preserve">forms </w:t>
      </w:r>
      <w:r>
        <w:t>a</w:t>
      </w:r>
      <w:r w:rsidR="00512B27">
        <w:t xml:space="preserve"> n</w:t>
      </w:r>
      <w:r w:rsidR="000959B5" w:rsidRPr="00015C87">
        <w:t>on</w:t>
      </w:r>
      <w:r w:rsidR="000959B5">
        <w:t xml:space="preserve">-represented </w:t>
      </w:r>
      <w:r w:rsidR="00512B27">
        <w:t>party will select their name from the drop-down</w:t>
      </w:r>
      <w:r>
        <w:t xml:space="preserve"> list and the signing section will automatically populate.  For all other forms select </w:t>
      </w:r>
      <w:r w:rsidR="00512B27">
        <w:t>LEAVE BLANK</w:t>
      </w:r>
      <w:r w:rsidR="007C60CC">
        <w:t xml:space="preserve"> and fill in each panel</w:t>
      </w:r>
      <w:r w:rsidR="00512B27">
        <w:t>.</w:t>
      </w:r>
      <w:r w:rsidR="000142CB">
        <w:t xml:space="preserve"> </w:t>
      </w:r>
      <w:r w:rsidR="00512B27">
        <w:t xml:space="preserve"> T</w:t>
      </w:r>
      <w:r w:rsidR="000959B5" w:rsidRPr="00015C87">
        <w:t xml:space="preserve">he </w:t>
      </w:r>
      <w:r w:rsidR="007C60CC">
        <w:t>non-</w:t>
      </w:r>
      <w:r w:rsidR="00374B57">
        <w:t>represented</w:t>
      </w:r>
      <w:r w:rsidR="007C60CC">
        <w:t xml:space="preserve"> </w:t>
      </w:r>
      <w:r w:rsidR="000959B5" w:rsidRPr="00015C87">
        <w:t xml:space="preserve">party </w:t>
      </w:r>
      <w:r w:rsidR="00512B27">
        <w:t xml:space="preserve">must then proceed to </w:t>
      </w:r>
      <w:r w:rsidR="000959B5" w:rsidRPr="00015C87">
        <w:t>Australia Post</w:t>
      </w:r>
      <w:r w:rsidR="007C60CC">
        <w:t xml:space="preserve"> to </w:t>
      </w:r>
      <w:r w:rsidR="00EC1A12">
        <w:t>do</w:t>
      </w:r>
      <w:r w:rsidR="007C60CC">
        <w:t xml:space="preserve"> the </w:t>
      </w:r>
      <w:r w:rsidR="00512B27">
        <w:t xml:space="preserve">Verification of Identity </w:t>
      </w:r>
      <w:r w:rsidR="007C60CC">
        <w:t xml:space="preserve">(VOI) </w:t>
      </w:r>
      <w:r w:rsidR="00512B27">
        <w:t>process</w:t>
      </w:r>
      <w:r w:rsidR="007C60CC">
        <w:t xml:space="preserve">. </w:t>
      </w:r>
      <w:r w:rsidR="00374B57">
        <w:t>M</w:t>
      </w:r>
      <w:r w:rsidR="00512B27">
        <w:t>ore information o</w:t>
      </w:r>
      <w:r w:rsidR="00374B57">
        <w:t>n</w:t>
      </w:r>
      <w:r w:rsidR="00512B27">
        <w:t xml:space="preserve"> V</w:t>
      </w:r>
      <w:r w:rsidR="007C60CC">
        <w:t>OI</w:t>
      </w:r>
      <w:r w:rsidR="00512B27">
        <w:t xml:space="preserve"> </w:t>
      </w:r>
      <w:r w:rsidR="00EC3071">
        <w:t xml:space="preserve">is at </w:t>
      </w:r>
      <w:hyperlink r:id="rId18" w:history="1">
        <w:r w:rsidR="00EC3071" w:rsidRPr="00D72540">
          <w:rPr>
            <w:rStyle w:val="Hyperlink"/>
          </w:rPr>
          <w:t>www.propertyandlandtitles.vic.gov.au</w:t>
        </w:r>
      </w:hyperlink>
      <w:r w:rsidR="00EC3071">
        <w:t xml:space="preserve"> &gt;</w:t>
      </w:r>
      <w:r w:rsidR="00EC1A12">
        <w:t>Overview and i</w:t>
      </w:r>
      <w:r w:rsidR="00EC3071">
        <w:t>nstructions</w:t>
      </w:r>
      <w:r w:rsidR="00EC1A12">
        <w:t>.</w:t>
      </w:r>
    </w:p>
    <w:p w14:paraId="2C08FE50" w14:textId="77777777" w:rsidR="00374B57" w:rsidRPr="00B160E1" w:rsidRDefault="00374B57" w:rsidP="00374B57">
      <w:pPr>
        <w:pStyle w:val="BodyText"/>
        <w:rPr>
          <w:rFonts w:ascii="Calibri" w:hAnsi="Calibri"/>
          <w:b/>
          <w:iCs/>
        </w:rPr>
      </w:pPr>
      <w:r w:rsidRPr="00B160E1">
        <w:rPr>
          <w:rFonts w:ascii="Calibri" w:hAnsi="Calibri"/>
          <w:b/>
          <w:iCs/>
        </w:rPr>
        <w:t>Example of Transfer of Land</w:t>
      </w:r>
    </w:p>
    <w:p w14:paraId="669A07E7" w14:textId="77777777" w:rsidR="000520E1" w:rsidRDefault="00A974FE" w:rsidP="00B160E1">
      <w:pPr>
        <w:pStyle w:val="BodyText"/>
        <w:jc w:val="both"/>
        <w:rPr>
          <w:iCs/>
          <w:sz w:val="16"/>
          <w:szCs w:val="16"/>
        </w:rPr>
      </w:pPr>
      <w:r>
        <w:rPr>
          <w:noProof/>
        </w:rPr>
        <w:drawing>
          <wp:inline distT="0" distB="0" distL="0" distR="0" wp14:anchorId="07D7AEF1" wp14:editId="1E1220EE">
            <wp:extent cx="2415654" cy="1570590"/>
            <wp:effectExtent l="152400" t="152400" r="365760" b="35369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31254" cy="1580733"/>
                    </a:xfrm>
                    <a:prstGeom prst="rect">
                      <a:avLst/>
                    </a:prstGeom>
                    <a:ln>
                      <a:noFill/>
                    </a:ln>
                    <a:effectLst>
                      <a:outerShdw blurRad="292100" dist="139700" dir="2700000" algn="tl" rotWithShape="0">
                        <a:srgbClr val="333333">
                          <a:alpha val="65000"/>
                        </a:srgbClr>
                      </a:outerShdw>
                    </a:effectLst>
                  </pic:spPr>
                </pic:pic>
              </a:graphicData>
            </a:graphic>
          </wp:inline>
        </w:drawing>
      </w:r>
    </w:p>
    <w:p w14:paraId="7260A4FF" w14:textId="0397B71F" w:rsidR="007C60CC" w:rsidRPr="00B160E1" w:rsidRDefault="007C60CC" w:rsidP="00B160E1">
      <w:pPr>
        <w:pStyle w:val="BodyText"/>
        <w:rPr>
          <w:b/>
          <w:iCs/>
        </w:rPr>
      </w:pPr>
      <w:r w:rsidRPr="00B160E1">
        <w:rPr>
          <w:rFonts w:ascii="Calibri" w:hAnsi="Calibri"/>
          <w:b/>
          <w:iCs/>
        </w:rPr>
        <w:t>Example of LEAVE BLANK selection</w:t>
      </w:r>
    </w:p>
    <w:p w14:paraId="6E58CCEB" w14:textId="5873FB23" w:rsidR="000520E1" w:rsidRPr="00B160E1" w:rsidRDefault="000520E1" w:rsidP="00B160E1">
      <w:pPr>
        <w:pStyle w:val="BodyText"/>
        <w:jc w:val="both"/>
        <w:rPr>
          <w:iCs/>
          <w:sz w:val="16"/>
          <w:szCs w:val="16"/>
        </w:rPr>
      </w:pPr>
      <w:r>
        <w:rPr>
          <w:noProof/>
        </w:rPr>
        <w:drawing>
          <wp:inline distT="0" distB="0" distL="0" distR="0" wp14:anchorId="747651E4" wp14:editId="1DD26092">
            <wp:extent cx="3698543" cy="1559514"/>
            <wp:effectExtent l="152400" t="152400" r="359410" b="3651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38278" cy="1576268"/>
                    </a:xfrm>
                    <a:prstGeom prst="rect">
                      <a:avLst/>
                    </a:prstGeom>
                    <a:ln>
                      <a:noFill/>
                    </a:ln>
                    <a:effectLst>
                      <a:outerShdw blurRad="292100" dist="139700" dir="2700000" algn="tl" rotWithShape="0">
                        <a:srgbClr val="333333">
                          <a:alpha val="65000"/>
                        </a:srgbClr>
                      </a:outerShdw>
                    </a:effectLst>
                  </pic:spPr>
                </pic:pic>
              </a:graphicData>
            </a:graphic>
          </wp:inline>
        </w:drawing>
      </w:r>
    </w:p>
    <w:p w14:paraId="19CC6919" w14:textId="15B75A5C" w:rsidR="002D51D5" w:rsidRPr="00B160E1" w:rsidRDefault="009242FB" w:rsidP="00B160E1">
      <w:pPr>
        <w:pStyle w:val="Heading1"/>
        <w:numPr>
          <w:ilvl w:val="0"/>
          <w:numId w:val="0"/>
        </w:numPr>
      </w:pPr>
      <w:r w:rsidRPr="009242FB">
        <w:lastRenderedPageBreak/>
        <w:t xml:space="preserve">Entitlement to sign registry instruments </w:t>
      </w:r>
    </w:p>
    <w:p w14:paraId="602FA943" w14:textId="3B92D2F6" w:rsidR="009242FB" w:rsidRPr="008B4498" w:rsidRDefault="009242FB" w:rsidP="009242FB">
      <w:pPr>
        <w:pStyle w:val="BodyText"/>
      </w:pPr>
      <w:r>
        <w:t xml:space="preserve">The Australian Registrars’ National Electronic Conveyancing Council (ARNECC) has published </w:t>
      </w:r>
      <w:r>
        <w:rPr>
          <w:i/>
        </w:rPr>
        <w:t>Entitlement to sign Registry Instruments</w:t>
      </w:r>
      <w:r>
        <w:t xml:space="preserve">, based on advice provided by practitioner </w:t>
      </w:r>
      <w:r w:rsidRPr="3416057B">
        <w:t>regulator</w:t>
      </w:r>
      <w:r>
        <w:t xml:space="preserve">s. </w:t>
      </w:r>
      <w:r w:rsidR="000142CB">
        <w:t xml:space="preserve"> </w:t>
      </w:r>
      <w:r>
        <w:t xml:space="preserve">The document is available at </w:t>
      </w:r>
      <w:hyperlink r:id="rId21" w:history="1">
        <w:r w:rsidR="00374B57" w:rsidRPr="00374B57">
          <w:rPr>
            <w:rStyle w:val="Hyperlink"/>
          </w:rPr>
          <w:t>www.arnecc.gov.au/resources/guidance-practitioner-regulators</w:t>
        </w:r>
      </w:hyperlink>
      <w:r>
        <w:t>.</w:t>
      </w:r>
      <w:r w:rsidRPr="3416057B">
        <w:t xml:space="preserve"> </w:t>
      </w:r>
    </w:p>
    <w:p w14:paraId="1F7D4835" w14:textId="49C25B45" w:rsidR="009242FB" w:rsidRDefault="009242FB" w:rsidP="009242FB">
      <w:pPr>
        <w:pStyle w:val="BodyText"/>
      </w:pPr>
      <w:r>
        <w:t xml:space="preserve">For conveyancers in Victoria, </w:t>
      </w:r>
      <w:r w:rsidRPr="3416057B">
        <w:t>Consumer Affairs Victoria has determined that a licensed conveyancer and a non-practitioner employee of a licensed conveyancer may execute a</w:t>
      </w:r>
      <w:r>
        <w:t>n instrument</w:t>
      </w:r>
      <w:r w:rsidRPr="3416057B">
        <w:t xml:space="preserve"> on behalf of a client</w:t>
      </w:r>
      <w:r>
        <w:t xml:space="preserve">. </w:t>
      </w:r>
      <w:r w:rsidRPr="00744B0E">
        <w:t xml:space="preserve">In the drop-down list of signing options </w:t>
      </w:r>
      <w:r>
        <w:t xml:space="preserve">in paper forms, select </w:t>
      </w:r>
      <w:r w:rsidRPr="00744B0E">
        <w:t xml:space="preserve">either </w:t>
      </w:r>
      <w:r w:rsidR="009D6860">
        <w:t>‘</w:t>
      </w:r>
      <w:r w:rsidRPr="00744B0E">
        <w:t>L</w:t>
      </w:r>
      <w:r w:rsidR="009D6860">
        <w:t>ICENSED</w:t>
      </w:r>
      <w:r w:rsidRPr="00744B0E">
        <w:t xml:space="preserve"> C</w:t>
      </w:r>
      <w:r w:rsidR="009D6860">
        <w:t>ONVEYANCER</w:t>
      </w:r>
      <w:r>
        <w:t>’ or ‘C</w:t>
      </w:r>
      <w:r w:rsidR="009D6860">
        <w:t>ONVEYANCING</w:t>
      </w:r>
      <w:r>
        <w:t xml:space="preserve"> P</w:t>
      </w:r>
      <w:r w:rsidR="009D6860">
        <w:t>RACTICE</w:t>
      </w:r>
      <w:r>
        <w:t>’</w:t>
      </w:r>
      <w:r w:rsidRPr="3416057B">
        <w:t>.</w:t>
      </w:r>
    </w:p>
    <w:p w14:paraId="2447DD11" w14:textId="03B44547" w:rsidR="009242FB" w:rsidRPr="008B4498" w:rsidRDefault="009242FB" w:rsidP="009242FB">
      <w:pPr>
        <w:pStyle w:val="BodyText"/>
      </w:pPr>
      <w:r>
        <w:t>For lawyers in Victoria, t</w:t>
      </w:r>
      <w:r w:rsidRPr="5EB97D65">
        <w:t xml:space="preserve">he Victorian Legal Services Board/Commissioner has determined that only an Australian </w:t>
      </w:r>
      <w:r>
        <w:t>L</w:t>
      </w:r>
      <w:r w:rsidRPr="5EB97D65">
        <w:t xml:space="preserve">egal </w:t>
      </w:r>
      <w:r>
        <w:t>P</w:t>
      </w:r>
      <w:r w:rsidRPr="5EB97D65">
        <w:t>ractitioner</w:t>
      </w:r>
      <w:r>
        <w:t xml:space="preserve"> (ALP)</w:t>
      </w:r>
      <w:r w:rsidRPr="5EB97D65">
        <w:t xml:space="preserve"> </w:t>
      </w:r>
      <w:r>
        <w:t>or a licensed conveyancer employed by an ALP can</w:t>
      </w:r>
      <w:r w:rsidRPr="5EB97D65">
        <w:t xml:space="preserve"> execute </w:t>
      </w:r>
      <w:r>
        <w:t>instruments</w:t>
      </w:r>
      <w:r w:rsidRPr="5EB97D65">
        <w:t xml:space="preserve"> on behalf of a client</w:t>
      </w:r>
      <w:r>
        <w:t xml:space="preserve">. </w:t>
      </w:r>
      <w:r w:rsidR="000142CB">
        <w:t xml:space="preserve"> </w:t>
      </w:r>
      <w:r>
        <w:t xml:space="preserve">A </w:t>
      </w:r>
      <w:r w:rsidRPr="5EB97D65">
        <w:t>non-practitioner employee of an A</w:t>
      </w:r>
      <w:r>
        <w:t xml:space="preserve">LP </w:t>
      </w:r>
      <w:r w:rsidRPr="5EB97D65">
        <w:t>cannot sign.</w:t>
      </w:r>
      <w:r>
        <w:t xml:space="preserve"> </w:t>
      </w:r>
      <w:bookmarkStart w:id="3" w:name="_Hlk495334792"/>
      <w:r>
        <w:t>In the drop-down list of signing options in paper forms, select ‘A</w:t>
      </w:r>
      <w:r w:rsidR="009D6860">
        <w:t>USTRALIAN</w:t>
      </w:r>
      <w:r>
        <w:t xml:space="preserve"> L</w:t>
      </w:r>
      <w:r w:rsidR="009D6860">
        <w:t>EGAL</w:t>
      </w:r>
      <w:r>
        <w:t xml:space="preserve"> P</w:t>
      </w:r>
      <w:r w:rsidR="009D6860">
        <w:t>RACTITIONER</w:t>
      </w:r>
      <w:r>
        <w:t>’ or ‘L</w:t>
      </w:r>
      <w:r w:rsidR="009D6860">
        <w:t>ICENSED</w:t>
      </w:r>
      <w:r>
        <w:t xml:space="preserve"> C</w:t>
      </w:r>
      <w:r w:rsidR="009D6860">
        <w:t>ONVEYANCER</w:t>
      </w:r>
      <w:r>
        <w:t>’</w:t>
      </w:r>
      <w:bookmarkEnd w:id="3"/>
      <w:r>
        <w:t>.</w:t>
      </w:r>
    </w:p>
    <w:p w14:paraId="73F89769" w14:textId="2BCDCF07" w:rsidR="009242FB" w:rsidRPr="008B4498" w:rsidRDefault="009242FB" w:rsidP="009242FB">
      <w:pPr>
        <w:pStyle w:val="BodyText"/>
      </w:pPr>
      <w:r w:rsidRPr="3416057B">
        <w:t>'L</w:t>
      </w:r>
      <w:r w:rsidR="009D6860">
        <w:t>AW</w:t>
      </w:r>
      <w:r w:rsidRPr="3416057B">
        <w:t xml:space="preserve"> P</w:t>
      </w:r>
      <w:r w:rsidR="009D6860">
        <w:t>RACTICE</w:t>
      </w:r>
      <w:r w:rsidRPr="3416057B">
        <w:t xml:space="preserve">' is </w:t>
      </w:r>
      <w:r>
        <w:t xml:space="preserve">also </w:t>
      </w:r>
      <w:r w:rsidRPr="3416057B">
        <w:t>included</w:t>
      </w:r>
      <w:r w:rsidRPr="005559BA">
        <w:t xml:space="preserve"> </w:t>
      </w:r>
      <w:r>
        <w:t>in the</w:t>
      </w:r>
      <w:r w:rsidRPr="3416057B">
        <w:t xml:space="preserve"> drop-down list of signing options </w:t>
      </w:r>
      <w:r>
        <w:t xml:space="preserve">because it </w:t>
      </w:r>
      <w:r w:rsidRPr="3416057B">
        <w:t>is a national list</w:t>
      </w:r>
      <w:r>
        <w:t xml:space="preserve">. </w:t>
      </w:r>
      <w:r w:rsidR="000142CB">
        <w:t xml:space="preserve"> </w:t>
      </w:r>
      <w:r>
        <w:t>This</w:t>
      </w:r>
      <w:r w:rsidRPr="00922B95">
        <w:t xml:space="preserve"> </w:t>
      </w:r>
      <w:r w:rsidRPr="3416057B">
        <w:t>is not relevant to Victoria</w:t>
      </w:r>
      <w:r>
        <w:t xml:space="preserve">; however, it may </w:t>
      </w:r>
      <w:r w:rsidRPr="3416057B">
        <w:t xml:space="preserve">be an appropriate selection </w:t>
      </w:r>
      <w:r>
        <w:t>in some other</w:t>
      </w:r>
      <w:r w:rsidRPr="3416057B">
        <w:t xml:space="preserve"> Australian jurisdictions.</w:t>
      </w:r>
      <w:r>
        <w:t xml:space="preserve"> </w:t>
      </w:r>
    </w:p>
    <w:p w14:paraId="253155F8" w14:textId="0563D229" w:rsidR="00337438" w:rsidRDefault="00337438" w:rsidP="00E9232B">
      <w:pPr>
        <w:pStyle w:val="BodyText"/>
        <w:rPr>
          <w:rFonts w:ascii="Calibri" w:hAnsi="Calibri"/>
          <w:sz w:val="22"/>
          <w:szCs w:val="22"/>
        </w:rPr>
      </w:pPr>
    </w:p>
    <w:p w14:paraId="61821901" w14:textId="77777777" w:rsidR="00734A3E" w:rsidRDefault="00734A3E" w:rsidP="00E9232B">
      <w:pPr>
        <w:pStyle w:val="BodyText"/>
        <w:rPr>
          <w:rFonts w:ascii="Calibri" w:hAnsi="Calibri"/>
          <w:sz w:val="22"/>
          <w:szCs w:val="22"/>
        </w:rPr>
      </w:pPr>
    </w:p>
    <w:p w14:paraId="2C9DAB86" w14:textId="77777777" w:rsidR="00E3558A" w:rsidRDefault="00E3558A" w:rsidP="00E72067">
      <w:pPr>
        <w:pStyle w:val="Heading1"/>
        <w:numPr>
          <w:ilvl w:val="0"/>
          <w:numId w:val="0"/>
        </w:numPr>
        <w:spacing w:after="240"/>
        <w:rPr>
          <w:rFonts w:eastAsiaTheme="minorHAnsi"/>
          <w:lang w:eastAsia="en-US"/>
        </w:rPr>
      </w:pPr>
      <w:r>
        <w:rPr>
          <w:rFonts w:eastAsiaTheme="minorHAnsi"/>
          <w:lang w:eastAsia="en-US"/>
        </w:rPr>
        <w:t>Contact us</w:t>
      </w:r>
    </w:p>
    <w:p w14:paraId="37CA0966" w14:textId="77777777" w:rsidR="00E3558A" w:rsidRDefault="00E3558A" w:rsidP="00E3558A">
      <w:pPr>
        <w:pStyle w:val="BodyText"/>
      </w:pPr>
      <w:r>
        <w:rPr>
          <w:rFonts w:eastAsiaTheme="minorHAnsi" w:cs="Calibri"/>
          <w:color w:val="000000"/>
          <w:szCs w:val="22"/>
        </w:rPr>
        <w:t xml:space="preserve">For </w:t>
      </w:r>
      <w:hyperlink r:id="rId22" w:history="1">
        <w:r>
          <w:rPr>
            <w:rStyle w:val="Hyperlink"/>
            <w:rFonts w:eastAsiaTheme="minorHAnsi" w:cs="Calibri"/>
            <w:color w:val="000000"/>
            <w:szCs w:val="22"/>
          </w:rPr>
          <w:t>location and contact details</w:t>
        </w:r>
      </w:hyperlink>
      <w:r>
        <w:rPr>
          <w:rFonts w:eastAsiaTheme="minorHAnsi" w:cs="Calibri"/>
          <w:color w:val="000000"/>
          <w:szCs w:val="22"/>
        </w:rPr>
        <w:t xml:space="preserve">, go to </w:t>
      </w:r>
      <w:hyperlink r:id="rId23" w:history="1">
        <w:r>
          <w:rPr>
            <w:rStyle w:val="Hyperlink"/>
            <w:rFonts w:eastAsiaTheme="minorHAnsi" w:cs="Calibri"/>
            <w:color w:val="000000"/>
            <w:szCs w:val="22"/>
          </w:rPr>
          <w:t>www.propertyandlandtitles.vic.gov.au/contact-us</w:t>
        </w:r>
      </w:hyperlink>
      <w:r>
        <w:rPr>
          <w:rFonts w:eastAsiaTheme="minorHAnsi" w:cs="Calibri"/>
          <w:color w:val="000000"/>
          <w:szCs w:val="22"/>
        </w:rPr>
        <w:t>.</w:t>
      </w:r>
    </w:p>
    <w:p w14:paraId="72E92C0B" w14:textId="77777777" w:rsidR="00E3558A" w:rsidRDefault="00E3558A" w:rsidP="00E3558A">
      <w:pPr>
        <w:pStyle w:val="BodyText"/>
      </w:pPr>
    </w:p>
    <w:tbl>
      <w:tblPr>
        <w:tblpPr w:leftFromText="181" w:rightFromText="181" w:topFromText="113" w:vertAnchor="page" w:horzAnchor="page" w:tblpX="852" w:tblpY="12985"/>
        <w:tblOverlap w:val="never"/>
        <w:tblW w:w="1020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3"/>
        <w:gridCol w:w="4987"/>
      </w:tblGrid>
      <w:tr w:rsidR="00E3558A" w14:paraId="271D6EB0" w14:textId="77777777" w:rsidTr="00E3558A">
        <w:trPr>
          <w:trHeight w:val="2608"/>
        </w:trPr>
        <w:tc>
          <w:tcPr>
            <w:tcW w:w="5216" w:type="dxa"/>
            <w:tcBorders>
              <w:top w:val="single" w:sz="2" w:space="0" w:color="00B2A9"/>
              <w:left w:val="nil"/>
              <w:bottom w:val="nil"/>
              <w:right w:val="nil"/>
            </w:tcBorders>
            <w:hideMark/>
          </w:tcPr>
          <w:p w14:paraId="764B95FB" w14:textId="74E951D0" w:rsidR="00E3558A" w:rsidRDefault="00E3558A">
            <w:pPr>
              <w:pStyle w:val="SmallBodyText"/>
            </w:pPr>
            <w:r>
              <w:t xml:space="preserve">© The State of Victoria Department of Environment, Land, Water and Planning </w:t>
            </w:r>
            <w:r>
              <w:fldChar w:fldCharType="begin"/>
            </w:r>
            <w:r>
              <w:instrText xml:space="preserve"> DATE  \@ "yyyy" \* MERGEFORMAT </w:instrText>
            </w:r>
            <w:r>
              <w:fldChar w:fldCharType="separate"/>
            </w:r>
            <w:r w:rsidR="0044551F">
              <w:rPr>
                <w:noProof/>
              </w:rPr>
              <w:t>2017</w:t>
            </w:r>
            <w:r>
              <w:fldChar w:fldCharType="end"/>
            </w:r>
          </w:p>
          <w:p w14:paraId="4CC5C547" w14:textId="77777777" w:rsidR="00E3558A" w:rsidRDefault="00E3558A">
            <w:pPr>
              <w:pStyle w:val="SmallBodyText"/>
            </w:pPr>
            <w:r>
              <w:rPr>
                <w:noProof/>
              </w:rPr>
              <w:drawing>
                <wp:anchor distT="0" distB="0" distL="114300" distR="36195" simplePos="0" relativeHeight="251659264" behindDoc="0" locked="1" layoutInCell="1" allowOverlap="1" wp14:anchorId="4A88759D" wp14:editId="7014F308">
                  <wp:simplePos x="0" y="0"/>
                  <wp:positionH relativeFrom="column">
                    <wp:posOffset>0</wp:posOffset>
                  </wp:positionH>
                  <wp:positionV relativeFrom="paragraph">
                    <wp:posOffset>28575</wp:posOffset>
                  </wp:positionV>
                  <wp:extent cx="658495" cy="237490"/>
                  <wp:effectExtent l="0" t="0" r="8255" b="0"/>
                  <wp:wrapSquare wrapText="bothSides"/>
                  <wp:docPr id="14" name="Picture 14" descr="Ti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tle: 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8495" cy="237490"/>
                          </a:xfrm>
                          <a:prstGeom prst="rect">
                            <a:avLst/>
                          </a:prstGeom>
                          <a:noFill/>
                        </pic:spPr>
                      </pic:pic>
                    </a:graphicData>
                  </a:graphic>
                  <wp14:sizeRelH relativeFrom="page">
                    <wp14:pctWidth>0</wp14:pctWidth>
                  </wp14:sizeRelH>
                  <wp14:sizeRelV relativeFrom="page">
                    <wp14:pctHeight>0</wp14:pctHeight>
                  </wp14:sizeRelV>
                </wp:anchor>
              </w:drawing>
            </w:r>
            <w:bookmarkStart w:id="4" w:name="_ImprintPageOne"/>
            <w:bookmarkEnd w:id="4"/>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5A2E21D0" w14:textId="77777777" w:rsidR="00E3558A" w:rsidRDefault="00E3558A">
            <w:pPr>
              <w:pStyle w:val="SmallHeading"/>
            </w:pPr>
            <w:r>
              <w:t>Disclaimer</w:t>
            </w:r>
          </w:p>
          <w:p w14:paraId="36D40D6B" w14:textId="77777777" w:rsidR="00E3558A" w:rsidRDefault="00E3558A">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tcBorders>
              <w:top w:val="single" w:sz="2" w:space="0" w:color="00B2A9"/>
              <w:left w:val="nil"/>
              <w:bottom w:val="nil"/>
              <w:right w:val="nil"/>
            </w:tcBorders>
          </w:tcPr>
          <w:p w14:paraId="00138815" w14:textId="77777777" w:rsidR="00E3558A" w:rsidRDefault="00E3558A">
            <w:pPr>
              <w:pStyle w:val="xAccessibilityHeading"/>
            </w:pPr>
            <w:bookmarkStart w:id="5" w:name="_Accessibility"/>
            <w:bookmarkEnd w:id="5"/>
            <w:r>
              <w:t>Accessibility</w:t>
            </w:r>
          </w:p>
          <w:p w14:paraId="085848AD" w14:textId="77777777" w:rsidR="00E3558A" w:rsidRDefault="00E3558A">
            <w:pPr>
              <w:pStyle w:val="xAccessibilityText"/>
            </w:pPr>
            <w:r>
              <w:t>If you would like to receive this publication in an alternative format, please telephone the DELWP Customer Service Centre on 136186, email </w:t>
            </w:r>
            <w:hyperlink r:id="rId25" w:history="1">
              <w:r>
                <w:rPr>
                  <w:rStyle w:val="Hyperlink"/>
                </w:rPr>
                <w:t>customer.service@delwp.vic.gov.au</w:t>
              </w:r>
            </w:hyperlink>
            <w:r>
              <w:t xml:space="preserve">, or via the National Relay Service on 133 677 </w:t>
            </w:r>
            <w:hyperlink r:id="rId26" w:history="1">
              <w:r>
                <w:rPr>
                  <w:rStyle w:val="Hyperlink"/>
                </w:rPr>
                <w:t>www.relayservice.com.au</w:t>
              </w:r>
            </w:hyperlink>
            <w:r>
              <w:t xml:space="preserve">. This document is also available on the internet at </w:t>
            </w:r>
            <w:hyperlink r:id="rId27" w:history="1">
              <w:r>
                <w:rPr>
                  <w:rStyle w:val="Hyperlink"/>
                </w:rPr>
                <w:t>www.delwp.vic.gov.au</w:t>
              </w:r>
            </w:hyperlink>
            <w:r>
              <w:t xml:space="preserve">. </w:t>
            </w:r>
          </w:p>
          <w:p w14:paraId="3DE8CD6C" w14:textId="77777777" w:rsidR="00E3558A" w:rsidRDefault="00E3558A">
            <w:pPr>
              <w:pStyle w:val="SmallBodyText"/>
            </w:pPr>
          </w:p>
        </w:tc>
      </w:tr>
    </w:tbl>
    <w:p w14:paraId="2F2C1E05" w14:textId="77777777" w:rsidR="00E3558A" w:rsidRPr="00E9232B" w:rsidRDefault="00E3558A" w:rsidP="00E9232B">
      <w:pPr>
        <w:pStyle w:val="BodyText"/>
        <w:rPr>
          <w:rFonts w:ascii="Calibri" w:eastAsiaTheme="minorEastAsia" w:hAnsi="Calibri"/>
          <w:sz w:val="22"/>
          <w:szCs w:val="22"/>
        </w:rPr>
      </w:pPr>
    </w:p>
    <w:sectPr w:rsidR="00E3558A" w:rsidRPr="00E9232B" w:rsidSect="00736192">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48C0F" w14:textId="77777777" w:rsidR="004D2E05" w:rsidRDefault="004D2E05">
      <w:r>
        <w:separator/>
      </w:r>
    </w:p>
    <w:p w14:paraId="2EADE8C7" w14:textId="77777777" w:rsidR="004D2E05" w:rsidRDefault="004D2E05"/>
    <w:p w14:paraId="60C7DF27" w14:textId="77777777" w:rsidR="004D2E05" w:rsidRDefault="004D2E05"/>
  </w:endnote>
  <w:endnote w:type="continuationSeparator" w:id="0">
    <w:p w14:paraId="246A842F" w14:textId="77777777" w:rsidR="004D2E05" w:rsidRDefault="004D2E05">
      <w:r>
        <w:continuationSeparator/>
      </w:r>
    </w:p>
    <w:p w14:paraId="255DD791" w14:textId="77777777" w:rsidR="004D2E05" w:rsidRDefault="004D2E05"/>
    <w:p w14:paraId="1C239D03" w14:textId="77777777" w:rsidR="004D2E05" w:rsidRDefault="004D2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213622"/>
      <w:docPartObj>
        <w:docPartGallery w:val="Page Numbers (Bottom of Page)"/>
        <w:docPartUnique/>
      </w:docPartObj>
    </w:sdtPr>
    <w:sdtEndPr>
      <w:rPr>
        <w:noProof/>
      </w:rPr>
    </w:sdtEndPr>
    <w:sdtContent>
      <w:p w14:paraId="780160B1" w14:textId="3A3E1104" w:rsidR="002356C5" w:rsidRDefault="002356C5">
        <w:pPr>
          <w:pStyle w:val="Footer"/>
        </w:pPr>
        <w:r>
          <w:fldChar w:fldCharType="begin"/>
        </w:r>
        <w:r>
          <w:instrText xml:space="preserve"> PAGE   \* MERGEFORMAT </w:instrText>
        </w:r>
        <w:r>
          <w:fldChar w:fldCharType="separate"/>
        </w:r>
        <w:r w:rsidR="0044551F">
          <w:rPr>
            <w:noProof/>
          </w:rPr>
          <w:t>5</w:t>
        </w:r>
        <w:r>
          <w:rPr>
            <w:noProof/>
          </w:rPr>
          <w:fldChar w:fldCharType="end"/>
        </w:r>
      </w:p>
    </w:sdtContent>
  </w:sdt>
  <w:p w14:paraId="32FFDF64" w14:textId="41F1E595" w:rsidR="00E962AA" w:rsidRDefault="00E962AA" w:rsidP="00213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5B02F" w14:textId="77777777" w:rsidR="00E962AA" w:rsidRDefault="00E962AA" w:rsidP="00BF3066">
    <w:pPr>
      <w:pStyle w:val="Footer"/>
      <w:spacing w:before="1600"/>
    </w:pPr>
    <w:r>
      <w:rPr>
        <w:noProof/>
      </w:rPr>
      <w:drawing>
        <wp:anchor distT="0" distB="0" distL="114300" distR="114300" simplePos="0" relativeHeight="251661824" behindDoc="1" locked="1" layoutInCell="1" allowOverlap="1" wp14:anchorId="4082322F" wp14:editId="527E9959">
          <wp:simplePos x="0" y="0"/>
          <wp:positionH relativeFrom="page">
            <wp:align>right</wp:align>
          </wp:positionH>
          <wp:positionV relativeFrom="page">
            <wp:align>bottom</wp:align>
          </wp:positionV>
          <wp:extent cx="2408753" cy="1085850"/>
          <wp:effectExtent l="0" t="0" r="0" b="0"/>
          <wp:wrapNone/>
          <wp:docPr id="20"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3872" behindDoc="0" locked="1" layoutInCell="1" allowOverlap="1" wp14:anchorId="7784C2C4" wp14:editId="5DCDC000">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470002"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4C2C4" id="_x0000_t202" coordsize="21600,21600" o:spt="202" path="m,l,21600r21600,l21600,xe">
              <v:stroke joinstyle="miter"/>
              <v:path gradientshapeok="t" o:connecttype="rect"/>
            </v:shapetype>
            <v:shape id="WebAddress" o:spid="_x0000_s1026" type="#_x0000_t202" style="position:absolute;margin-left:0;margin-top:0;width:303pt;height:56.7pt;z-index:2516638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14:paraId="1F470002"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9776" behindDoc="1" locked="1" layoutInCell="1" allowOverlap="1" wp14:anchorId="586DE66E" wp14:editId="394BA395">
          <wp:simplePos x="0" y="0"/>
          <wp:positionH relativeFrom="page">
            <wp:align>right</wp:align>
          </wp:positionH>
          <wp:positionV relativeFrom="page">
            <wp:align>bottom</wp:align>
          </wp:positionV>
          <wp:extent cx="2422800" cy="1083600"/>
          <wp:effectExtent l="0" t="0" r="0" b="0"/>
          <wp:wrapNone/>
          <wp:docPr id="21"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283B0" w14:textId="77777777" w:rsidR="004D2E05" w:rsidRPr="008F5280" w:rsidRDefault="004D2E05" w:rsidP="008F5280">
      <w:pPr>
        <w:pStyle w:val="FootnoteSeparator"/>
      </w:pPr>
    </w:p>
    <w:p w14:paraId="5112BFB1" w14:textId="77777777" w:rsidR="004D2E05" w:rsidRDefault="004D2E05"/>
  </w:footnote>
  <w:footnote w:type="continuationSeparator" w:id="0">
    <w:p w14:paraId="5280150C" w14:textId="77777777" w:rsidR="004D2E05" w:rsidRDefault="004D2E05" w:rsidP="008F5280">
      <w:pPr>
        <w:pStyle w:val="FootnoteSeparator"/>
      </w:pPr>
    </w:p>
    <w:p w14:paraId="16B45942" w14:textId="77777777" w:rsidR="004D2E05" w:rsidRDefault="004D2E05"/>
    <w:p w14:paraId="1FD10209" w14:textId="77777777" w:rsidR="004D2E05" w:rsidRDefault="004D2E05"/>
  </w:footnote>
  <w:footnote w:type="continuationNotice" w:id="1">
    <w:p w14:paraId="4D32F876" w14:textId="77777777" w:rsidR="004D2E05" w:rsidRDefault="004D2E05" w:rsidP="00D55628"/>
    <w:p w14:paraId="3772B443" w14:textId="77777777" w:rsidR="004D2E05" w:rsidRDefault="004D2E05"/>
    <w:p w14:paraId="467A4FAC" w14:textId="77777777" w:rsidR="004D2E05" w:rsidRDefault="004D2E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4BA8FB51" w14:textId="77777777" w:rsidTr="00AC028D">
      <w:trPr>
        <w:trHeight w:hRule="exact" w:val="1418"/>
      </w:trPr>
      <w:tc>
        <w:tcPr>
          <w:tcW w:w="7761" w:type="dxa"/>
          <w:vAlign w:val="center"/>
        </w:tcPr>
        <w:p w14:paraId="33652E2B" w14:textId="078BC579" w:rsidR="00254A01" w:rsidRPr="00975ED3" w:rsidRDefault="0044551F" w:rsidP="00AC028D">
          <w:pPr>
            <w:pStyle w:val="Header"/>
          </w:pPr>
          <w:r>
            <w:fldChar w:fldCharType="begin"/>
          </w:r>
          <w:r>
            <w:instrText xml:space="preserve"> STYLEREF  Title  \* MERGEFORMAT </w:instrText>
          </w:r>
          <w:r>
            <w:fldChar w:fldCharType="separate"/>
          </w:r>
          <w:r>
            <w:rPr>
              <w:noProof/>
            </w:rPr>
            <w:t>Customer Information Bulletin 172, November 2017</w:t>
          </w:r>
          <w:r>
            <w:rPr>
              <w:noProof/>
            </w:rPr>
            <w:fldChar w:fldCharType="end"/>
          </w:r>
        </w:p>
      </w:tc>
    </w:tr>
  </w:tbl>
  <w:p w14:paraId="2CBE2825" w14:textId="77777777" w:rsidR="00254A01" w:rsidRDefault="00254A01" w:rsidP="00254A01">
    <w:pPr>
      <w:pStyle w:val="Header"/>
    </w:pPr>
    <w:r w:rsidRPr="00806AB6">
      <w:rPr>
        <w:noProof/>
      </w:rPr>
      <mc:AlternateContent>
        <mc:Choice Requires="wps">
          <w:drawing>
            <wp:anchor distT="0" distB="0" distL="114300" distR="114300" simplePos="0" relativeHeight="251656704" behindDoc="1" locked="0" layoutInCell="1" allowOverlap="1" wp14:anchorId="436AF3FC" wp14:editId="344694A1">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08BF74"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3154B9D4" wp14:editId="12C0BACF">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E3124B" id="TriangleLeft" o:spid="_x0000_s1026" style="position:absolute;margin-left:22.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584" behindDoc="1" locked="0" layoutInCell="1" allowOverlap="1" wp14:anchorId="65FA6C5F" wp14:editId="06CB5445">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15BB05" id="Rectangle" o:spid="_x0000_s1026" style="position:absolute;margin-left:22.7pt;margin-top:22.7pt;width:552.7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1616E57E"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495788EB" w14:textId="77777777" w:rsidTr="00AC028D">
      <w:trPr>
        <w:trHeight w:hRule="exact" w:val="1418"/>
      </w:trPr>
      <w:tc>
        <w:tcPr>
          <w:tcW w:w="7761" w:type="dxa"/>
          <w:vAlign w:val="center"/>
        </w:tcPr>
        <w:p w14:paraId="3F1FFDC7" w14:textId="72BD651B" w:rsidR="00254A01" w:rsidRPr="00975ED3" w:rsidRDefault="0044551F" w:rsidP="00AC028D">
          <w:pPr>
            <w:pStyle w:val="Header"/>
          </w:pPr>
          <w:r>
            <w:fldChar w:fldCharType="begin"/>
          </w:r>
          <w:r>
            <w:instrText xml:space="preserve"> STYLEREF  Title  \* MERGEFORMAT </w:instrText>
          </w:r>
          <w:r>
            <w:fldChar w:fldCharType="separate"/>
          </w:r>
          <w:r>
            <w:rPr>
              <w:noProof/>
            </w:rPr>
            <w:t>Customer Information Bulletin 172, November 2017</w:t>
          </w:r>
          <w:r>
            <w:rPr>
              <w:noProof/>
            </w:rPr>
            <w:fldChar w:fldCharType="end"/>
          </w:r>
        </w:p>
      </w:tc>
    </w:tr>
  </w:tbl>
  <w:p w14:paraId="3E2C801B" w14:textId="77777777" w:rsidR="00254A01" w:rsidRDefault="00254A01" w:rsidP="00254A01">
    <w:pPr>
      <w:pStyle w:val="Header"/>
    </w:pPr>
    <w:r w:rsidRPr="00806AB6">
      <w:rPr>
        <w:noProof/>
      </w:rPr>
      <mc:AlternateContent>
        <mc:Choice Requires="wps">
          <w:drawing>
            <wp:anchor distT="0" distB="0" distL="114300" distR="114300" simplePos="0" relativeHeight="251662848" behindDoc="1" locked="0" layoutInCell="1" allowOverlap="1" wp14:anchorId="028FC15A" wp14:editId="416C8FF7">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538E90" id="TriangleRight" o:spid="_x0000_s1026" style="position:absolute;margin-left:56.7pt;margin-top:22.7pt;width:68.0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794EEB73" wp14:editId="7CDBD9B5">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05216C"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48C747F8" wp14:editId="193BF2F0">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DD8BD5" id="Rectangle" o:spid="_x0000_s1026" style="position:absolute;margin-left:22.7pt;margin-top:22.7pt;width:552.7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4C3B5264"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5AD80" w14:textId="77777777" w:rsidR="00E962AA" w:rsidRPr="00E97294" w:rsidRDefault="00E962AA" w:rsidP="00E97294">
    <w:pPr>
      <w:pStyle w:val="Header"/>
    </w:pPr>
    <w:r w:rsidRPr="00806AB6">
      <w:rPr>
        <w:noProof/>
      </w:rPr>
      <mc:AlternateContent>
        <mc:Choice Requires="wps">
          <w:drawing>
            <wp:anchor distT="0" distB="0" distL="114300" distR="114300" simplePos="0" relativeHeight="251655680" behindDoc="1" locked="0" layoutInCell="1" allowOverlap="1" wp14:anchorId="0BF9493B" wp14:editId="2BE3902B">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A4113" id="TriangleRight" o:spid="_x0000_s1026" style="position:absolute;margin-left:56.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0F2F1786" wp14:editId="541E9730">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1534D" id="TriangleBottom" o:spid="_x0000_s1026" style="position:absolute;margin-left:56.7pt;margin-top:93.55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2DECF834" wp14:editId="349AF6E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E1EE6"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096F82E8" wp14:editId="37FF26C1">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38B0DE" id="Rectangle" o:spid="_x0000_s1026" style="position:absolute;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617AA"/>
    <w:multiLevelType w:val="hybridMultilevel"/>
    <w:tmpl w:val="F31C0B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8C154AC"/>
    <w:multiLevelType w:val="hybridMultilevel"/>
    <w:tmpl w:val="2E283FC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144CFA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47F4C4D"/>
    <w:multiLevelType w:val="hybridMultilevel"/>
    <w:tmpl w:val="1ACC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15:restartNumberingAfterBreak="0">
    <w:nsid w:val="79CF467B"/>
    <w:multiLevelType w:val="hybridMultilevel"/>
    <w:tmpl w:val="6F92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28"/>
  </w:num>
  <w:num w:numId="4">
    <w:abstractNumId w:val="35"/>
  </w:num>
  <w:num w:numId="5">
    <w:abstractNumId w:val="18"/>
  </w:num>
  <w:num w:numId="6">
    <w:abstractNumId w:val="14"/>
  </w:num>
  <w:num w:numId="7">
    <w:abstractNumId w:val="13"/>
  </w:num>
  <w:num w:numId="8">
    <w:abstractNumId w:val="11"/>
  </w:num>
  <w:num w:numId="9">
    <w:abstractNumId w:val="32"/>
  </w:num>
  <w:num w:numId="10">
    <w:abstractNumId w:val="16"/>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startOverride w:val="1"/>
    </w:lvlOverride>
  </w:num>
  <w:num w:numId="29">
    <w:abstractNumId w:val="22"/>
  </w:num>
  <w:num w:numId="30">
    <w:abstractNumId w:val="33"/>
  </w:num>
  <w:num w:numId="31">
    <w:abstractNumId w:val="8"/>
  </w:num>
  <w:num w:numId="32">
    <w:abstractNumId w:val="30"/>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7"/>
  </w:num>
  <w:num w:numId="44">
    <w:abstractNumId w:val="12"/>
  </w:num>
  <w:num w:numId="45">
    <w:abstractNumId w:val="36"/>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 w:numId="51">
    <w:abstractNumId w:val="13"/>
  </w:num>
  <w:num w:numId="52">
    <w:abstractNumId w:val="13"/>
  </w:num>
  <w:num w:numId="53">
    <w:abstractNumId w:val="11"/>
  </w:num>
  <w:num w:numId="54">
    <w:abstractNumId w:val="11"/>
  </w:num>
  <w:num w:numId="55">
    <w:abstractNumId w:val="12"/>
  </w:num>
  <w:num w:numId="56">
    <w:abstractNumId w:val="13"/>
  </w:num>
  <w:num w:numId="57">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8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E9232B"/>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706"/>
    <w:rsid w:val="0001389C"/>
    <w:rsid w:val="0001393A"/>
    <w:rsid w:val="00013BAE"/>
    <w:rsid w:val="00013DC6"/>
    <w:rsid w:val="000142CB"/>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0E1"/>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88F"/>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6F1"/>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9B5"/>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2F97"/>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C25"/>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79D"/>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678"/>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61A"/>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DFC"/>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6C5"/>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0F1C"/>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1D5"/>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414"/>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438"/>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4B57"/>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3BD3"/>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51F"/>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850"/>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7B3"/>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B94"/>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E05"/>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B27"/>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AB8"/>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3CE"/>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1DDB"/>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880"/>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4"/>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99A"/>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CCD"/>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A3E"/>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1F3"/>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E6"/>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0CC"/>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282"/>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3FBF"/>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02E"/>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9E"/>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D1A"/>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6673"/>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65"/>
    <w:rsid w:val="009152CB"/>
    <w:rsid w:val="009158DF"/>
    <w:rsid w:val="00916382"/>
    <w:rsid w:val="009167AE"/>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2FB"/>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2CA"/>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0F3"/>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860"/>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27D"/>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7F1"/>
    <w:rsid w:val="00A949D2"/>
    <w:rsid w:val="00A9559C"/>
    <w:rsid w:val="00A955CE"/>
    <w:rsid w:val="00A95B1D"/>
    <w:rsid w:val="00A95DD5"/>
    <w:rsid w:val="00A961F8"/>
    <w:rsid w:val="00A964D5"/>
    <w:rsid w:val="00A96A4E"/>
    <w:rsid w:val="00A96FF0"/>
    <w:rsid w:val="00A974FE"/>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935"/>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0E1"/>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6C5A"/>
    <w:rsid w:val="00B4717F"/>
    <w:rsid w:val="00B4780B"/>
    <w:rsid w:val="00B47AF6"/>
    <w:rsid w:val="00B50033"/>
    <w:rsid w:val="00B50F32"/>
    <w:rsid w:val="00B512C9"/>
    <w:rsid w:val="00B51388"/>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997"/>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7C2"/>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F93"/>
    <w:rsid w:val="00CA06DF"/>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7BE"/>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8A6"/>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193D"/>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947"/>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58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067"/>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98F"/>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32B"/>
    <w:rsid w:val="00E92BD6"/>
    <w:rsid w:val="00E92DEA"/>
    <w:rsid w:val="00E93029"/>
    <w:rsid w:val="00E9381A"/>
    <w:rsid w:val="00E93D98"/>
    <w:rsid w:val="00E9404C"/>
    <w:rsid w:val="00E95021"/>
    <w:rsid w:val="00E95025"/>
    <w:rsid w:val="00E95227"/>
    <w:rsid w:val="00E95576"/>
    <w:rsid w:val="00E9573C"/>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A12"/>
    <w:rsid w:val="00EC1C96"/>
    <w:rsid w:val="00EC3071"/>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030"/>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339"/>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horizontal-relative:page;mso-position-vertical-relative:page" stroke="f">
      <v:stroke on="f"/>
      <o:colormru v:ext="edit" colors="white"/>
    </o:shapedefaults>
    <o:shapelayout v:ext="edit">
      <o:idmap v:ext="edit" data="1"/>
    </o:shapelayout>
  </w:shapeDefaults>
  <w:decimalSymbol w:val="."/>
  <w:listSeparator w:val=","/>
  <w14:docId w14:val="5C7A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9232B"/>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9232B"/>
    <w:pPr>
      <w:spacing w:after="113"/>
    </w:pPr>
    <w:rPr>
      <w:rFonts w:ascii="Calibri" w:hAnsi="Calibri"/>
      <w:color w:val="auto"/>
      <w:sz w:val="22"/>
      <w:szCs w:val="24"/>
      <w:lang w:eastAsia="en-US"/>
    </w:rPr>
  </w:style>
  <w:style w:type="paragraph" w:customStyle="1" w:styleId="Bullet">
    <w:name w:val="_Bullet"/>
    <w:link w:val="BulletChar"/>
    <w:qFormat/>
    <w:rsid w:val="00E9232B"/>
    <w:pPr>
      <w:numPr>
        <w:numId w:val="44"/>
      </w:numPr>
      <w:spacing w:after="113" w:line="220" w:lineRule="atLeast"/>
    </w:pPr>
    <w:rPr>
      <w:rFonts w:ascii="Calibri" w:hAnsi="Calibri"/>
      <w:color w:val="auto"/>
      <w:sz w:val="22"/>
      <w:szCs w:val="24"/>
      <w:lang w:eastAsia="en-US"/>
    </w:rPr>
  </w:style>
  <w:style w:type="character" w:customStyle="1" w:styleId="BulletChar">
    <w:name w:val="_Bullet Char"/>
    <w:link w:val="Bullet"/>
    <w:rsid w:val="00E9232B"/>
    <w:rPr>
      <w:rFonts w:ascii="Calibri" w:hAnsi="Calibri"/>
      <w:color w:val="auto"/>
      <w:sz w:val="22"/>
      <w:szCs w:val="24"/>
      <w:lang w:eastAsia="en-US"/>
    </w:rPr>
  </w:style>
  <w:style w:type="paragraph" w:customStyle="1" w:styleId="BodyTextManual">
    <w:name w:val="Body Text Manual"/>
    <w:basedOn w:val="Normal"/>
    <w:link w:val="BodyTextManualChar"/>
    <w:rsid w:val="00E9232B"/>
    <w:pPr>
      <w:spacing w:line="240" w:lineRule="auto"/>
    </w:pPr>
    <w:rPr>
      <w:rFonts w:ascii="Tahoma" w:hAnsi="Tahoma" w:cs="Times New Roman"/>
      <w:color w:val="auto"/>
      <w:sz w:val="22"/>
      <w:lang w:val="x-none" w:eastAsia="x-none"/>
    </w:rPr>
  </w:style>
  <w:style w:type="character" w:customStyle="1" w:styleId="BodyTextManualChar">
    <w:name w:val="Body Text Manual Char"/>
    <w:link w:val="BodyTextManual"/>
    <w:rsid w:val="00E9232B"/>
    <w:rPr>
      <w:rFonts w:ascii="Tahoma" w:hAnsi="Tahoma" w:cs="Times New Roman"/>
      <w:color w:val="auto"/>
      <w:sz w:val="22"/>
      <w:lang w:val="x-none" w:eastAsia="x-none"/>
    </w:rPr>
  </w:style>
  <w:style w:type="character" w:styleId="UnresolvedMention">
    <w:name w:val="Unresolved Mention"/>
    <w:basedOn w:val="DefaultParagraphFont"/>
    <w:uiPriority w:val="99"/>
    <w:semiHidden/>
    <w:unhideWhenUsed/>
    <w:rsid w:val="00512B27"/>
    <w:rPr>
      <w:color w:val="808080"/>
      <w:shd w:val="clear" w:color="auto" w:fill="E6E6E6"/>
    </w:rPr>
  </w:style>
  <w:style w:type="paragraph" w:styleId="Revision">
    <w:name w:val="Revision"/>
    <w:hidden/>
    <w:uiPriority w:val="99"/>
    <w:semiHidden/>
    <w:rsid w:val="00B5003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35172537">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ro.vic.gov.au/dutiesonline" TargetMode="External"/><Relationship Id="rId18" Type="http://schemas.openxmlformats.org/officeDocument/2006/relationships/hyperlink" Target="http://www.propertyandlandtitles.vic.gov.au" TargetMode="External"/><Relationship Id="rId26"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hyperlink" Target="http://www.arnecc.gov.au/resources/guidance-practitioner-regulator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propertyandlandtitles.vic.gov.au/contact-u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www.dtpli.vic.gov.au/property-and-land-titles/contact-us" TargetMode="External"/><Relationship Id="rId27" Type="http://schemas.openxmlformats.org/officeDocument/2006/relationships/hyperlink" Target="http://www.delwp.vic.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2E2A4-D157-4B9E-8501-84D614C2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1454</Words>
  <Characters>8293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2017-11-09T00:01:00Z</dcterms:created>
  <dcterms:modified xsi:type="dcterms:W3CDTF">2017-11-09T00:01:00Z</dcterms:modified>
</cp:coreProperties>
</file>