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57B0255E" w14:textId="77777777" w:rsidTr="003F46E9">
        <w:trPr>
          <w:trHeight w:hRule="exact" w:val="1418"/>
        </w:trPr>
        <w:tc>
          <w:tcPr>
            <w:tcW w:w="7761" w:type="dxa"/>
            <w:vAlign w:val="center"/>
          </w:tcPr>
          <w:p w14:paraId="058837E3" w14:textId="77777777" w:rsidR="00DD1AAD" w:rsidRDefault="00DD1AAD" w:rsidP="009B1003">
            <w:pPr>
              <w:pStyle w:val="Title"/>
            </w:pPr>
            <w:bookmarkStart w:id="0" w:name="_GoBack"/>
            <w:bookmarkEnd w:id="0"/>
            <w:r>
              <w:t>Land Use Victoria</w:t>
            </w:r>
          </w:p>
          <w:p w14:paraId="55D4A24E" w14:textId="77777777" w:rsidR="00DD1AAD" w:rsidRDefault="00DD1AAD" w:rsidP="009B1003">
            <w:pPr>
              <w:pStyle w:val="Title"/>
            </w:pPr>
            <w:r>
              <w:t>Customer Information Bulletin 179</w:t>
            </w:r>
          </w:p>
          <w:p w14:paraId="596375EF" w14:textId="77777777" w:rsidR="009B1003" w:rsidRPr="009B1003" w:rsidRDefault="00DD1AAD" w:rsidP="009B1003">
            <w:pPr>
              <w:pStyle w:val="Title"/>
            </w:pPr>
            <w:r>
              <w:t>Ju</w:t>
            </w:r>
            <w:r w:rsidR="001D651B">
              <w:t>ly</w:t>
            </w:r>
            <w:r>
              <w:t xml:space="preserve"> 2018</w:t>
            </w:r>
          </w:p>
        </w:tc>
      </w:tr>
      <w:tr w:rsidR="00975ED3" w14:paraId="761E9888" w14:textId="77777777" w:rsidTr="003F46E9">
        <w:trPr>
          <w:trHeight w:val="1247"/>
        </w:trPr>
        <w:tc>
          <w:tcPr>
            <w:tcW w:w="7761" w:type="dxa"/>
            <w:vAlign w:val="center"/>
          </w:tcPr>
          <w:p w14:paraId="1B96754C" w14:textId="77777777" w:rsidR="009B1003" w:rsidRPr="009B1003" w:rsidRDefault="009B1003" w:rsidP="009B1003">
            <w:pPr>
              <w:pStyle w:val="Subtitle"/>
            </w:pPr>
          </w:p>
        </w:tc>
      </w:tr>
    </w:tbl>
    <w:p w14:paraId="0ECE94E4"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2632AF7E" w14:textId="77777777" w:rsidR="00DD1AAD" w:rsidRPr="0052767E" w:rsidRDefault="00DD1AAD" w:rsidP="00DD1AAD">
      <w:pPr>
        <w:pStyle w:val="Heading1"/>
        <w:rPr>
          <w:rFonts w:eastAsia="Calibri"/>
        </w:rPr>
      </w:pPr>
      <w:bookmarkStart w:id="1" w:name="Here"/>
      <w:bookmarkEnd w:id="1"/>
      <w:r w:rsidRPr="0052767E">
        <w:rPr>
          <w:rFonts w:eastAsia="Calibri"/>
        </w:rPr>
        <w:t>New lodgment and search fees from 1 July 2018</w:t>
      </w:r>
    </w:p>
    <w:p w14:paraId="01834540" w14:textId="77777777" w:rsidR="00DD1AAD" w:rsidRPr="0052767E" w:rsidRDefault="00B60E8A" w:rsidP="00C9277E">
      <w:pPr>
        <w:pStyle w:val="BodyText"/>
      </w:pPr>
      <w:r>
        <w:t xml:space="preserve">On </w:t>
      </w:r>
      <w:r w:rsidR="00DD1AAD" w:rsidRPr="0052767E">
        <w:t>1 July 2018, fees for lodging transactions at Land Use Victoria</w:t>
      </w:r>
      <w:r w:rsidR="00AF5FBC">
        <w:t xml:space="preserve"> (LUV)</w:t>
      </w:r>
      <w:r w:rsidR="00DD1AAD" w:rsidRPr="0052767E">
        <w:t xml:space="preserve"> change</w:t>
      </w:r>
      <w:r>
        <w:t>d</w:t>
      </w:r>
      <w:r w:rsidR="00DD1AAD" w:rsidRPr="0052767E">
        <w:t>. Search fees also change</w:t>
      </w:r>
      <w:r>
        <w:t>d</w:t>
      </w:r>
      <w:r w:rsidR="00DD1AAD" w:rsidRPr="0052767E">
        <w:t xml:space="preserve">.  </w:t>
      </w:r>
    </w:p>
    <w:p w14:paraId="24045EE0" w14:textId="77777777" w:rsidR="00DD1AAD" w:rsidRPr="0052767E" w:rsidRDefault="00DD1AAD" w:rsidP="00472C55">
      <w:pPr>
        <w:pStyle w:val="BodyText"/>
      </w:pPr>
      <w:r w:rsidRPr="0052767E">
        <w:t>The value of a fee unit, as announced by the</w:t>
      </w:r>
      <w:r w:rsidRPr="00C9277E">
        <w:rPr>
          <w:rStyle w:val="BodyTextChar"/>
        </w:rPr>
        <w:t xml:space="preserve"> </w:t>
      </w:r>
      <w:r w:rsidRPr="0052767E">
        <w:t>Treasurer, is $14.45.</w:t>
      </w:r>
    </w:p>
    <w:p w14:paraId="56B87AD0" w14:textId="77777777" w:rsidR="00DD1AAD" w:rsidRPr="000020D3" w:rsidRDefault="00DD1AAD" w:rsidP="000020D3">
      <w:pPr>
        <w:pStyle w:val="BodyText"/>
      </w:pPr>
      <w:r w:rsidRPr="000020D3">
        <w:t xml:space="preserve">Comprehensive fee listings and fee calculators are available at </w:t>
      </w:r>
      <w:hyperlink r:id="rId14" w:history="1">
        <w:r w:rsidR="00DF47EA" w:rsidRPr="00904593">
          <w:rPr>
            <w:rStyle w:val="Hyperlink"/>
          </w:rPr>
          <w:t>www.propertyandlandtitles.vic.gov.au/forms-guides-and-fees/fees</w:t>
        </w:r>
      </w:hyperlink>
      <w:r w:rsidR="00DF47EA">
        <w:rPr>
          <w:rStyle w:val="Hyperlink"/>
          <w:color w:val="363534" w:themeColor="text1"/>
          <w:u w:val="none"/>
        </w:rPr>
        <w:t>.</w:t>
      </w:r>
      <w:r w:rsidRPr="000020D3">
        <w:t xml:space="preserve"> </w:t>
      </w:r>
    </w:p>
    <w:p w14:paraId="7E4C4ED2" w14:textId="77777777" w:rsidR="00DD1AAD" w:rsidRPr="0052767E" w:rsidRDefault="00801FA2" w:rsidP="00C9277E">
      <w:pPr>
        <w:pStyle w:val="BodyText"/>
      </w:pPr>
      <w:r>
        <w:t>Following is a</w:t>
      </w:r>
      <w:r w:rsidR="00DD1AAD" w:rsidRPr="0052767E">
        <w:t xml:space="preserve"> summary of the most common fees</w:t>
      </w:r>
      <w:r>
        <w:t>.</w:t>
      </w:r>
    </w:p>
    <w:p w14:paraId="5078BAEF" w14:textId="77777777" w:rsidR="00DD1AAD" w:rsidRPr="0052767E" w:rsidRDefault="00DD1AAD" w:rsidP="009C1D29">
      <w:pPr>
        <w:pStyle w:val="Heading2"/>
      </w:pPr>
      <w:r w:rsidRPr="0052767E">
        <w:t>Transfer of Land Act 1958</w:t>
      </w:r>
    </w:p>
    <w:p w14:paraId="42A84B59" w14:textId="77777777" w:rsidR="00DD1AAD" w:rsidRPr="0052767E" w:rsidRDefault="00DD1AAD" w:rsidP="009C1D29">
      <w:pPr>
        <w:pStyle w:val="Heading3"/>
      </w:pPr>
      <w:r w:rsidRPr="0052767E">
        <w:t>Paper transactions</w:t>
      </w:r>
    </w:p>
    <w:p w14:paraId="4D5F7E15" w14:textId="77777777" w:rsidR="00DD1AAD" w:rsidRPr="0052767E" w:rsidRDefault="00DD1AAD" w:rsidP="00C9277E">
      <w:pPr>
        <w:pStyle w:val="BodyText"/>
      </w:pPr>
      <w:r w:rsidRPr="0052767E">
        <w:t xml:space="preserve">Fees for paper transactions from 1 July 2018 </w:t>
      </w:r>
      <w:r w:rsidR="001D651B">
        <w:t>are</w:t>
      </w:r>
      <w:r w:rsidRPr="0052767E">
        <w:t>:</w:t>
      </w:r>
    </w:p>
    <w:p w14:paraId="6374C2EB" w14:textId="77777777" w:rsidR="00DD1AAD" w:rsidRPr="0052767E" w:rsidRDefault="00DD1AAD" w:rsidP="00C9277E">
      <w:pPr>
        <w:pStyle w:val="BodyText"/>
      </w:pPr>
      <w:r w:rsidRPr="0052767E">
        <w:t>Discharge of mortgage</w:t>
      </w:r>
      <w:r w:rsidRPr="0052767E">
        <w:tab/>
      </w:r>
      <w:r w:rsidR="00DA6512">
        <w:tab/>
      </w:r>
      <w:r w:rsidRPr="0052767E">
        <w:t>$116.80</w:t>
      </w:r>
      <w:r w:rsidRPr="0052767E">
        <w:br/>
        <w:t xml:space="preserve">Transfer of land </w:t>
      </w:r>
      <w:r w:rsidRPr="0052767E">
        <w:tab/>
      </w:r>
      <w:r w:rsidR="00DA6512">
        <w:tab/>
      </w:r>
      <w:r w:rsidR="00DA6512">
        <w:tab/>
      </w:r>
      <w:r w:rsidRPr="0052767E">
        <w:t>$96.10 plus $2.34 per $</w:t>
      </w:r>
      <w:r w:rsidR="00DF47EA">
        <w:t xml:space="preserve">1000 of consideration (up to a </w:t>
      </w:r>
      <w:r w:rsidRPr="0052767E">
        <w:t>consideration of $1.5m)</w:t>
      </w:r>
      <w:r w:rsidRPr="0052767E">
        <w:br/>
        <w:t>Mortgage</w:t>
      </w:r>
      <w:r w:rsidRPr="0052767E">
        <w:tab/>
      </w:r>
      <w:r w:rsidR="00DA6512">
        <w:tab/>
      </w:r>
      <w:r w:rsidR="00DA6512">
        <w:tab/>
      </w:r>
      <w:r w:rsidR="00DA6512">
        <w:tab/>
      </w:r>
      <w:r w:rsidRPr="0052767E">
        <w:t>$116.80</w:t>
      </w:r>
      <w:r w:rsidRPr="0052767E">
        <w:br/>
        <w:t>Caveat</w:t>
      </w:r>
      <w:r w:rsidRPr="0052767E">
        <w:tab/>
      </w:r>
      <w:r w:rsidR="00DA6512">
        <w:tab/>
      </w:r>
      <w:r w:rsidR="00DA6512">
        <w:tab/>
      </w:r>
      <w:r w:rsidR="00DA6512">
        <w:tab/>
      </w:r>
      <w:r w:rsidRPr="0052767E">
        <w:t>$48.00</w:t>
      </w:r>
      <w:r w:rsidRPr="0052767E">
        <w:br/>
        <w:t>Transfer (non-monetary)</w:t>
      </w:r>
      <w:r w:rsidRPr="0052767E">
        <w:tab/>
      </w:r>
      <w:r w:rsidR="00DA6512">
        <w:tab/>
      </w:r>
      <w:r w:rsidRPr="0052767E">
        <w:t>$96.10</w:t>
      </w:r>
      <w:r w:rsidRPr="0052767E">
        <w:br/>
        <w:t>Withdrawal of caveat</w:t>
      </w:r>
      <w:r w:rsidRPr="0052767E">
        <w:tab/>
      </w:r>
      <w:r w:rsidR="00DA6512">
        <w:tab/>
      </w:r>
      <w:r w:rsidRPr="0052767E">
        <w:t>$48.00</w:t>
      </w:r>
      <w:r w:rsidRPr="0052767E">
        <w:br/>
        <w:t xml:space="preserve">Transmission application </w:t>
      </w:r>
      <w:r w:rsidR="00DA6512">
        <w:tab/>
      </w:r>
      <w:r w:rsidRPr="0052767E">
        <w:tab/>
        <w:t>$48.00</w:t>
      </w:r>
      <w:r w:rsidRPr="0052767E">
        <w:br/>
        <w:t xml:space="preserve">Survivorship application </w:t>
      </w:r>
      <w:r w:rsidRPr="0052767E">
        <w:tab/>
      </w:r>
      <w:r w:rsidR="00DA6512">
        <w:tab/>
      </w:r>
      <w:r w:rsidRPr="0052767E">
        <w:t>$48.00</w:t>
      </w:r>
    </w:p>
    <w:p w14:paraId="1166A2AA" w14:textId="77777777" w:rsidR="00DD1AAD" w:rsidRPr="0052767E" w:rsidRDefault="00DD1AAD" w:rsidP="009C1D29">
      <w:pPr>
        <w:pStyle w:val="Heading3"/>
      </w:pPr>
      <w:r w:rsidRPr="0052767E">
        <w:t>Electronic transactions</w:t>
      </w:r>
    </w:p>
    <w:p w14:paraId="297B1FD0" w14:textId="77777777" w:rsidR="00DD1AAD" w:rsidRPr="0052767E" w:rsidRDefault="00DD1AAD" w:rsidP="00C9277E">
      <w:pPr>
        <w:pStyle w:val="BodyText"/>
      </w:pPr>
      <w:r w:rsidRPr="0052767E">
        <w:t xml:space="preserve">Fees for electronic transactions from 1 July 2018 </w:t>
      </w:r>
      <w:r w:rsidR="001D651B">
        <w:t>are</w:t>
      </w:r>
    </w:p>
    <w:p w14:paraId="7380300C" w14:textId="77777777" w:rsidR="00DD1AAD" w:rsidRPr="0052767E" w:rsidRDefault="00DD1AAD" w:rsidP="00C9277E">
      <w:pPr>
        <w:pStyle w:val="BodyText"/>
      </w:pPr>
      <w:r w:rsidRPr="0052767E">
        <w:t xml:space="preserve">Discharge of mortgage </w:t>
      </w:r>
      <w:r w:rsidRPr="0052767E">
        <w:tab/>
      </w:r>
      <w:r w:rsidR="00DA6512">
        <w:tab/>
      </w:r>
      <w:r w:rsidRPr="0052767E">
        <w:t>$108.10</w:t>
      </w:r>
      <w:r w:rsidRPr="0052767E">
        <w:br/>
        <w:t xml:space="preserve">Transfer of land </w:t>
      </w:r>
      <w:r w:rsidRPr="0052767E">
        <w:tab/>
      </w:r>
      <w:r w:rsidR="00DA6512">
        <w:tab/>
      </w:r>
      <w:r w:rsidR="00DA6512">
        <w:tab/>
      </w:r>
      <w:r w:rsidRPr="0052767E">
        <w:t>$87.30 plus $2.34 per $1000 of consideration (up to a consideration of $1.5m)</w:t>
      </w:r>
      <w:r w:rsidRPr="0052767E">
        <w:br/>
        <w:t>Mortgage</w:t>
      </w:r>
      <w:r w:rsidRPr="0052767E">
        <w:tab/>
      </w:r>
      <w:r w:rsidR="00C9277E">
        <w:tab/>
      </w:r>
      <w:r w:rsidR="00C9277E">
        <w:tab/>
      </w:r>
      <w:r w:rsidR="00C9277E">
        <w:tab/>
      </w:r>
      <w:r w:rsidRPr="0052767E">
        <w:t>$108.10</w:t>
      </w:r>
      <w:r w:rsidRPr="0052767E">
        <w:br/>
        <w:t xml:space="preserve">Caveat </w:t>
      </w:r>
      <w:r w:rsidRPr="0052767E">
        <w:tab/>
      </w:r>
      <w:r w:rsidR="00C9277E">
        <w:tab/>
      </w:r>
      <w:r w:rsidR="00C9277E">
        <w:tab/>
      </w:r>
      <w:r w:rsidR="00C9277E">
        <w:tab/>
      </w:r>
      <w:r w:rsidRPr="0052767E">
        <w:t>$39.20</w:t>
      </w:r>
      <w:r w:rsidRPr="0052767E">
        <w:br/>
        <w:t>Transfer (non-monetary)</w:t>
      </w:r>
      <w:r w:rsidRPr="0052767E">
        <w:tab/>
      </w:r>
      <w:r w:rsidR="00C9277E">
        <w:tab/>
      </w:r>
      <w:r w:rsidRPr="0052767E">
        <w:t>$87.30</w:t>
      </w:r>
      <w:r w:rsidRPr="0052767E">
        <w:br/>
        <w:t>Withdrawal of caveat</w:t>
      </w:r>
      <w:r w:rsidRPr="0052767E">
        <w:tab/>
      </w:r>
      <w:r w:rsidR="00C9277E">
        <w:tab/>
      </w:r>
      <w:r w:rsidRPr="0052767E">
        <w:t>$39.20</w:t>
      </w:r>
      <w:r w:rsidR="00C9277E">
        <w:br/>
      </w:r>
      <w:r w:rsidRPr="0052767E">
        <w:t>Priority notice</w:t>
      </w:r>
      <w:r w:rsidRPr="0052767E">
        <w:tab/>
      </w:r>
      <w:r w:rsidR="00C9277E">
        <w:tab/>
      </w:r>
      <w:r w:rsidR="00C9277E">
        <w:tab/>
      </w:r>
      <w:r w:rsidRPr="0052767E">
        <w:t>$29.60</w:t>
      </w:r>
      <w:r w:rsidR="00C9277E">
        <w:br/>
      </w:r>
      <w:r w:rsidRPr="0052767E">
        <w:t>Withdrawal of priority notice</w:t>
      </w:r>
      <w:r w:rsidRPr="0052767E">
        <w:tab/>
        <w:t>$29.60</w:t>
      </w:r>
    </w:p>
    <w:p w14:paraId="17C03320" w14:textId="77777777" w:rsidR="00DF47EA" w:rsidRDefault="00DF47EA">
      <w:pPr>
        <w:rPr>
          <w:b/>
          <w:bCs/>
          <w:iCs/>
          <w:color w:val="B3272F" w:themeColor="text2"/>
          <w:kern w:val="20"/>
          <w:sz w:val="22"/>
          <w:szCs w:val="28"/>
        </w:rPr>
      </w:pPr>
      <w:r>
        <w:br w:type="page"/>
      </w:r>
    </w:p>
    <w:p w14:paraId="4376025B" w14:textId="77777777" w:rsidR="00DD1AAD" w:rsidRPr="0052767E" w:rsidRDefault="00DD1AAD" w:rsidP="009C1D29">
      <w:pPr>
        <w:pStyle w:val="Heading2"/>
      </w:pPr>
      <w:r w:rsidRPr="0052767E">
        <w:lastRenderedPageBreak/>
        <w:t>Subdivision Act 1988</w:t>
      </w:r>
    </w:p>
    <w:p w14:paraId="21452B96" w14:textId="77777777" w:rsidR="00DD1AAD" w:rsidRPr="00F07EDB" w:rsidRDefault="00DD1AAD" w:rsidP="00F07EDB">
      <w:pPr>
        <w:pStyle w:val="BodyText"/>
      </w:pPr>
      <w:r w:rsidRPr="00F07EDB">
        <w:t>From 1 July 2018</w:t>
      </w:r>
      <w:r w:rsidR="00DF47EA" w:rsidRPr="00F07EDB">
        <w:t>:</w:t>
      </w:r>
    </w:p>
    <w:p w14:paraId="75A5DAC0" w14:textId="70363D0E" w:rsidR="00DD1AAD" w:rsidRPr="00F07EDB" w:rsidRDefault="00DD1AAD" w:rsidP="00F07EDB">
      <w:pPr>
        <w:pStyle w:val="BodyText"/>
        <w:ind w:left="3402" w:hanging="3402"/>
      </w:pPr>
      <w:r w:rsidRPr="00F07EDB">
        <w:t xml:space="preserve">Plan of subdivision </w:t>
      </w:r>
      <w:r w:rsidRPr="00F07EDB">
        <w:tab/>
        <w:t>$605.20 plus $187.10 per parcel (a parcel is each lot, road, reserve or common property created by the plan)</w:t>
      </w:r>
    </w:p>
    <w:p w14:paraId="76C5FFF7" w14:textId="77777777" w:rsidR="00DD1AAD" w:rsidRPr="0052767E" w:rsidRDefault="00DD1AAD" w:rsidP="00DF47EA">
      <w:pPr>
        <w:pStyle w:val="Heading2"/>
      </w:pPr>
      <w:r w:rsidRPr="0052767E">
        <w:t>Search products</w:t>
      </w:r>
    </w:p>
    <w:p w14:paraId="7DA71889" w14:textId="77777777" w:rsidR="00893CAD" w:rsidRPr="000E7B57" w:rsidRDefault="00893CAD" w:rsidP="00F07EDB">
      <w:pPr>
        <w:pStyle w:val="BodyText"/>
      </w:pPr>
      <w:r w:rsidRPr="000E7B57">
        <w:t>Fees for search products and services will be:</w:t>
      </w:r>
    </w:p>
    <w:p w14:paraId="0E653303" w14:textId="294AD523" w:rsidR="00893CAD" w:rsidRPr="0052767E" w:rsidRDefault="00893CAD" w:rsidP="00F07EDB">
      <w:pPr>
        <w:pStyle w:val="BodyText"/>
      </w:pPr>
      <w:r w:rsidRPr="000E7B57">
        <w:tab/>
      </w:r>
      <w:r w:rsidR="00F07EDB">
        <w:tab/>
      </w:r>
      <w:r w:rsidR="00F07EDB">
        <w:tab/>
      </w:r>
      <w:r w:rsidR="00F07EDB">
        <w:tab/>
      </w:r>
      <w:r w:rsidR="00F07EDB">
        <w:tab/>
      </w:r>
      <w:r w:rsidRPr="000E7B57">
        <w:t>Government internet service</w:t>
      </w:r>
      <w:r w:rsidRPr="000E7B57">
        <w:tab/>
      </w:r>
      <w:r w:rsidR="00F07EDB">
        <w:tab/>
      </w:r>
      <w:r w:rsidRPr="000E7B57">
        <w:t>In person</w:t>
      </w:r>
      <w:r w:rsidRPr="000E7B57">
        <w:br/>
        <w:t>Title text</w:t>
      </w:r>
      <w:r w:rsidRPr="000E7B57">
        <w:tab/>
      </w:r>
      <w:r w:rsidR="00F07EDB">
        <w:tab/>
      </w:r>
      <w:r w:rsidR="00F07EDB">
        <w:tab/>
      </w:r>
      <w:r w:rsidR="00F07EDB">
        <w:tab/>
      </w:r>
      <w:r w:rsidRPr="000E7B57">
        <w:t>$7.08</w:t>
      </w:r>
      <w:r w:rsidRPr="000E7B57">
        <w:tab/>
      </w:r>
      <w:r w:rsidR="00F07EDB">
        <w:tab/>
      </w:r>
      <w:r w:rsidR="00F07EDB">
        <w:tab/>
      </w:r>
      <w:r w:rsidR="00F07EDB">
        <w:tab/>
      </w:r>
      <w:r w:rsidR="00F07EDB">
        <w:tab/>
      </w:r>
      <w:r w:rsidR="00F07EDB">
        <w:tab/>
      </w:r>
      <w:r w:rsidRPr="000E7B57">
        <w:t>$17.60</w:t>
      </w:r>
      <w:r w:rsidRPr="000E7B57">
        <w:br/>
        <w:t>Title text and diagram</w:t>
      </w:r>
      <w:r w:rsidRPr="000E7B57">
        <w:tab/>
      </w:r>
      <w:r w:rsidR="00F07EDB">
        <w:tab/>
      </w:r>
      <w:r w:rsidRPr="000E7B57">
        <w:t>$13.81</w:t>
      </w:r>
      <w:r w:rsidRPr="000E7B57">
        <w:tab/>
      </w:r>
      <w:r w:rsidR="00F07EDB">
        <w:tab/>
      </w:r>
      <w:r w:rsidR="00F07EDB">
        <w:tab/>
      </w:r>
      <w:r w:rsidR="00F07EDB">
        <w:tab/>
      </w:r>
      <w:r w:rsidR="00F07EDB">
        <w:tab/>
      </w:r>
      <w:r w:rsidRPr="000E7B57">
        <w:t>$35.20</w:t>
      </w:r>
      <w:r w:rsidRPr="000E7B57">
        <w:br/>
        <w:t>Final search</w:t>
      </w:r>
      <w:r w:rsidRPr="000E7B57">
        <w:tab/>
      </w:r>
      <w:r w:rsidR="00F07EDB">
        <w:tab/>
      </w:r>
      <w:r w:rsidR="00F07EDB">
        <w:tab/>
      </w:r>
      <w:r w:rsidR="00F07EDB">
        <w:tab/>
      </w:r>
      <w:r w:rsidRPr="000E7B57">
        <w:t>$3.87</w:t>
      </w:r>
      <w:r w:rsidRPr="000E7B57">
        <w:tab/>
      </w:r>
      <w:r w:rsidR="00F07EDB">
        <w:tab/>
      </w:r>
      <w:r w:rsidR="00F07EDB">
        <w:tab/>
      </w:r>
      <w:r w:rsidR="00F07EDB">
        <w:tab/>
      </w:r>
      <w:r w:rsidR="00F07EDB">
        <w:tab/>
      </w:r>
      <w:r w:rsidR="00F07EDB">
        <w:tab/>
      </w:r>
      <w:r w:rsidRPr="000E7B57">
        <w:t>$14.60</w:t>
      </w:r>
      <w:r w:rsidRPr="000E7B57">
        <w:br/>
        <w:t>Instrument search</w:t>
      </w:r>
      <w:r w:rsidRPr="000E7B57">
        <w:tab/>
      </w:r>
      <w:r w:rsidR="00F07EDB">
        <w:tab/>
      </w:r>
      <w:r w:rsidR="00F07EDB">
        <w:tab/>
      </w:r>
      <w:r w:rsidRPr="000E7B57">
        <w:t>$4.99</w:t>
      </w:r>
      <w:r w:rsidRPr="000E7B57">
        <w:tab/>
      </w:r>
      <w:r w:rsidR="00F07EDB">
        <w:tab/>
      </w:r>
      <w:r w:rsidR="00F07EDB">
        <w:tab/>
      </w:r>
      <w:r w:rsidR="00F07EDB">
        <w:tab/>
      </w:r>
      <w:r w:rsidR="00F07EDB">
        <w:tab/>
      </w:r>
      <w:r w:rsidR="00F07EDB">
        <w:tab/>
      </w:r>
      <w:r w:rsidRPr="000E7B57">
        <w:t>$15.80</w:t>
      </w:r>
      <w:r w:rsidRPr="000E7B57">
        <w:br/>
        <w:t>Plan search</w:t>
      </w:r>
      <w:r w:rsidRPr="000E7B57">
        <w:tab/>
      </w:r>
      <w:r w:rsidR="00F07EDB">
        <w:tab/>
      </w:r>
      <w:r w:rsidR="00F07EDB">
        <w:tab/>
      </w:r>
      <w:r w:rsidR="00F07EDB">
        <w:tab/>
      </w:r>
      <w:r w:rsidRPr="000E7B57">
        <w:t>$6.73</w:t>
      </w:r>
      <w:r w:rsidR="00F07EDB">
        <w:tab/>
      </w:r>
      <w:r w:rsidR="00F07EDB">
        <w:tab/>
      </w:r>
      <w:r w:rsidR="00F07EDB">
        <w:tab/>
      </w:r>
      <w:r w:rsidR="00F07EDB">
        <w:tab/>
      </w:r>
      <w:r w:rsidRPr="000E7B57">
        <w:tab/>
      </w:r>
      <w:r w:rsidR="00F07EDB">
        <w:tab/>
      </w:r>
      <w:r w:rsidRPr="000E7B57">
        <w:t>$17.60</w:t>
      </w:r>
      <w:r w:rsidRPr="000E7B57">
        <w:br/>
        <w:t>Historical search</w:t>
      </w:r>
      <w:r w:rsidRPr="000E7B57">
        <w:tab/>
      </w:r>
      <w:r w:rsidR="00F07EDB">
        <w:tab/>
      </w:r>
      <w:r w:rsidR="00F07EDB">
        <w:tab/>
      </w:r>
      <w:r w:rsidRPr="000E7B57">
        <w:t>$12.09</w:t>
      </w:r>
      <w:r w:rsidRPr="000E7B57">
        <w:tab/>
      </w:r>
      <w:r w:rsidR="00F07EDB">
        <w:tab/>
      </w:r>
      <w:r w:rsidR="00F07EDB">
        <w:tab/>
      </w:r>
      <w:r w:rsidR="00F07EDB">
        <w:tab/>
      </w:r>
      <w:r w:rsidR="00F07EDB">
        <w:tab/>
      </w:r>
      <w:r w:rsidRPr="000E7B57">
        <w:t>$33.40</w:t>
      </w:r>
    </w:p>
    <w:p w14:paraId="5D52ECB6" w14:textId="77777777" w:rsidR="00DD1AAD" w:rsidRPr="001519DF" w:rsidRDefault="00DD1AAD" w:rsidP="009C1D29">
      <w:pPr>
        <w:pStyle w:val="Heading1"/>
        <w:rPr>
          <w:rFonts w:eastAsia="Calibri"/>
        </w:rPr>
      </w:pPr>
      <w:r w:rsidRPr="001519DF">
        <w:rPr>
          <w:rFonts w:eastAsia="Calibri"/>
        </w:rPr>
        <w:t>Reminder and update on creating restrictive covenants in transfer</w:t>
      </w:r>
      <w:r>
        <w:rPr>
          <w:rFonts w:eastAsia="Calibri"/>
        </w:rPr>
        <w:t>s</w:t>
      </w:r>
    </w:p>
    <w:p w14:paraId="514FF7AE" w14:textId="77777777" w:rsidR="00DF47EA" w:rsidRDefault="00B60E8A" w:rsidP="00C9277E">
      <w:pPr>
        <w:pStyle w:val="BodyText"/>
      </w:pPr>
      <w:r>
        <w:rPr>
          <w:rFonts w:eastAsia="Calibri"/>
        </w:rPr>
        <w:t xml:space="preserve">On </w:t>
      </w:r>
      <w:r w:rsidR="00DD1AAD" w:rsidRPr="009C1D29">
        <w:rPr>
          <w:rFonts w:eastAsia="Calibri"/>
        </w:rPr>
        <w:t>1 July 2018, the</w:t>
      </w:r>
      <w:r w:rsidR="00DD1AAD" w:rsidRPr="009C1D29">
        <w:t xml:space="preserve"> </w:t>
      </w:r>
      <w:r w:rsidR="00DD1AAD" w:rsidRPr="00DF47EA">
        <w:rPr>
          <w:i/>
        </w:rPr>
        <w:t xml:space="preserve">Registrar’s Requirements for Paper Conveyancing Transactions </w:t>
      </w:r>
      <w:r w:rsidR="00DD1AAD" w:rsidRPr="009C1D29">
        <w:t>Version 4, requirement 12.2 c</w:t>
      </w:r>
      <w:r>
        <w:t xml:space="preserve">ame </w:t>
      </w:r>
      <w:r w:rsidR="00DD1AAD" w:rsidRPr="009C1D29">
        <w:t>into effect</w:t>
      </w:r>
      <w:r w:rsidR="00DF47EA">
        <w:t>.</w:t>
      </w:r>
    </w:p>
    <w:p w14:paraId="03DDA7D4" w14:textId="77777777" w:rsidR="00DD1AAD" w:rsidRPr="009C1D29" w:rsidRDefault="00DF47EA" w:rsidP="00C9277E">
      <w:pPr>
        <w:pStyle w:val="BodyText"/>
      </w:pPr>
      <w:r>
        <w:t>It states</w:t>
      </w:r>
      <w:r w:rsidRPr="009C1D29">
        <w:t xml:space="preserve"> </w:t>
      </w:r>
      <w:r w:rsidR="00DD1AAD" w:rsidRPr="009C1D29">
        <w:t>that the details of any restrictive covenant to be created in a transfer:</w:t>
      </w:r>
    </w:p>
    <w:p w14:paraId="697C2CC8" w14:textId="77777777" w:rsidR="00DD1AAD" w:rsidRPr="00B53A3D" w:rsidRDefault="00DD1AAD" w:rsidP="00E61D43">
      <w:pPr>
        <w:pStyle w:val="ListAlpha"/>
        <w:ind w:left="680"/>
        <w:rPr>
          <w:i/>
        </w:rPr>
      </w:pPr>
      <w:r w:rsidRPr="00B53A3D">
        <w:rPr>
          <w:i/>
        </w:rPr>
        <w:t>for which any contract of sale is signed on or after 1 July 2018; or</w:t>
      </w:r>
    </w:p>
    <w:p w14:paraId="5BCEDA68" w14:textId="77777777" w:rsidR="00DD1AAD" w:rsidRPr="00B53A3D" w:rsidRDefault="00DD1AAD" w:rsidP="00E61D43">
      <w:pPr>
        <w:pStyle w:val="ListAlpha"/>
        <w:ind w:left="680"/>
        <w:rPr>
          <w:i/>
        </w:rPr>
      </w:pPr>
      <w:r w:rsidRPr="00B53A3D">
        <w:rPr>
          <w:i/>
        </w:rPr>
        <w:t>when there is no contract of sale, the transfer is signed on or after 1 July 2018;</w:t>
      </w:r>
    </w:p>
    <w:p w14:paraId="299DBB3F" w14:textId="77777777" w:rsidR="009C1D29" w:rsidRPr="00B53A3D" w:rsidRDefault="00DD1AAD" w:rsidP="00E61D43">
      <w:pPr>
        <w:pStyle w:val="BodyText"/>
        <w:ind w:left="340"/>
        <w:rPr>
          <w:i/>
        </w:rPr>
      </w:pPr>
      <w:r w:rsidRPr="00B53A3D">
        <w:rPr>
          <w:i/>
        </w:rPr>
        <w:t>must be contained in a Memorandum of Common Provisions (MCP) or MCPs and referred to in the transfer by the MCP number(s)</w:t>
      </w:r>
      <w:r w:rsidR="009C1D29" w:rsidRPr="00B53A3D">
        <w:rPr>
          <w:i/>
        </w:rPr>
        <w:t>.</w:t>
      </w:r>
    </w:p>
    <w:p w14:paraId="23253635" w14:textId="77777777" w:rsidR="00DD1AAD" w:rsidRPr="00C9277E" w:rsidRDefault="00DF47EA" w:rsidP="00C9277E">
      <w:pPr>
        <w:pStyle w:val="BodyText"/>
      </w:pPr>
      <w:r>
        <w:t>Please note:</w:t>
      </w:r>
      <w:r w:rsidR="00DD1AAD" w:rsidRPr="00C9277E">
        <w:t xml:space="preserve"> </w:t>
      </w:r>
      <w:r w:rsidR="00DD1AAD" w:rsidRPr="00E61D43">
        <w:rPr>
          <w:i/>
        </w:rPr>
        <w:t>Customer Information Bulletin 177</w:t>
      </w:r>
      <w:r w:rsidR="00DD1AAD" w:rsidRPr="00C9277E">
        <w:t xml:space="preserve"> April 2018 </w:t>
      </w:r>
      <w:r>
        <w:t xml:space="preserve">outlines </w:t>
      </w:r>
      <w:r w:rsidR="00DD1AAD" w:rsidRPr="00C9277E">
        <w:t>the changes to the</w:t>
      </w:r>
      <w:r w:rsidR="00656D66">
        <w:t xml:space="preserve"> forms</w:t>
      </w:r>
      <w:r w:rsidR="00DD1AAD" w:rsidRPr="00C9277E">
        <w:t xml:space="preserve"> Transfer of land and Transfer of land – creating an easement/restrictive covenant (formerly T2)</w:t>
      </w:r>
      <w:r>
        <w:t xml:space="preserve">. </w:t>
      </w:r>
      <w:r w:rsidR="00DD1AAD" w:rsidRPr="00C9277E">
        <w:t xml:space="preserve">The Memorandum of Common Provisions (MCP) form has also been updated. Customers will be notified when changes to the Transfer of land by mortgagee or annuitant 77TLA (formerly T3) are made.  </w:t>
      </w:r>
    </w:p>
    <w:p w14:paraId="659D4C52" w14:textId="77777777" w:rsidR="00DD1AAD" w:rsidRDefault="0006457A" w:rsidP="00DD1AAD">
      <w:pPr>
        <w:pStyle w:val="Heading2"/>
      </w:pPr>
      <w:r>
        <w:t xml:space="preserve">Completing </w:t>
      </w:r>
      <w:r w:rsidR="00DD1AAD">
        <w:t xml:space="preserve">the </w:t>
      </w:r>
      <w:r w:rsidR="00550356">
        <w:t>c</w:t>
      </w:r>
      <w:r w:rsidR="00DD1AAD">
        <w:t xml:space="preserve">ovenant panel in the Transfer of </w:t>
      </w:r>
      <w:r w:rsidR="00656D66">
        <w:t xml:space="preserve">land </w:t>
      </w:r>
      <w:r w:rsidR="00DD1AAD">
        <w:t>form for</w:t>
      </w:r>
      <w:r>
        <w:t xml:space="preserve"> electronic and paper</w:t>
      </w:r>
      <w:r w:rsidR="00DD1AAD">
        <w:t xml:space="preserve"> lodgment</w:t>
      </w:r>
      <w:r w:rsidR="00DD1AAD" w:rsidRPr="00677D25">
        <w:t xml:space="preserve"> </w:t>
      </w:r>
    </w:p>
    <w:p w14:paraId="5E85C10D" w14:textId="3EC015AB" w:rsidR="00DD1AAD" w:rsidRPr="00DD1AAD" w:rsidRDefault="00DD1AAD" w:rsidP="00C9277E">
      <w:pPr>
        <w:pStyle w:val="BodyText"/>
      </w:pPr>
      <w:r w:rsidRPr="00DD1AAD">
        <w:t xml:space="preserve">Customers are reminded that in section ‘8. Covenants’ </w:t>
      </w:r>
      <w:r w:rsidR="00656D66">
        <w:t>of</w:t>
      </w:r>
      <w:r w:rsidR="00656D66" w:rsidRPr="00DD1AAD">
        <w:t xml:space="preserve"> </w:t>
      </w:r>
      <w:r w:rsidRPr="00DD1AAD">
        <w:t xml:space="preserve">the Transfer of land form (paper), the </w:t>
      </w:r>
      <w:r w:rsidR="002931C2">
        <w:t>B</w:t>
      </w:r>
      <w:r w:rsidR="002931C2" w:rsidRPr="00DD1AAD">
        <w:t xml:space="preserve">enefited </w:t>
      </w:r>
      <w:r w:rsidRPr="00DD1AAD">
        <w:t xml:space="preserve">land, if described using a Vol/Folio reference only, should not be the same as the </w:t>
      </w:r>
      <w:r w:rsidR="002931C2">
        <w:t>B</w:t>
      </w:r>
      <w:r w:rsidRPr="00DD1AAD">
        <w:t xml:space="preserve">urdened </w:t>
      </w:r>
      <w:r w:rsidR="00656D66">
        <w:t>l</w:t>
      </w:r>
      <w:r w:rsidR="00656D66" w:rsidRPr="00DD1AAD">
        <w:t>and</w:t>
      </w:r>
      <w:r w:rsidR="00656D66">
        <w:t>,</w:t>
      </w:r>
      <w:r w:rsidRPr="00DD1AAD">
        <w:t xml:space="preserve"> which is the </w:t>
      </w:r>
      <w:r w:rsidR="00656D66">
        <w:t>l</w:t>
      </w:r>
      <w:r w:rsidR="008E3656">
        <w:t>and</w:t>
      </w:r>
      <w:r w:rsidR="00656D66" w:rsidRPr="00DD1AAD">
        <w:t xml:space="preserve"> </w:t>
      </w:r>
      <w:r w:rsidRPr="00DD1AAD">
        <w:t>referred to in the panel ‘1. ‘Land/s’.</w:t>
      </w:r>
    </w:p>
    <w:p w14:paraId="4C4BF2B4" w14:textId="77777777" w:rsidR="00DD1AAD" w:rsidRPr="00DD1AAD" w:rsidRDefault="00DD1AAD" w:rsidP="00C9277E">
      <w:pPr>
        <w:pStyle w:val="BodyText"/>
      </w:pPr>
      <w:r w:rsidRPr="00DD1AAD">
        <w:t xml:space="preserve">If the instrument is lodged </w:t>
      </w:r>
      <w:r w:rsidR="00300AD4" w:rsidRPr="00DD1AAD">
        <w:t>electronically,</w:t>
      </w:r>
      <w:r w:rsidRPr="00DD1AAD">
        <w:t xml:space="preserve"> the benefited land can be described using </w:t>
      </w:r>
      <w:r w:rsidR="00550356">
        <w:t>l</w:t>
      </w:r>
      <w:r w:rsidRPr="00DD1AAD">
        <w:t xml:space="preserve">and </w:t>
      </w:r>
      <w:r w:rsidR="00550356">
        <w:t>t</w:t>
      </w:r>
      <w:r w:rsidRPr="00DD1AAD">
        <w:t xml:space="preserve">itle </w:t>
      </w:r>
      <w:r w:rsidR="00550356">
        <w:t>r</w:t>
      </w:r>
      <w:r w:rsidRPr="00DD1AAD">
        <w:t>eference(s) and/or MCP reference(s) – at least one must be provided</w:t>
      </w:r>
      <w:r w:rsidR="00550356">
        <w:t>. Again</w:t>
      </w:r>
      <w:r w:rsidR="00B60E8A">
        <w:t xml:space="preserve">, </w:t>
      </w:r>
      <w:r w:rsidRPr="00DD1AAD">
        <w:t xml:space="preserve">the land title reference for the benefited land </w:t>
      </w:r>
      <w:r w:rsidR="00B60E8A">
        <w:t>cannot</w:t>
      </w:r>
      <w:r w:rsidRPr="00DD1AAD">
        <w:t xml:space="preserve"> be the same as the land being transferred in the ‘Land Title Reference</w:t>
      </w:r>
      <w:r w:rsidR="0006457A">
        <w:t xml:space="preserve">’ </w:t>
      </w:r>
      <w:r w:rsidRPr="00DD1AAD">
        <w:t xml:space="preserve">panel, which is the burdened land. </w:t>
      </w:r>
    </w:p>
    <w:p w14:paraId="18AABB36" w14:textId="77777777" w:rsidR="00DD1AAD" w:rsidRPr="001519DF" w:rsidRDefault="00DD1AAD" w:rsidP="00C9277E">
      <w:pPr>
        <w:pStyle w:val="Heading2"/>
      </w:pPr>
      <w:r w:rsidRPr="001519DF">
        <w:t>Customer</w:t>
      </w:r>
      <w:r>
        <w:t>s</w:t>
      </w:r>
      <w:r w:rsidRPr="001519DF">
        <w:t xml:space="preserve"> </w:t>
      </w:r>
      <w:r w:rsidR="0055125A">
        <w:t xml:space="preserve">please </w:t>
      </w:r>
      <w:r>
        <w:t>note</w:t>
      </w:r>
    </w:p>
    <w:p w14:paraId="68DCB598" w14:textId="77777777" w:rsidR="00DD1AAD" w:rsidRPr="009C5638" w:rsidRDefault="00DD1AAD" w:rsidP="00C9277E">
      <w:pPr>
        <w:pStyle w:val="BodyText"/>
      </w:pPr>
      <w:r w:rsidRPr="009C5638">
        <w:t>All versions of forms available on the</w:t>
      </w:r>
      <w:r w:rsidRPr="00E61D43">
        <w:t xml:space="preserve"> </w:t>
      </w:r>
      <w:hyperlink r:id="rId15" w:history="1">
        <w:r w:rsidRPr="00656D66">
          <w:rPr>
            <w:rStyle w:val="Hyperlink"/>
            <w:rFonts w:cs="Helv"/>
            <w:szCs w:val="22"/>
          </w:rPr>
          <w:t>Transfer of Land Act</w:t>
        </w:r>
      </w:hyperlink>
      <w:r w:rsidRPr="00E61D43">
        <w:t xml:space="preserve"> page</w:t>
      </w:r>
      <w:r w:rsidR="00656D66">
        <w:rPr>
          <w:rFonts w:cs="Helv"/>
          <w:szCs w:val="22"/>
        </w:rPr>
        <w:t xml:space="preserve"> (</w:t>
      </w:r>
      <w:r w:rsidR="00656D66" w:rsidRPr="00656D66">
        <w:rPr>
          <w:rFonts w:cs="Helv"/>
          <w:szCs w:val="22"/>
        </w:rPr>
        <w:t>www.propertyandlandtitles.vic.gov.au/forms-guides-and-fees</w:t>
      </w:r>
      <w:r w:rsidR="001E3C9A">
        <w:rPr>
          <w:rFonts w:cs="Helv"/>
          <w:szCs w:val="22"/>
        </w:rPr>
        <w:t>&gt;</w:t>
      </w:r>
      <w:r w:rsidR="00656D66">
        <w:rPr>
          <w:rFonts w:cs="Helv"/>
          <w:szCs w:val="22"/>
        </w:rPr>
        <w:t xml:space="preserve">Transfer of </w:t>
      </w:r>
      <w:r w:rsidR="00656D66" w:rsidRPr="0006457A">
        <w:rPr>
          <w:rFonts w:cs="Helv"/>
          <w:szCs w:val="22"/>
        </w:rPr>
        <w:t>Land</w:t>
      </w:r>
      <w:r w:rsidR="00656D66" w:rsidRPr="0006457A">
        <w:rPr>
          <w:rStyle w:val="Hyperlink"/>
          <w:rFonts w:cs="Helv"/>
          <w:szCs w:val="22"/>
          <w:u w:val="none"/>
        </w:rPr>
        <w:t xml:space="preserve"> Act)</w:t>
      </w:r>
      <w:r w:rsidR="001E3C9A">
        <w:t xml:space="preserve"> can </w:t>
      </w:r>
      <w:r w:rsidRPr="009C5638">
        <w:t xml:space="preserve">be used and lodged at </w:t>
      </w:r>
      <w:r w:rsidR="00AF5FBC">
        <w:t>LUV</w:t>
      </w:r>
      <w:r w:rsidRPr="009C5638">
        <w:t xml:space="preserve">.  </w:t>
      </w:r>
    </w:p>
    <w:p w14:paraId="762F8426" w14:textId="77777777" w:rsidR="00DD1AAD" w:rsidRDefault="00DD1AAD" w:rsidP="00C9277E">
      <w:pPr>
        <w:pStyle w:val="BodyText"/>
      </w:pPr>
      <w:r w:rsidRPr="009C5638">
        <w:t xml:space="preserve">Although </w:t>
      </w:r>
      <w:r w:rsidR="008E3656">
        <w:t xml:space="preserve">the previous </w:t>
      </w:r>
      <w:r w:rsidR="00550356">
        <w:t xml:space="preserve">version of the </w:t>
      </w:r>
      <w:r w:rsidR="008E3656" w:rsidRPr="009C5638">
        <w:t>Transfer of land form (LV-V33-May-2017</w:t>
      </w:r>
      <w:r w:rsidR="008E3656">
        <w:t xml:space="preserve">) is </w:t>
      </w:r>
      <w:r w:rsidRPr="009C5638">
        <w:t>no</w:t>
      </w:r>
      <w:r w:rsidR="00B60E8A">
        <w:t xml:space="preserve"> longer</w:t>
      </w:r>
      <w:r w:rsidRPr="009C5638">
        <w:t xml:space="preserve"> available on the </w:t>
      </w:r>
      <w:hyperlink r:id="rId16" w:history="1">
        <w:r w:rsidR="0006457A" w:rsidRPr="00656D66">
          <w:rPr>
            <w:rStyle w:val="Hyperlink"/>
            <w:rFonts w:cs="Helv"/>
            <w:szCs w:val="22"/>
          </w:rPr>
          <w:t>Transfer of Land Act</w:t>
        </w:r>
      </w:hyperlink>
      <w:r w:rsidR="0006457A" w:rsidRPr="00822100">
        <w:rPr>
          <w:rFonts w:cs="Helv"/>
          <w:szCs w:val="22"/>
        </w:rPr>
        <w:t xml:space="preserve"> page</w:t>
      </w:r>
      <w:r w:rsidRPr="009C5638">
        <w:t xml:space="preserve">, </w:t>
      </w:r>
      <w:r w:rsidR="008E3656">
        <w:t>it</w:t>
      </w:r>
      <w:r w:rsidRPr="009C5638">
        <w:t xml:space="preserve"> will continue to be accepted for lodgment if it complies with Registrar’s requirement</w:t>
      </w:r>
      <w:r>
        <w:t xml:space="preserve"> 12.2.</w:t>
      </w:r>
    </w:p>
    <w:p w14:paraId="17ED9048" w14:textId="64CA27F6" w:rsidR="0006457A" w:rsidRDefault="00DD1AAD" w:rsidP="00C9277E">
      <w:pPr>
        <w:pStyle w:val="BodyText"/>
      </w:pPr>
      <w:r w:rsidRPr="00550356">
        <w:rPr>
          <w:rStyle w:val="Heading3Char"/>
        </w:rPr>
        <w:lastRenderedPageBreak/>
        <w:t>For paper transfers creating a covenant</w:t>
      </w:r>
      <w:r w:rsidR="0006457A" w:rsidRPr="00550356">
        <w:rPr>
          <w:rStyle w:val="Heading3Char"/>
        </w:rPr>
        <w:t>:</w:t>
      </w:r>
      <w:r w:rsidR="0006457A" w:rsidRPr="001E0FBF">
        <w:t xml:space="preserve"> </w:t>
      </w:r>
      <w:r w:rsidRPr="001E0FBF">
        <w:t xml:space="preserve">if the land being transferred is referenced as the </w:t>
      </w:r>
      <w:r w:rsidR="002931C2">
        <w:t>B</w:t>
      </w:r>
      <w:r w:rsidRPr="001E0FBF">
        <w:t xml:space="preserve">enefited land, the transfer will be refused. </w:t>
      </w:r>
    </w:p>
    <w:p w14:paraId="0FC4D1FB" w14:textId="77777777" w:rsidR="00DD1AAD" w:rsidRPr="00F07EDB" w:rsidRDefault="00DD1AAD" w:rsidP="00C9277E">
      <w:pPr>
        <w:pStyle w:val="BodyText"/>
      </w:pPr>
      <w:r w:rsidRPr="00550356">
        <w:rPr>
          <w:rStyle w:val="Heading3Char"/>
        </w:rPr>
        <w:t xml:space="preserve">For </w:t>
      </w:r>
      <w:r w:rsidR="004A42E3" w:rsidRPr="00550356">
        <w:rPr>
          <w:rStyle w:val="Heading3Char"/>
        </w:rPr>
        <w:t>electronic</w:t>
      </w:r>
      <w:r w:rsidRPr="00550356">
        <w:rPr>
          <w:rStyle w:val="Heading3Char"/>
        </w:rPr>
        <w:t xml:space="preserve"> </w:t>
      </w:r>
      <w:r w:rsidR="00300AD4" w:rsidRPr="00550356">
        <w:rPr>
          <w:rStyle w:val="Heading3Char"/>
        </w:rPr>
        <w:t>transfers:</w:t>
      </w:r>
      <w:r w:rsidRPr="001E0FBF">
        <w:t xml:space="preserve"> </w:t>
      </w:r>
      <w:r w:rsidRPr="00F07EDB">
        <w:t xml:space="preserve">a requisition will be sent to the </w:t>
      </w:r>
      <w:r w:rsidR="009241EC" w:rsidRPr="00F07EDB">
        <w:t>R</w:t>
      </w:r>
      <w:r w:rsidRPr="00F07EDB">
        <w:t xml:space="preserve">esponsible </w:t>
      </w:r>
      <w:r w:rsidR="009241EC" w:rsidRPr="00F07EDB">
        <w:t>S</w:t>
      </w:r>
      <w:r w:rsidRPr="00F07EDB">
        <w:t xml:space="preserve">ubscriber. If no response is received by the Registrar within 30 days of the date of the requisition, the transfer will be registered without the covenant being recorded on the folio. An appropriate customer response may be to withdraw the transfer and prepare a fresh </w:t>
      </w:r>
      <w:r w:rsidR="00300AD4" w:rsidRPr="00F07EDB">
        <w:t>transfer correctly</w:t>
      </w:r>
      <w:r w:rsidR="00B60E8A" w:rsidRPr="00F07EDB">
        <w:t xml:space="preserve"> </w:t>
      </w:r>
      <w:r w:rsidRPr="00F07EDB">
        <w:t>incorporating the covenant. Alternatively, an application to create a covenant pursuant to Section 88(1)</w:t>
      </w:r>
      <w:r w:rsidR="0006457A" w:rsidRPr="00F07EDB">
        <w:t xml:space="preserve"> of the</w:t>
      </w:r>
      <w:r w:rsidRPr="00F07EDB">
        <w:t xml:space="preserve"> Transfer of Land Act 1958 may be lodged to record the covenant, supported by a deed signed by the registered proprietors of both the burdened and benefited land.</w:t>
      </w:r>
    </w:p>
    <w:p w14:paraId="0CB84A07" w14:textId="77777777" w:rsidR="00DD1AAD" w:rsidRDefault="00DD1AAD" w:rsidP="00C9277E">
      <w:pPr>
        <w:pStyle w:val="Heading1"/>
      </w:pPr>
      <w:r>
        <w:t>Getting ready for 100% electronic lodgment in August 2019</w:t>
      </w:r>
    </w:p>
    <w:p w14:paraId="14FC98BB" w14:textId="77777777" w:rsidR="00DD1AAD" w:rsidRPr="0081473C" w:rsidRDefault="00801841" w:rsidP="00C9277E">
      <w:pPr>
        <w:pStyle w:val="BodyText"/>
        <w:rPr>
          <w:rFonts w:eastAsiaTheme="minorEastAsia"/>
        </w:rPr>
      </w:pPr>
      <w:r>
        <w:rPr>
          <w:rFonts w:eastAsiaTheme="minorEastAsia"/>
        </w:rPr>
        <w:t>T</w:t>
      </w:r>
      <w:r w:rsidR="00DD1AAD">
        <w:rPr>
          <w:rFonts w:eastAsiaTheme="minorEastAsia"/>
        </w:rPr>
        <w:t xml:space="preserve">he </w:t>
      </w:r>
      <w:r w:rsidR="00DD1AAD" w:rsidRPr="00C9277E">
        <w:rPr>
          <w:rFonts w:eastAsiaTheme="minorEastAsia"/>
        </w:rPr>
        <w:t>next</w:t>
      </w:r>
      <w:r w:rsidR="00DD1AAD">
        <w:rPr>
          <w:rFonts w:eastAsiaTheme="minorEastAsia"/>
        </w:rPr>
        <w:t xml:space="preserve"> requirements and timelines for </w:t>
      </w:r>
      <w:r w:rsidR="00DD1AAD" w:rsidRPr="0081473C">
        <w:rPr>
          <w:rFonts w:eastAsiaTheme="minorEastAsia"/>
        </w:rPr>
        <w:t>tra</w:t>
      </w:r>
      <w:r w:rsidR="00DD1AAD">
        <w:rPr>
          <w:rFonts w:eastAsiaTheme="minorEastAsia"/>
        </w:rPr>
        <w:t>nsitioning to 100% electronic lodg</w:t>
      </w:r>
      <w:r w:rsidR="00DD1AAD" w:rsidRPr="0081473C">
        <w:rPr>
          <w:rFonts w:eastAsiaTheme="minorEastAsia"/>
        </w:rPr>
        <w:t>ment</w:t>
      </w:r>
      <w:r w:rsidR="0082451F">
        <w:rPr>
          <w:rFonts w:eastAsiaTheme="minorEastAsia"/>
        </w:rPr>
        <w:t xml:space="preserve"> are as follows</w:t>
      </w:r>
      <w:r w:rsidR="00DD1AAD" w:rsidRPr="0081473C">
        <w:rPr>
          <w:rFonts w:eastAsiaTheme="minorEastAsia"/>
        </w:rPr>
        <w:t xml:space="preserve">. </w:t>
      </w:r>
    </w:p>
    <w:p w14:paraId="397BFB86" w14:textId="77777777" w:rsidR="00DD1AAD" w:rsidRPr="0081473C" w:rsidRDefault="00DD1AAD" w:rsidP="00DD1AAD">
      <w:pPr>
        <w:pStyle w:val="Heading2"/>
        <w:numPr>
          <w:ilvl w:val="1"/>
          <w:numId w:val="0"/>
        </w:numPr>
      </w:pPr>
      <w:r w:rsidRPr="0081473C">
        <w:t>2018</w:t>
      </w:r>
    </w:p>
    <w:p w14:paraId="646D295B" w14:textId="77777777" w:rsidR="00DD1AAD" w:rsidRDefault="00DD1AAD" w:rsidP="00DD1AAD">
      <w:pPr>
        <w:pStyle w:val="Heading3"/>
        <w:rPr>
          <w:rFonts w:eastAsia="Calibri"/>
        </w:rPr>
      </w:pPr>
      <w:r w:rsidRPr="00A82412">
        <w:rPr>
          <w:rFonts w:eastAsia="Calibri"/>
        </w:rPr>
        <w:t>1 October</w:t>
      </w:r>
    </w:p>
    <w:p w14:paraId="4AD8748E" w14:textId="77777777" w:rsidR="00DD1AAD" w:rsidRPr="00445557" w:rsidRDefault="00DD1AAD" w:rsidP="00C9277E">
      <w:pPr>
        <w:pStyle w:val="ListBullet"/>
        <w:rPr>
          <w:rFonts w:eastAsia="Calibri"/>
        </w:rPr>
      </w:pPr>
      <w:r>
        <w:rPr>
          <w:rFonts w:eastAsia="Calibri"/>
        </w:rPr>
        <w:t>A</w:t>
      </w:r>
      <w:r w:rsidRPr="00A82412">
        <w:rPr>
          <w:rFonts w:eastAsia="Calibri"/>
        </w:rPr>
        <w:t xml:space="preserve">ll </w:t>
      </w:r>
      <w:r w:rsidRPr="00C9277E">
        <w:rPr>
          <w:rFonts w:eastAsia="Calibri"/>
        </w:rPr>
        <w:t>combinations</w:t>
      </w:r>
      <w:r w:rsidRPr="00A82412">
        <w:rPr>
          <w:rFonts w:eastAsia="Calibri"/>
        </w:rPr>
        <w:t xml:space="preserve"> of transactions </w:t>
      </w:r>
      <w:r>
        <w:rPr>
          <w:rFonts w:eastAsia="Calibri"/>
        </w:rPr>
        <w:t>available</w:t>
      </w:r>
      <w:r w:rsidR="00550356">
        <w:rPr>
          <w:rFonts w:eastAsia="Calibri"/>
        </w:rPr>
        <w:t xml:space="preserve"> </w:t>
      </w:r>
      <w:r w:rsidR="00550356" w:rsidRPr="00B53A3D">
        <w:rPr>
          <w:rFonts w:eastAsia="Calibri"/>
        </w:rPr>
        <w:t>at that</w:t>
      </w:r>
      <w:r w:rsidR="00550356">
        <w:rPr>
          <w:rFonts w:eastAsia="Calibri"/>
        </w:rPr>
        <w:t xml:space="preserve"> time</w:t>
      </w:r>
      <w:r>
        <w:rPr>
          <w:rFonts w:eastAsia="Calibri"/>
        </w:rPr>
        <w:t xml:space="preserve"> </w:t>
      </w:r>
      <w:r w:rsidRPr="00A82412">
        <w:rPr>
          <w:rFonts w:eastAsia="Calibri"/>
        </w:rPr>
        <w:t xml:space="preserve">in PEXA </w:t>
      </w:r>
      <w:r w:rsidR="00550356">
        <w:rPr>
          <w:rFonts w:eastAsia="Calibri"/>
        </w:rPr>
        <w:t xml:space="preserve">are </w:t>
      </w:r>
      <w:r w:rsidRPr="00A82412">
        <w:rPr>
          <w:rFonts w:eastAsia="Calibri"/>
        </w:rPr>
        <w:t>to be lodged electronically.</w:t>
      </w:r>
      <w:r>
        <w:rPr>
          <w:rFonts w:eastAsia="Calibri"/>
        </w:rPr>
        <w:t xml:space="preserve"> Examples include</w:t>
      </w:r>
      <w:r w:rsidRPr="00A82412">
        <w:rPr>
          <w:rFonts w:eastAsia="Calibri"/>
        </w:rPr>
        <w:t xml:space="preserve"> a case comprising a withdrawal of caveat, discharge of mortgage, transfer and mortgage</w:t>
      </w:r>
      <w:r>
        <w:rPr>
          <w:rFonts w:eastAsia="Calibri"/>
        </w:rPr>
        <w:t xml:space="preserve">. This requirement applies to conveyancers and lawyers acting for a party or themselves and PEXA Subscribers. See </w:t>
      </w:r>
      <w:r w:rsidR="0055125A">
        <w:rPr>
          <w:rFonts w:eastAsia="Calibri"/>
        </w:rPr>
        <w:t xml:space="preserve">information </w:t>
      </w:r>
      <w:r>
        <w:rPr>
          <w:rFonts w:eastAsia="Calibri"/>
        </w:rPr>
        <w:t>below under ‘</w:t>
      </w:r>
      <w:r w:rsidR="00801841">
        <w:rPr>
          <w:rFonts w:eastAsia="Calibri"/>
        </w:rPr>
        <w:t xml:space="preserve">Remaining instruments (residual </w:t>
      </w:r>
      <w:r>
        <w:rPr>
          <w:rFonts w:eastAsia="Calibri"/>
        </w:rPr>
        <w:t>documents</w:t>
      </w:r>
      <w:r w:rsidR="00801841">
        <w:rPr>
          <w:rFonts w:eastAsia="Calibri"/>
        </w:rPr>
        <w:t>)</w:t>
      </w:r>
      <w:r w:rsidR="00E619C9">
        <w:rPr>
          <w:rFonts w:eastAsia="Calibri"/>
        </w:rPr>
        <w:t xml:space="preserve"> to be lodged</w:t>
      </w:r>
      <w:r w:rsidR="009E03D7">
        <w:rPr>
          <w:rFonts w:eastAsia="Calibri"/>
        </w:rPr>
        <w:t xml:space="preserve"> electronically</w:t>
      </w:r>
      <w:r>
        <w:rPr>
          <w:rFonts w:eastAsia="Calibri"/>
        </w:rPr>
        <w:t>’.</w:t>
      </w:r>
    </w:p>
    <w:p w14:paraId="6CFC4606" w14:textId="77777777" w:rsidR="00DD1AAD" w:rsidRPr="0081473C" w:rsidRDefault="00DD1AAD" w:rsidP="00DD1AAD">
      <w:pPr>
        <w:pStyle w:val="Heading2"/>
        <w:numPr>
          <w:ilvl w:val="1"/>
          <w:numId w:val="0"/>
        </w:numPr>
      </w:pPr>
      <w:r w:rsidRPr="0081473C">
        <w:t>2019</w:t>
      </w:r>
    </w:p>
    <w:p w14:paraId="2517373D" w14:textId="77777777" w:rsidR="00DD1AAD" w:rsidRDefault="00DD1AAD" w:rsidP="00DD1AAD">
      <w:pPr>
        <w:pStyle w:val="Heading3"/>
        <w:rPr>
          <w:rFonts w:eastAsia="Calibri"/>
        </w:rPr>
      </w:pPr>
      <w:r w:rsidRPr="00A82412">
        <w:rPr>
          <w:rFonts w:eastAsia="Calibri"/>
        </w:rPr>
        <w:t>1 August</w:t>
      </w:r>
    </w:p>
    <w:p w14:paraId="06AED7BC" w14:textId="77777777" w:rsidR="00DD1AAD" w:rsidRPr="00445557" w:rsidRDefault="00DD1AAD" w:rsidP="00DD1AAD">
      <w:pPr>
        <w:pStyle w:val="ListBullet"/>
        <w:rPr>
          <w:rFonts w:eastAsia="Calibri"/>
        </w:rPr>
      </w:pPr>
      <w:r>
        <w:rPr>
          <w:rFonts w:eastAsia="Calibri"/>
        </w:rPr>
        <w:t>A</w:t>
      </w:r>
      <w:r w:rsidRPr="00A82412">
        <w:rPr>
          <w:rFonts w:eastAsia="Calibri"/>
        </w:rPr>
        <w:t>ll transactions to be lodged electronically</w:t>
      </w:r>
      <w:r>
        <w:rPr>
          <w:rFonts w:eastAsia="Calibri"/>
        </w:rPr>
        <w:t>. This requirement applies to conveyancers and lawyers acting for a party or themselves and PEXA Subscribers.</w:t>
      </w:r>
    </w:p>
    <w:p w14:paraId="7C970017" w14:textId="77777777" w:rsidR="00DD1AAD" w:rsidRPr="006B6E2A" w:rsidRDefault="00DD1AAD" w:rsidP="00DD1AAD">
      <w:pPr>
        <w:pStyle w:val="BodyText"/>
        <w:rPr>
          <w:rFonts w:eastAsiaTheme="minorEastAsia"/>
        </w:rPr>
      </w:pPr>
      <w:r w:rsidRPr="0081473C">
        <w:rPr>
          <w:rFonts w:eastAsiaTheme="minorEastAsia"/>
        </w:rPr>
        <w:t>The exception will be whe</w:t>
      </w:r>
      <w:r>
        <w:rPr>
          <w:rFonts w:eastAsiaTheme="minorEastAsia"/>
        </w:rPr>
        <w:t>n</w:t>
      </w:r>
      <w:r w:rsidRPr="0081473C">
        <w:rPr>
          <w:rFonts w:eastAsiaTheme="minorEastAsia"/>
        </w:rPr>
        <w:t xml:space="preserve"> there is an existing paper instrument that has been signed prior to the date when electronic lodgment of that </w:t>
      </w:r>
      <w:r>
        <w:rPr>
          <w:rFonts w:eastAsiaTheme="minorEastAsia"/>
        </w:rPr>
        <w:t xml:space="preserve">particular </w:t>
      </w:r>
      <w:r w:rsidRPr="0081473C">
        <w:rPr>
          <w:rFonts w:eastAsiaTheme="minorEastAsia"/>
        </w:rPr>
        <w:t>class of instrument or transaction is required.</w:t>
      </w:r>
    </w:p>
    <w:p w14:paraId="47EB666B" w14:textId="77777777" w:rsidR="00DD1AAD" w:rsidRPr="00737829" w:rsidRDefault="0055125A" w:rsidP="00DD1AAD">
      <w:pPr>
        <w:pStyle w:val="Heading2"/>
      </w:pPr>
      <w:r>
        <w:t>Remaining instruments (residual documents)</w:t>
      </w:r>
      <w:r w:rsidR="0082451F">
        <w:t xml:space="preserve"> to be lodged electronically</w:t>
      </w:r>
    </w:p>
    <w:p w14:paraId="2CC4FEA6" w14:textId="77777777" w:rsidR="00DD1AAD" w:rsidRPr="00C9277E" w:rsidRDefault="00DD1AAD" w:rsidP="00C9277E">
      <w:pPr>
        <w:pStyle w:val="BodyText"/>
        <w:rPr>
          <w:rFonts w:eastAsiaTheme="minorHAnsi"/>
        </w:rPr>
      </w:pPr>
      <w:r w:rsidRPr="00C9277E">
        <w:rPr>
          <w:rFonts w:eastAsiaTheme="minorHAnsi"/>
        </w:rPr>
        <w:t xml:space="preserve">New functionality is being developed </w:t>
      </w:r>
      <w:r w:rsidR="00863BC7">
        <w:rPr>
          <w:rFonts w:eastAsiaTheme="minorHAnsi"/>
        </w:rPr>
        <w:t xml:space="preserve">in PEXA </w:t>
      </w:r>
      <w:r w:rsidR="0055125A">
        <w:rPr>
          <w:rFonts w:eastAsiaTheme="minorHAnsi"/>
        </w:rPr>
        <w:t xml:space="preserve">so that </w:t>
      </w:r>
      <w:r w:rsidRPr="00C9277E">
        <w:rPr>
          <w:rFonts w:eastAsiaTheme="minorHAnsi"/>
        </w:rPr>
        <w:t xml:space="preserve">remaining instrument types (known as residual documents) </w:t>
      </w:r>
      <w:r w:rsidR="0055125A">
        <w:rPr>
          <w:rFonts w:eastAsiaTheme="minorHAnsi"/>
        </w:rPr>
        <w:t>can</w:t>
      </w:r>
      <w:r w:rsidR="0055125A" w:rsidRPr="00C9277E">
        <w:rPr>
          <w:rFonts w:eastAsiaTheme="minorHAnsi"/>
        </w:rPr>
        <w:t xml:space="preserve"> </w:t>
      </w:r>
      <w:r w:rsidRPr="00C9277E">
        <w:rPr>
          <w:rFonts w:eastAsiaTheme="minorHAnsi"/>
        </w:rPr>
        <w:t>be lodged electronically.</w:t>
      </w:r>
    </w:p>
    <w:p w14:paraId="1C69EFBD" w14:textId="77777777" w:rsidR="00DD1AAD" w:rsidRPr="00C9277E" w:rsidRDefault="00DD1AAD" w:rsidP="00C9277E">
      <w:pPr>
        <w:pStyle w:val="BodyText"/>
        <w:rPr>
          <w:rFonts w:eastAsiaTheme="minorHAnsi"/>
        </w:rPr>
      </w:pPr>
      <w:r w:rsidRPr="00C9277E">
        <w:rPr>
          <w:rFonts w:eastAsiaTheme="minorHAnsi"/>
        </w:rPr>
        <w:t xml:space="preserve">The proposed functionality will enable a generic instrument to be lodged and categorised as one of the following:  change proprietorship, record an </w:t>
      </w:r>
      <w:r w:rsidR="004A42E3">
        <w:rPr>
          <w:rFonts w:eastAsiaTheme="minorHAnsi"/>
        </w:rPr>
        <w:t>instrument</w:t>
      </w:r>
      <w:r w:rsidRPr="00C9277E">
        <w:rPr>
          <w:rFonts w:eastAsiaTheme="minorHAnsi"/>
        </w:rPr>
        <w:t xml:space="preserve">, vary an </w:t>
      </w:r>
      <w:r w:rsidR="004A42E3">
        <w:rPr>
          <w:rFonts w:eastAsiaTheme="minorHAnsi"/>
        </w:rPr>
        <w:t>instrument</w:t>
      </w:r>
      <w:r w:rsidRPr="00C9277E">
        <w:rPr>
          <w:rFonts w:eastAsiaTheme="minorHAnsi"/>
        </w:rPr>
        <w:t xml:space="preserve">, remove an </w:t>
      </w:r>
      <w:r w:rsidR="004A42E3">
        <w:rPr>
          <w:rFonts w:eastAsiaTheme="minorHAnsi"/>
        </w:rPr>
        <w:t>instrument</w:t>
      </w:r>
      <w:r w:rsidRPr="00C9277E">
        <w:rPr>
          <w:rFonts w:eastAsiaTheme="minorHAnsi"/>
        </w:rPr>
        <w:t xml:space="preserve"> or request an action by the Registrar.</w:t>
      </w:r>
    </w:p>
    <w:p w14:paraId="271ED970" w14:textId="77777777" w:rsidR="004A42E3" w:rsidRDefault="004A42E3" w:rsidP="00C9277E">
      <w:pPr>
        <w:pStyle w:val="BodyText"/>
        <w:rPr>
          <w:rFonts w:eastAsiaTheme="minorHAnsi"/>
        </w:rPr>
      </w:pPr>
      <w:r>
        <w:rPr>
          <w:rFonts w:eastAsiaTheme="minorHAnsi"/>
        </w:rPr>
        <w:t>PEXA Subscribers will be able to upload documents as PDF images</w:t>
      </w:r>
      <w:r w:rsidR="00550356">
        <w:rPr>
          <w:rFonts w:eastAsiaTheme="minorHAnsi"/>
        </w:rPr>
        <w:t xml:space="preserve"> into an electronic workspace. </w:t>
      </w:r>
      <w:r>
        <w:rPr>
          <w:rFonts w:eastAsiaTheme="minorHAnsi"/>
        </w:rPr>
        <w:t xml:space="preserve">These PDFs can form part of an instrument to be recorded (e.g. lease </w:t>
      </w:r>
      <w:r w:rsidR="009241EC">
        <w:rPr>
          <w:rFonts w:eastAsiaTheme="minorHAnsi"/>
        </w:rPr>
        <w:t>covenants</w:t>
      </w:r>
      <w:r>
        <w:rPr>
          <w:rFonts w:eastAsiaTheme="minorHAnsi"/>
        </w:rPr>
        <w:t xml:space="preserve"> or a section 173 agreement) or be supporting evidence (e.g. required sta</w:t>
      </w:r>
      <w:r w:rsidR="009241EC">
        <w:rPr>
          <w:rFonts w:eastAsiaTheme="minorHAnsi"/>
        </w:rPr>
        <w:t>t</w:t>
      </w:r>
      <w:r>
        <w:rPr>
          <w:rFonts w:eastAsiaTheme="minorHAnsi"/>
        </w:rPr>
        <w:t>ut</w:t>
      </w:r>
      <w:r w:rsidR="009241EC">
        <w:rPr>
          <w:rFonts w:eastAsiaTheme="minorHAnsi"/>
        </w:rPr>
        <w:t>o</w:t>
      </w:r>
      <w:r>
        <w:rPr>
          <w:rFonts w:eastAsiaTheme="minorHAnsi"/>
        </w:rPr>
        <w:t>ry declar</w:t>
      </w:r>
      <w:r w:rsidR="009241EC">
        <w:rPr>
          <w:rFonts w:eastAsiaTheme="minorHAnsi"/>
        </w:rPr>
        <w:t>ation)</w:t>
      </w:r>
      <w:r>
        <w:rPr>
          <w:rFonts w:eastAsiaTheme="minorHAnsi"/>
        </w:rPr>
        <w:t>.</w:t>
      </w:r>
    </w:p>
    <w:p w14:paraId="658864DE" w14:textId="77777777" w:rsidR="00DD1AAD" w:rsidRPr="00C9277E" w:rsidRDefault="00DD1AAD" w:rsidP="00C9277E">
      <w:pPr>
        <w:pStyle w:val="BodyText"/>
        <w:rPr>
          <w:rFonts w:eastAsiaTheme="minorHAnsi"/>
        </w:rPr>
      </w:pPr>
      <w:r w:rsidRPr="00C9277E">
        <w:rPr>
          <w:rFonts w:eastAsiaTheme="minorHAnsi"/>
        </w:rPr>
        <w:t xml:space="preserve">Further information will be provided </w:t>
      </w:r>
      <w:r w:rsidR="003A29F9">
        <w:rPr>
          <w:rFonts w:eastAsiaTheme="minorHAnsi"/>
        </w:rPr>
        <w:t xml:space="preserve">in the near </w:t>
      </w:r>
      <w:r w:rsidR="00300AD4">
        <w:rPr>
          <w:rFonts w:eastAsiaTheme="minorHAnsi"/>
        </w:rPr>
        <w:t>future;</w:t>
      </w:r>
      <w:r w:rsidR="0091181B">
        <w:rPr>
          <w:rFonts w:eastAsiaTheme="minorHAnsi"/>
        </w:rPr>
        <w:t xml:space="preserve"> however,</w:t>
      </w:r>
      <w:r w:rsidR="00300AD4">
        <w:rPr>
          <w:rFonts w:eastAsiaTheme="minorHAnsi"/>
        </w:rPr>
        <w:t xml:space="preserve"> </w:t>
      </w:r>
      <w:r w:rsidR="00300AD4" w:rsidRPr="00C9277E">
        <w:rPr>
          <w:rFonts w:eastAsiaTheme="minorHAnsi"/>
        </w:rPr>
        <w:t>it</w:t>
      </w:r>
      <w:r w:rsidRPr="00C9277E">
        <w:rPr>
          <w:rFonts w:eastAsiaTheme="minorHAnsi"/>
        </w:rPr>
        <w:t xml:space="preserve"> is intended the functionality</w:t>
      </w:r>
      <w:r w:rsidR="003A29F9">
        <w:rPr>
          <w:rFonts w:eastAsiaTheme="minorHAnsi"/>
        </w:rPr>
        <w:t xml:space="preserve"> will be</w:t>
      </w:r>
      <w:r w:rsidRPr="00C9277E">
        <w:rPr>
          <w:rFonts w:eastAsiaTheme="minorHAnsi"/>
        </w:rPr>
        <w:t xml:space="preserve"> available to </w:t>
      </w:r>
      <w:r w:rsidR="00863BC7">
        <w:rPr>
          <w:rFonts w:eastAsiaTheme="minorHAnsi"/>
        </w:rPr>
        <w:t>PEXA</w:t>
      </w:r>
      <w:r w:rsidRPr="00C9277E">
        <w:rPr>
          <w:rFonts w:eastAsiaTheme="minorHAnsi"/>
        </w:rPr>
        <w:t xml:space="preserve"> Subscribers in November</w:t>
      </w:r>
      <w:r w:rsidR="001E3C9A">
        <w:rPr>
          <w:rFonts w:eastAsiaTheme="minorHAnsi"/>
        </w:rPr>
        <w:t xml:space="preserve"> </w:t>
      </w:r>
      <w:r w:rsidR="001E3C9A" w:rsidRPr="00B53A3D">
        <w:rPr>
          <w:rFonts w:eastAsiaTheme="minorHAnsi"/>
        </w:rPr>
        <w:t>or</w:t>
      </w:r>
      <w:r w:rsidR="001E3C9A">
        <w:rPr>
          <w:rFonts w:eastAsiaTheme="minorHAnsi"/>
        </w:rPr>
        <w:t xml:space="preserve"> </w:t>
      </w:r>
      <w:r w:rsidR="00B60E8A">
        <w:rPr>
          <w:rFonts w:eastAsiaTheme="minorHAnsi"/>
        </w:rPr>
        <w:t>December</w:t>
      </w:r>
      <w:r w:rsidRPr="00C9277E">
        <w:rPr>
          <w:rFonts w:eastAsiaTheme="minorHAnsi"/>
        </w:rPr>
        <w:t xml:space="preserve"> 2018 and its use by conveyancers, lawyers, ADIs and </w:t>
      </w:r>
      <w:r w:rsidR="0091181B">
        <w:rPr>
          <w:rFonts w:eastAsiaTheme="minorHAnsi"/>
        </w:rPr>
        <w:t>s</w:t>
      </w:r>
      <w:r w:rsidRPr="00C9277E">
        <w:rPr>
          <w:rFonts w:eastAsiaTheme="minorHAnsi"/>
        </w:rPr>
        <w:t xml:space="preserve">ubscribers </w:t>
      </w:r>
      <w:r w:rsidR="00224EB3">
        <w:rPr>
          <w:rFonts w:eastAsiaTheme="minorHAnsi"/>
        </w:rPr>
        <w:t xml:space="preserve">will be </w:t>
      </w:r>
      <w:r w:rsidR="009241EC">
        <w:rPr>
          <w:rFonts w:eastAsiaTheme="minorHAnsi"/>
        </w:rPr>
        <w:t>required</w:t>
      </w:r>
      <w:r w:rsidR="00224EB3">
        <w:rPr>
          <w:rFonts w:eastAsiaTheme="minorHAnsi"/>
        </w:rPr>
        <w:t xml:space="preserve"> </w:t>
      </w:r>
      <w:r w:rsidRPr="00C9277E">
        <w:rPr>
          <w:rFonts w:eastAsiaTheme="minorHAnsi"/>
        </w:rPr>
        <w:t>from 1 August 2019.</w:t>
      </w:r>
    </w:p>
    <w:p w14:paraId="3C9287EB" w14:textId="77777777" w:rsidR="00DD1AAD" w:rsidRPr="00C9277E" w:rsidRDefault="00224EB3" w:rsidP="00C9277E">
      <w:pPr>
        <w:pStyle w:val="BodyText"/>
        <w:rPr>
          <w:rFonts w:eastAsiaTheme="minorHAnsi"/>
        </w:rPr>
      </w:pPr>
      <w:r>
        <w:rPr>
          <w:rFonts w:eastAsiaTheme="minorHAnsi"/>
        </w:rPr>
        <w:t xml:space="preserve">Some applications </w:t>
      </w:r>
      <w:r w:rsidR="00B60E8A">
        <w:rPr>
          <w:rFonts w:eastAsiaTheme="minorHAnsi"/>
        </w:rPr>
        <w:t>will</w:t>
      </w:r>
      <w:r>
        <w:rPr>
          <w:rFonts w:eastAsiaTheme="minorHAnsi"/>
        </w:rPr>
        <w:t xml:space="preserve"> be excluded from the functionality in phase one of the residual docum</w:t>
      </w:r>
      <w:r w:rsidR="00863BC7">
        <w:rPr>
          <w:rFonts w:eastAsiaTheme="minorHAnsi"/>
        </w:rPr>
        <w:t>ent</w:t>
      </w:r>
      <w:r>
        <w:rPr>
          <w:rFonts w:eastAsiaTheme="minorHAnsi"/>
        </w:rPr>
        <w:t xml:space="preserve"> process, including a</w:t>
      </w:r>
      <w:r w:rsidR="00DD1AAD" w:rsidRPr="00C9277E">
        <w:rPr>
          <w:rFonts w:eastAsiaTheme="minorHAnsi"/>
        </w:rPr>
        <w:t>pplications that do not require a Land Title Reference</w:t>
      </w:r>
      <w:r w:rsidR="0091181B">
        <w:rPr>
          <w:rFonts w:eastAsiaTheme="minorHAnsi"/>
        </w:rPr>
        <w:t>. T</w:t>
      </w:r>
      <w:r w:rsidR="00DD1AAD" w:rsidRPr="00C9277E">
        <w:rPr>
          <w:rFonts w:eastAsiaTheme="minorHAnsi"/>
        </w:rPr>
        <w:t xml:space="preserve">hese include applications relating to memoranda of common provisions, owners corporations, and the </w:t>
      </w:r>
      <w:r w:rsidR="00DD1AAD" w:rsidRPr="0082451F">
        <w:rPr>
          <w:rFonts w:eastAsiaTheme="minorHAnsi"/>
          <w:i/>
        </w:rPr>
        <w:t>Religious Successory and Charitable Trusts Act 1958</w:t>
      </w:r>
      <w:r w:rsidR="00DD1AAD" w:rsidRPr="00C9277E">
        <w:rPr>
          <w:rFonts w:eastAsiaTheme="minorHAnsi"/>
        </w:rPr>
        <w:t xml:space="preserve">. </w:t>
      </w:r>
      <w:r w:rsidR="00AF5FBC">
        <w:rPr>
          <w:rFonts w:eastAsiaTheme="minorHAnsi"/>
        </w:rPr>
        <w:t>Applications</w:t>
      </w:r>
      <w:r w:rsidR="00DD1AAD" w:rsidRPr="00C9277E">
        <w:rPr>
          <w:rFonts w:eastAsiaTheme="minorHAnsi"/>
        </w:rPr>
        <w:t xml:space="preserve"> relating to repealed legislation have not been included </w:t>
      </w:r>
      <w:r w:rsidR="00AF5FBC">
        <w:rPr>
          <w:rFonts w:eastAsiaTheme="minorHAnsi"/>
        </w:rPr>
        <w:t>because they</w:t>
      </w:r>
      <w:r w:rsidR="00DD1AAD" w:rsidRPr="00C9277E">
        <w:rPr>
          <w:rFonts w:eastAsiaTheme="minorHAnsi"/>
        </w:rPr>
        <w:t xml:space="preserve"> are rare and declining in number.</w:t>
      </w:r>
    </w:p>
    <w:p w14:paraId="5C751218" w14:textId="77777777" w:rsidR="00DD1AAD" w:rsidRPr="00C9277E" w:rsidRDefault="00DD1AAD" w:rsidP="00C9277E">
      <w:pPr>
        <w:pStyle w:val="BodyText"/>
        <w:rPr>
          <w:rFonts w:eastAsiaTheme="minorHAnsi"/>
        </w:rPr>
      </w:pPr>
      <w:r w:rsidRPr="00C9277E">
        <w:rPr>
          <w:rFonts w:eastAsiaTheme="minorHAnsi"/>
        </w:rPr>
        <w:lastRenderedPageBreak/>
        <w:t xml:space="preserve">LUV will provide a guide </w:t>
      </w:r>
      <w:r w:rsidR="0091181B">
        <w:rPr>
          <w:rFonts w:eastAsiaTheme="minorHAnsi"/>
        </w:rPr>
        <w:t>that</w:t>
      </w:r>
      <w:r w:rsidR="00AF5FBC">
        <w:rPr>
          <w:rFonts w:eastAsiaTheme="minorHAnsi"/>
        </w:rPr>
        <w:t xml:space="preserve"> will</w:t>
      </w:r>
      <w:r w:rsidRPr="00C9277E">
        <w:rPr>
          <w:rFonts w:eastAsiaTheme="minorHAnsi"/>
        </w:rPr>
        <w:t xml:space="preserve"> out</w:t>
      </w:r>
      <w:r w:rsidR="00AF5FBC">
        <w:rPr>
          <w:rFonts w:eastAsiaTheme="minorHAnsi"/>
        </w:rPr>
        <w:t>line</w:t>
      </w:r>
      <w:r w:rsidRPr="00C9277E">
        <w:rPr>
          <w:rFonts w:eastAsiaTheme="minorHAnsi"/>
        </w:rPr>
        <w:t xml:space="preserve"> applications that can be made and what (if any) instrument and/or supporting evidence is required. </w:t>
      </w:r>
    </w:p>
    <w:p w14:paraId="124406C0" w14:textId="77777777" w:rsidR="00DD1AAD" w:rsidRPr="00604C7F" w:rsidRDefault="00DD1AAD" w:rsidP="00DD1AAD">
      <w:pPr>
        <w:pStyle w:val="Heading2"/>
      </w:pPr>
      <w:r w:rsidRPr="00604C7F">
        <w:t xml:space="preserve">Benefits of electronic conveyancing </w:t>
      </w:r>
    </w:p>
    <w:p w14:paraId="56C3BA08" w14:textId="77777777" w:rsidR="00AF5FBC" w:rsidRDefault="00DD1AAD" w:rsidP="00C9277E">
      <w:pPr>
        <w:pStyle w:val="BodyText"/>
      </w:pPr>
      <w:r w:rsidRPr="000E7EAE">
        <w:t>An independent report by</w:t>
      </w:r>
      <w:r w:rsidR="00AF5FBC">
        <w:t xml:space="preserve"> </w:t>
      </w:r>
      <w:r w:rsidRPr="000E7EAE">
        <w:t xml:space="preserve">KPMG undertaken on behalf of the NSW Registrar-General highlights the benefits of eConveyancing. </w:t>
      </w:r>
    </w:p>
    <w:p w14:paraId="2DC4AD48" w14:textId="77777777" w:rsidR="009241EC" w:rsidRDefault="00DD1AAD" w:rsidP="00C9277E">
      <w:pPr>
        <w:pStyle w:val="BodyText"/>
      </w:pPr>
      <w:r w:rsidRPr="000E7EAE">
        <w:t xml:space="preserve">The report is available </w:t>
      </w:r>
      <w:r>
        <w:t xml:space="preserve">on the </w:t>
      </w:r>
      <w:hyperlink r:id="rId17" w:history="1">
        <w:r w:rsidR="00AF5FBC" w:rsidRPr="007A3356">
          <w:rPr>
            <w:rStyle w:val="Hyperlink"/>
            <w:rFonts w:cstheme="minorHAnsi"/>
          </w:rPr>
          <w:t>NSW Office of the Registrar General’s website</w:t>
        </w:r>
      </w:hyperlink>
      <w:r w:rsidR="0091181B" w:rsidRPr="0091181B">
        <w:rPr>
          <w:rStyle w:val="Hyperlink"/>
          <w:rFonts w:cstheme="minorHAnsi"/>
          <w:u w:val="none"/>
        </w:rPr>
        <w:t xml:space="preserve"> </w:t>
      </w:r>
      <w:r w:rsidR="001E3C9A">
        <w:rPr>
          <w:rStyle w:val="Hyperlink"/>
          <w:rFonts w:cstheme="minorHAnsi"/>
          <w:u w:val="none"/>
        </w:rPr>
        <w:t>(</w:t>
      </w:r>
      <w:r w:rsidR="0091181B" w:rsidRPr="001E3C9A">
        <w:rPr>
          <w:color w:val="auto"/>
        </w:rPr>
        <w:t>www.registrargeneral.nsw.gov.au</w:t>
      </w:r>
      <w:r w:rsidR="001E3C9A">
        <w:rPr>
          <w:rStyle w:val="Hyperlink"/>
          <w:rFonts w:cstheme="minorHAnsi"/>
          <w:u w:val="none"/>
        </w:rPr>
        <w:t>)</w:t>
      </w:r>
      <w:r w:rsidR="00AF5FBC">
        <w:rPr>
          <w:rFonts w:ascii="Calibri" w:hAnsi="Calibri" w:cs="Calibri"/>
          <w:color w:val="000000"/>
        </w:rPr>
        <w:t xml:space="preserve"> – </w:t>
      </w:r>
      <w:r w:rsidR="00801841" w:rsidRPr="007A3356">
        <w:t xml:space="preserve"> see </w:t>
      </w:r>
      <w:r>
        <w:t>Publications in the eConveyancing tab.</w:t>
      </w:r>
      <w:r w:rsidRPr="000E7EAE">
        <w:t xml:space="preserve"> LUV recognises there are some differences in conveyancing practice in Victoria and NSW</w:t>
      </w:r>
      <w:r w:rsidR="00801841">
        <w:t>; h</w:t>
      </w:r>
      <w:r w:rsidRPr="000E7EAE">
        <w:t>owever, there are sufficient similarities to make the findings of this report relevant to Victorian conveyancing</w:t>
      </w:r>
      <w:r w:rsidR="00801841">
        <w:t>.</w:t>
      </w:r>
    </w:p>
    <w:p w14:paraId="6D387DF8" w14:textId="77777777" w:rsidR="009241EC" w:rsidRDefault="009241EC" w:rsidP="00300AD4">
      <w:pPr>
        <w:pStyle w:val="Heading1"/>
      </w:pPr>
      <w:r>
        <w:t>Legal entity names</w:t>
      </w:r>
    </w:p>
    <w:p w14:paraId="2B4572A1" w14:textId="77777777" w:rsidR="009241EC" w:rsidRDefault="009241EC" w:rsidP="009241EC">
      <w:pPr>
        <w:pStyle w:val="BodyText"/>
      </w:pPr>
      <w:r>
        <w:t>When completing forms for lodgment that contain name fields for individuals or companies (e.g. applicant, proprietor, mortgagee or caveator) the fu</w:t>
      </w:r>
      <w:r w:rsidR="0091181B">
        <w:t>ll legal name must be provided.</w:t>
      </w:r>
      <w:r>
        <w:t xml:space="preserve"> For individuals, customers should be careful not to use names that are shortened (</w:t>
      </w:r>
      <w:r w:rsidR="0091181B">
        <w:t xml:space="preserve">e.g. nicknames) or Anglicised. </w:t>
      </w:r>
      <w:r>
        <w:t>For companies, customers should be careful not to use business or trading names.</w:t>
      </w:r>
    </w:p>
    <w:p w14:paraId="224B54BF" w14:textId="77777777" w:rsidR="009241EC" w:rsidRDefault="0091181B" w:rsidP="009241EC">
      <w:pPr>
        <w:pStyle w:val="BodyText"/>
      </w:pPr>
      <w:r>
        <w:t>For individuals,</w:t>
      </w:r>
      <w:r w:rsidR="009241EC">
        <w:t xml:space="preserve"> names should not conta</w:t>
      </w:r>
      <w:r w:rsidR="001E3C9A">
        <w:t>in references to titles such as</w:t>
      </w:r>
      <w:r w:rsidR="009241EC">
        <w:t xml:space="preserve"> Mr, Miss, Mrs, Ms, Dr, Sir, Jr, etc. Abbreviations of names to a lette</w:t>
      </w:r>
      <w:r>
        <w:t>r –</w:t>
      </w:r>
      <w:r w:rsidR="009241EC">
        <w:t xml:space="preserve"> e.g. John P Smith</w:t>
      </w:r>
      <w:r>
        <w:t xml:space="preserve"> –</w:t>
      </w:r>
      <w:r w:rsidR="009241EC">
        <w:t xml:space="preserve"> are also inappropriate.</w:t>
      </w:r>
    </w:p>
    <w:p w14:paraId="3EFED716" w14:textId="77777777" w:rsidR="009241EC" w:rsidRPr="000E7EAE" w:rsidRDefault="009241EC" w:rsidP="00C9277E">
      <w:pPr>
        <w:pStyle w:val="BodyText"/>
      </w:pPr>
      <w:r>
        <w:t>Company names should be the same</w:t>
      </w:r>
      <w:r w:rsidR="0091181B">
        <w:t xml:space="preserve"> as the name registered by ASIC</w:t>
      </w:r>
      <w:r>
        <w:t xml:space="preserve"> and must include any stops, apostrophes and spaces as </w:t>
      </w:r>
      <w:r w:rsidR="0091181B">
        <w:t>per</w:t>
      </w:r>
      <w:r>
        <w:t xml:space="preserve"> the registered name. The only exception to this requirement is accepted corporate extension abbreviations of PTY, LTD and INC (all without stops). In addition, the correct unique ASIC identifier </w:t>
      </w:r>
      <w:r w:rsidR="0091181B">
        <w:t>–</w:t>
      </w:r>
      <w:r>
        <w:t xml:space="preserve"> an ACN or an ARBN</w:t>
      </w:r>
      <w:r w:rsidR="0091181B">
        <w:t xml:space="preserve"> –</w:t>
      </w:r>
      <w:r>
        <w:t xml:space="preserve"> should be p</w:t>
      </w:r>
      <w:r w:rsidR="0091181B">
        <w:t xml:space="preserve">rovided for each company name. </w:t>
      </w:r>
      <w:r>
        <w:t xml:space="preserve">ABNs are </w:t>
      </w:r>
      <w:r w:rsidR="0091181B">
        <w:t>un</w:t>
      </w:r>
      <w:r>
        <w:t>acceptable.</w:t>
      </w:r>
    </w:p>
    <w:p w14:paraId="518E4D91" w14:textId="77777777" w:rsidR="00DD1AAD" w:rsidRDefault="00DD1AAD" w:rsidP="00DD1AAD">
      <w:pPr>
        <w:pStyle w:val="Heading1"/>
        <w:spacing w:after="240"/>
      </w:pPr>
      <w:r w:rsidRPr="00315439">
        <w:t>Subscribe</w:t>
      </w:r>
    </w:p>
    <w:p w14:paraId="5B42A710" w14:textId="77777777" w:rsidR="00DD1AAD" w:rsidRDefault="00DD1AAD" w:rsidP="00DD1AAD">
      <w:pPr>
        <w:pStyle w:val="BodyText"/>
        <w:rPr>
          <w:rFonts w:eastAsia="Calibri"/>
        </w:rPr>
      </w:pPr>
      <w:r w:rsidRPr="00FF4197">
        <w:rPr>
          <w:rFonts w:eastAsia="Calibri"/>
        </w:rPr>
        <w:t xml:space="preserve">To receive </w:t>
      </w:r>
      <w:r>
        <w:rPr>
          <w:rFonts w:eastAsia="Calibri"/>
        </w:rPr>
        <w:t>notification when a</w:t>
      </w:r>
      <w:r w:rsidRPr="00FF4197">
        <w:rPr>
          <w:rFonts w:eastAsia="Calibri"/>
        </w:rPr>
        <w:t xml:space="preserve"> </w:t>
      </w:r>
      <w:r w:rsidRPr="00E10F5B">
        <w:rPr>
          <w:rFonts w:eastAsia="Calibri"/>
          <w:i/>
        </w:rPr>
        <w:t>Customer Information Bulletin</w:t>
      </w:r>
      <w:r w:rsidRPr="00FF4197">
        <w:rPr>
          <w:rFonts w:eastAsia="Calibri"/>
        </w:rPr>
        <w:t xml:space="preserve"> </w:t>
      </w:r>
      <w:r>
        <w:rPr>
          <w:rFonts w:eastAsia="Calibri"/>
        </w:rPr>
        <w:t>is published,</w:t>
      </w:r>
      <w:r w:rsidRPr="00FF4197">
        <w:rPr>
          <w:rFonts w:eastAsia="Calibri"/>
        </w:rPr>
        <w:t xml:space="preserve"> please send an email to lv.cib@delwp.vic.gov.au with SUBSCRIBE in the subject line – include your name and email address in the body of the email.</w:t>
      </w:r>
    </w:p>
    <w:p w14:paraId="27100687" w14:textId="77777777" w:rsidR="00DD1AAD" w:rsidRDefault="00DD1AAD" w:rsidP="00DD1AAD">
      <w:pPr>
        <w:pStyle w:val="Heading1"/>
        <w:spacing w:after="240"/>
        <w:rPr>
          <w:rFonts w:eastAsiaTheme="minorHAnsi"/>
          <w:lang w:eastAsia="en-US"/>
        </w:rPr>
      </w:pPr>
      <w:r>
        <w:rPr>
          <w:rFonts w:eastAsiaTheme="minorHAnsi"/>
          <w:lang w:eastAsia="en-US"/>
        </w:rPr>
        <w:t>Contact us</w:t>
      </w:r>
    </w:p>
    <w:p w14:paraId="2CD72A3B" w14:textId="77777777" w:rsidR="00DD1AAD" w:rsidRPr="001E3C9A" w:rsidRDefault="00DD1AAD" w:rsidP="001E3C9A">
      <w:pPr>
        <w:pStyle w:val="BodyText"/>
        <w:rPr>
          <w:rFonts w:cs="Calibri"/>
          <w:color w:val="000000"/>
          <w:u w:val="single"/>
        </w:rPr>
        <w:sectPr w:rsidR="00DD1AAD" w:rsidRPr="001E3C9A" w:rsidSect="00DD1AAD">
          <w:type w:val="continuous"/>
          <w:pgSz w:w="11907" w:h="16840" w:code="9"/>
          <w:pgMar w:top="2211" w:right="851" w:bottom="1758" w:left="851" w:header="284" w:footer="284" w:gutter="0"/>
          <w:cols w:space="284"/>
          <w:docGrid w:linePitch="360"/>
        </w:sectPr>
      </w:pPr>
      <w:r>
        <w:rPr>
          <w:rFonts w:cs="Calibri"/>
          <w:color w:val="000000"/>
        </w:rPr>
        <w:t xml:space="preserve">For </w:t>
      </w:r>
      <w:hyperlink r:id="rId18" w:history="1">
        <w:r>
          <w:rPr>
            <w:rFonts w:cs="Calibri"/>
            <w:color w:val="000000"/>
            <w:u w:val="single"/>
          </w:rPr>
          <w:t>location and contact details</w:t>
        </w:r>
      </w:hyperlink>
      <w:r>
        <w:rPr>
          <w:rFonts w:cs="Calibri"/>
          <w:color w:val="000000"/>
        </w:rPr>
        <w:t xml:space="preserve">, go to </w:t>
      </w:r>
      <w:hyperlink r:id="rId19" w:history="1">
        <w:r>
          <w:rPr>
            <w:rFonts w:cs="Calibri"/>
            <w:color w:val="000000"/>
            <w:u w:val="single"/>
          </w:rPr>
          <w:t>www.propertyandlandtitles.vic.gov.au/contact-us</w:t>
        </w:r>
      </w:hyperlink>
      <w:r w:rsidR="001E3C9A" w:rsidRPr="00FF4197">
        <w:rPr>
          <w:rFonts w:eastAsia="Calibri"/>
        </w:rPr>
        <w:t>.</w:t>
      </w:r>
    </w:p>
    <w:p w14:paraId="557BF452" w14:textId="77777777" w:rsidR="006E1C8D" w:rsidRDefault="006E1C8D" w:rsidP="00C9277E">
      <w:pPr>
        <w:pStyle w:val="BodyText"/>
      </w:pPr>
    </w:p>
    <w:p w14:paraId="0F58D44B" w14:textId="77777777" w:rsidR="00801FA2" w:rsidRDefault="00801FA2" w:rsidP="00C9277E">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801FA2" w14:paraId="789CDC82" w14:textId="77777777" w:rsidTr="005227A9">
        <w:trPr>
          <w:trHeight w:val="2608"/>
        </w:trPr>
        <w:tc>
          <w:tcPr>
            <w:tcW w:w="5216" w:type="dxa"/>
            <w:shd w:val="clear" w:color="auto" w:fill="auto"/>
          </w:tcPr>
          <w:p w14:paraId="5DD5074D" w14:textId="50007F76" w:rsidR="00801FA2" w:rsidRDefault="00801FA2" w:rsidP="005227A9">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F07EDB">
              <w:rPr>
                <w:noProof/>
              </w:rPr>
              <w:t>2018</w:t>
            </w:r>
            <w:r>
              <w:fldChar w:fldCharType="end"/>
            </w:r>
          </w:p>
          <w:p w14:paraId="50860ECE" w14:textId="77777777" w:rsidR="00801FA2" w:rsidRDefault="00801FA2" w:rsidP="005227A9">
            <w:pPr>
              <w:pStyle w:val="SmallBodyText"/>
            </w:pPr>
            <w:r>
              <w:rPr>
                <w:noProof/>
              </w:rPr>
              <w:drawing>
                <wp:anchor distT="0" distB="0" distL="114300" distR="36195" simplePos="0" relativeHeight="251659264" behindDoc="0" locked="1" layoutInCell="1" allowOverlap="1" wp14:anchorId="03E05F1D" wp14:editId="51AD8DD0">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41F2DC03" w14:textId="77777777" w:rsidR="00801FA2" w:rsidRPr="008F559C" w:rsidRDefault="00801FA2" w:rsidP="005227A9">
            <w:pPr>
              <w:pStyle w:val="SmallHeading"/>
            </w:pPr>
            <w:r w:rsidRPr="00C255C2">
              <w:t>Disclaimer</w:t>
            </w:r>
          </w:p>
          <w:p w14:paraId="1CEF3D81" w14:textId="77777777" w:rsidR="00801FA2" w:rsidRDefault="00801FA2" w:rsidP="005227A9">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21172C3F" w14:textId="77777777" w:rsidR="00801FA2" w:rsidRPr="00E97294" w:rsidRDefault="00801FA2" w:rsidP="005227A9">
            <w:pPr>
              <w:pStyle w:val="xAccessibilityHeading"/>
            </w:pPr>
            <w:bookmarkStart w:id="3" w:name="_Accessibility"/>
            <w:bookmarkEnd w:id="3"/>
            <w:r w:rsidRPr="00E97294">
              <w:t>Accessibility</w:t>
            </w:r>
          </w:p>
          <w:p w14:paraId="11093113" w14:textId="77777777" w:rsidR="00801FA2" w:rsidRDefault="00801FA2" w:rsidP="005227A9">
            <w:pPr>
              <w:pStyle w:val="xAccessibilityText"/>
            </w:pPr>
            <w:r>
              <w:t>If you would like to receive this publication in an alternative format, please telephone the DELWP Customer Service Centre on 136186, email </w:t>
            </w:r>
            <w:hyperlink r:id="rId21" w:history="1">
              <w:r w:rsidRPr="003C5C56">
                <w:t>customer.service@delwp.vic.gov.au</w:t>
              </w:r>
            </w:hyperlink>
            <w:r>
              <w:t xml:space="preserve">, or via the National Relay Service on 133 677 </w:t>
            </w:r>
            <w:hyperlink r:id="rId22" w:history="1">
              <w:r w:rsidRPr="00AE3298">
                <w:t>www.relayservice.com.au</w:t>
              </w:r>
            </w:hyperlink>
            <w:r>
              <w:t xml:space="preserve">. This document is also available on the internet at </w:t>
            </w:r>
            <w:hyperlink r:id="rId23" w:history="1">
              <w:r w:rsidRPr="00AE3298">
                <w:t>www.delwp.vic.gov.au</w:t>
              </w:r>
            </w:hyperlink>
            <w:r>
              <w:t xml:space="preserve">. </w:t>
            </w:r>
          </w:p>
          <w:p w14:paraId="28AC649E" w14:textId="77777777" w:rsidR="00801FA2" w:rsidRDefault="00801FA2" w:rsidP="005227A9">
            <w:pPr>
              <w:pStyle w:val="SmallBodyText"/>
            </w:pPr>
          </w:p>
        </w:tc>
      </w:tr>
    </w:tbl>
    <w:p w14:paraId="34C462A2" w14:textId="77777777" w:rsidR="00801FA2" w:rsidRDefault="00801FA2" w:rsidP="00801FA2">
      <w:pPr>
        <w:pStyle w:val="BodyText"/>
      </w:pPr>
    </w:p>
    <w:p w14:paraId="6D08C0FB" w14:textId="77777777" w:rsidR="00801FA2" w:rsidRDefault="00801FA2" w:rsidP="00C9277E">
      <w:pPr>
        <w:pStyle w:val="BodyText"/>
      </w:pPr>
    </w:p>
    <w:sectPr w:rsidR="00801FA2"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29203" w14:textId="77777777" w:rsidR="002E596D" w:rsidRDefault="002E596D">
      <w:r>
        <w:separator/>
      </w:r>
    </w:p>
    <w:p w14:paraId="6A187559" w14:textId="77777777" w:rsidR="002E596D" w:rsidRDefault="002E596D"/>
    <w:p w14:paraId="475AC5B4" w14:textId="77777777" w:rsidR="002E596D" w:rsidRDefault="002E596D"/>
  </w:endnote>
  <w:endnote w:type="continuationSeparator" w:id="0">
    <w:p w14:paraId="64087A76" w14:textId="77777777" w:rsidR="002E596D" w:rsidRDefault="002E596D">
      <w:r>
        <w:continuationSeparator/>
      </w:r>
    </w:p>
    <w:p w14:paraId="344EE905" w14:textId="77777777" w:rsidR="002E596D" w:rsidRDefault="002E596D"/>
    <w:p w14:paraId="524E391C" w14:textId="77777777" w:rsidR="002E596D" w:rsidRDefault="002E5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709257"/>
      <w:docPartObj>
        <w:docPartGallery w:val="Page Numbers (Bottom of Page)"/>
        <w:docPartUnique/>
      </w:docPartObj>
    </w:sdtPr>
    <w:sdtEndPr/>
    <w:sdtContent>
      <w:sdt>
        <w:sdtPr>
          <w:id w:val="-1705238520"/>
          <w:docPartObj>
            <w:docPartGallery w:val="Page Numbers (Top of Page)"/>
            <w:docPartUnique/>
          </w:docPartObj>
        </w:sdtPr>
        <w:sdtEndPr/>
        <w:sdtContent>
          <w:p w14:paraId="3206123A" w14:textId="40E48880" w:rsidR="0035205C" w:rsidRDefault="0035205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07ED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7EDB">
              <w:rPr>
                <w:b/>
                <w:bCs/>
                <w:noProof/>
              </w:rPr>
              <w:t>4</w:t>
            </w:r>
            <w:r>
              <w:rPr>
                <w:b/>
                <w:bCs/>
                <w:sz w:val="24"/>
                <w:szCs w:val="24"/>
              </w:rPr>
              <w:fldChar w:fldCharType="end"/>
            </w:r>
          </w:p>
        </w:sdtContent>
      </w:sdt>
    </w:sdtContent>
  </w:sdt>
  <w:p w14:paraId="2DF6095F" w14:textId="77777777" w:rsidR="00E962AA" w:rsidRPr="00B5221E" w:rsidRDefault="00E962AA" w:rsidP="00E97294">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642666"/>
      <w:docPartObj>
        <w:docPartGallery w:val="Page Numbers (Bottom of Page)"/>
        <w:docPartUnique/>
      </w:docPartObj>
    </w:sdtPr>
    <w:sdtEndPr/>
    <w:sdtContent>
      <w:sdt>
        <w:sdtPr>
          <w:id w:val="-844175482"/>
          <w:docPartObj>
            <w:docPartGallery w:val="Page Numbers (Top of Page)"/>
            <w:docPartUnique/>
          </w:docPartObj>
        </w:sdtPr>
        <w:sdtEndPr/>
        <w:sdtContent>
          <w:p w14:paraId="69F649A7" w14:textId="4F3FE551" w:rsidR="0035205C" w:rsidRDefault="0035205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07ED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7EDB">
              <w:rPr>
                <w:b/>
                <w:bCs/>
                <w:noProof/>
              </w:rPr>
              <w:t>4</w:t>
            </w:r>
            <w:r>
              <w:rPr>
                <w:b/>
                <w:bCs/>
                <w:sz w:val="24"/>
                <w:szCs w:val="24"/>
              </w:rPr>
              <w:fldChar w:fldCharType="end"/>
            </w:r>
          </w:p>
        </w:sdtContent>
      </w:sdt>
    </w:sdtContent>
  </w:sdt>
  <w:p w14:paraId="28746CED" w14:textId="77777777" w:rsidR="00E962AA" w:rsidRDefault="00E962AA"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5C570" w14:textId="77777777" w:rsidR="00E962AA" w:rsidRDefault="00E962AA" w:rsidP="00BF3066">
    <w:pPr>
      <w:pStyle w:val="Footer"/>
      <w:spacing w:before="1600"/>
    </w:pPr>
    <w:r>
      <w:rPr>
        <w:noProof/>
      </w:rPr>
      <w:drawing>
        <wp:anchor distT="0" distB="0" distL="114300" distR="114300" simplePos="0" relativeHeight="251663872" behindDoc="1" locked="1" layoutInCell="1" allowOverlap="1" wp14:anchorId="0D5D8CAC" wp14:editId="58EA4DF1">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4896" behindDoc="0" locked="1" layoutInCell="1" allowOverlap="1" wp14:anchorId="2FBCFDE1" wp14:editId="006466BA">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E44924"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CFDE1" id="_x0000_t202" coordsize="21600,21600" o:spt="202" path="m,l,21600r21600,l21600,xe">
              <v:stroke joinstyle="miter"/>
              <v:path gradientshapeok="t" o:connecttype="rect"/>
            </v:shapetype>
            <v:shape id="WebAddress" o:spid="_x0000_s1026" type="#_x0000_t202" style="position:absolute;margin-left:0;margin-top:0;width:303pt;height:56.7pt;z-index:2516648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14:paraId="65E44924"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848" behindDoc="1" locked="1" layoutInCell="1" allowOverlap="1" wp14:anchorId="26C593B6" wp14:editId="04C0720E">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C7126" w14:textId="77777777" w:rsidR="002E596D" w:rsidRPr="008F5280" w:rsidRDefault="002E596D" w:rsidP="008F5280">
      <w:pPr>
        <w:pStyle w:val="FootnoteSeparator"/>
      </w:pPr>
    </w:p>
    <w:p w14:paraId="05DDBE56" w14:textId="77777777" w:rsidR="002E596D" w:rsidRDefault="002E596D"/>
  </w:footnote>
  <w:footnote w:type="continuationSeparator" w:id="0">
    <w:p w14:paraId="52FE062B" w14:textId="77777777" w:rsidR="002E596D" w:rsidRDefault="002E596D" w:rsidP="008F5280">
      <w:pPr>
        <w:pStyle w:val="FootnoteSeparator"/>
      </w:pPr>
    </w:p>
    <w:p w14:paraId="763F8898" w14:textId="77777777" w:rsidR="002E596D" w:rsidRDefault="002E596D"/>
    <w:p w14:paraId="7E681B69" w14:textId="77777777" w:rsidR="002E596D" w:rsidRDefault="002E596D"/>
  </w:footnote>
  <w:footnote w:type="continuationNotice" w:id="1">
    <w:p w14:paraId="7AC813EF" w14:textId="77777777" w:rsidR="002E596D" w:rsidRDefault="002E596D" w:rsidP="00D55628"/>
    <w:p w14:paraId="68B1C284" w14:textId="77777777" w:rsidR="002E596D" w:rsidRDefault="002E596D"/>
    <w:p w14:paraId="06802430" w14:textId="77777777" w:rsidR="002E596D" w:rsidRDefault="002E59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2C940471" w14:textId="77777777" w:rsidTr="00AC028D">
      <w:trPr>
        <w:trHeight w:hRule="exact" w:val="1418"/>
      </w:trPr>
      <w:tc>
        <w:tcPr>
          <w:tcW w:w="7761" w:type="dxa"/>
          <w:vAlign w:val="center"/>
        </w:tcPr>
        <w:p w14:paraId="350F26E5" w14:textId="77777777" w:rsidR="00574CE2" w:rsidRDefault="00574CE2" w:rsidP="00574CE2">
          <w:pPr>
            <w:pStyle w:val="Title"/>
          </w:pPr>
          <w:r>
            <w:t>Customer Information Bulletin 179</w:t>
          </w:r>
        </w:p>
        <w:p w14:paraId="2153F2BD" w14:textId="77777777" w:rsidR="00254A01" w:rsidRPr="00975ED3" w:rsidRDefault="00574CE2" w:rsidP="00574CE2">
          <w:pPr>
            <w:pStyle w:val="Header"/>
          </w:pPr>
          <w:r>
            <w:t>Ju</w:t>
          </w:r>
          <w:r w:rsidR="001D651B">
            <w:t>ly</w:t>
          </w:r>
          <w:r>
            <w:t xml:space="preserve"> 2018</w:t>
          </w:r>
        </w:p>
      </w:tc>
    </w:tr>
  </w:tbl>
  <w:p w14:paraId="457B3D57" w14:textId="77777777" w:rsidR="00254A01" w:rsidRDefault="00254A01" w:rsidP="00254A01">
    <w:pPr>
      <w:pStyle w:val="Header"/>
    </w:pPr>
    <w:r w:rsidRPr="00806AB6">
      <w:rPr>
        <w:noProof/>
      </w:rPr>
      <mc:AlternateContent>
        <mc:Choice Requires="wps">
          <w:drawing>
            <wp:anchor distT="0" distB="0" distL="114300" distR="114300" simplePos="0" relativeHeight="251657216" behindDoc="1" locked="0" layoutInCell="1" allowOverlap="1" wp14:anchorId="342BCEA9" wp14:editId="0FA4008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E3717" id="TriangleRight" o:spid="_x0000_s1026" style="position:absolute;margin-left:56.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21B56B20" wp14:editId="47DB7EEB">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BCDEC"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6976" behindDoc="1" locked="0" layoutInCell="1" allowOverlap="1" wp14:anchorId="4AA0E479" wp14:editId="1969CD67">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09C620" id="Rectangle" o:spid="_x0000_s1026" style="position:absolute;margin-left:22.7pt;margin-top:22.7pt;width:552.75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23ED07BA"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2A885599" w14:textId="77777777" w:rsidTr="00AC028D">
      <w:trPr>
        <w:trHeight w:hRule="exact" w:val="1418"/>
      </w:trPr>
      <w:tc>
        <w:tcPr>
          <w:tcW w:w="7761" w:type="dxa"/>
          <w:vAlign w:val="center"/>
        </w:tcPr>
        <w:p w14:paraId="6CDD6D44" w14:textId="77777777" w:rsidR="00574CE2" w:rsidRDefault="00574CE2" w:rsidP="00574CE2">
          <w:pPr>
            <w:pStyle w:val="Title"/>
          </w:pPr>
          <w:r>
            <w:t>Customer Information Bulletin 179</w:t>
          </w:r>
        </w:p>
        <w:p w14:paraId="05B5CD0E" w14:textId="77777777" w:rsidR="00254A01" w:rsidRPr="00975ED3" w:rsidRDefault="00574CE2" w:rsidP="00574CE2">
          <w:pPr>
            <w:pStyle w:val="Header"/>
          </w:pPr>
          <w:r>
            <w:t>Ju</w:t>
          </w:r>
          <w:r w:rsidR="001D651B">
            <w:t>ly</w:t>
          </w:r>
          <w:r>
            <w:t xml:space="preserve"> 2018</w:t>
          </w:r>
        </w:p>
      </w:tc>
    </w:tr>
  </w:tbl>
  <w:p w14:paraId="4B489B4F" w14:textId="77777777" w:rsidR="00254A01" w:rsidRDefault="00254A01" w:rsidP="00254A01">
    <w:pPr>
      <w:pStyle w:val="Header"/>
    </w:pPr>
    <w:r w:rsidRPr="00806AB6">
      <w:rPr>
        <w:noProof/>
      </w:rPr>
      <mc:AlternateContent>
        <mc:Choice Requires="wps">
          <w:drawing>
            <wp:anchor distT="0" distB="0" distL="114300" distR="114300" simplePos="0" relativeHeight="251672576" behindDoc="1" locked="0" layoutInCell="1" allowOverlap="1" wp14:anchorId="0AF99AEC" wp14:editId="24B9138C">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6EB0B6" id="TriangleRight" o:spid="_x0000_s1026" style="position:absolute;margin-left:56.7pt;margin-top:22.7pt;width:68.0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7456" behindDoc="1" locked="0" layoutInCell="1" allowOverlap="1" wp14:anchorId="6B2FA418" wp14:editId="1DB71C70">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B853D" id="TriangleLeft" o:spid="_x0000_s1026" style="position:absolute;margin-left:22.7pt;margin-top:22.7pt;width:68.05pt;height:7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2336" behindDoc="1" locked="0" layoutInCell="1" allowOverlap="1" wp14:anchorId="14CAC7F0" wp14:editId="4264EE18">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1D3B13" id="Rectangle" o:spid="_x0000_s1026" style="position:absolute;margin-left:22.7pt;margin-top:22.7pt;width:552.75pt;height:7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3B7AFF8A" w14:textId="77777777"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2D1E" w14:textId="77777777" w:rsidR="00E962AA" w:rsidRPr="00E97294" w:rsidRDefault="00E962AA" w:rsidP="00E97294">
    <w:pPr>
      <w:pStyle w:val="Header"/>
    </w:pPr>
    <w:r w:rsidRPr="00806AB6">
      <w:rPr>
        <w:noProof/>
      </w:rPr>
      <mc:AlternateContent>
        <mc:Choice Requires="wps">
          <w:drawing>
            <wp:anchor distT="0" distB="0" distL="114300" distR="114300" simplePos="0" relativeHeight="251654656" behindDoc="1" locked="0" layoutInCell="1" allowOverlap="1" wp14:anchorId="350EF97E" wp14:editId="1A862A6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0CB28" id="TriangleRight" o:spid="_x0000_s1026" style="position:absolute;margin-left:56.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28153371" wp14:editId="50634C38">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E2DF2" id="TriangleBottom" o:spid="_x0000_s1026" style="position:absolute;margin-left:56.7pt;margin-top:93.55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0C6FD5D7" wp14:editId="396B563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C2DAD" id="TriangleLeft" o:spid="_x0000_s1026" style="position:absolute;margin-left:22.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65D8911E" wp14:editId="40440AC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F7FD85" id="Rectangle" o:spid="_x0000_s1026" style="position:absolute;margin-left:22.7pt;margin-top:22.7pt;width:552.7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3428461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DD1AAD"/>
    <w:rsid w:val="0000017F"/>
    <w:rsid w:val="00000279"/>
    <w:rsid w:val="000004BD"/>
    <w:rsid w:val="00000B7A"/>
    <w:rsid w:val="00000C89"/>
    <w:rsid w:val="00000FEB"/>
    <w:rsid w:val="000012BE"/>
    <w:rsid w:val="00001BD3"/>
    <w:rsid w:val="00001E86"/>
    <w:rsid w:val="00001F76"/>
    <w:rsid w:val="000020D3"/>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457A"/>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1B"/>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C9A"/>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B3"/>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1C2"/>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37B"/>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96D"/>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AD4"/>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574"/>
    <w:rsid w:val="00350C48"/>
    <w:rsid w:val="00350E09"/>
    <w:rsid w:val="003511D3"/>
    <w:rsid w:val="00351B24"/>
    <w:rsid w:val="0035205C"/>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1FF8"/>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9F9"/>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55"/>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B09"/>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4F7D"/>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2E3"/>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356"/>
    <w:rsid w:val="00550BE8"/>
    <w:rsid w:val="00550C69"/>
    <w:rsid w:val="0055125A"/>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6CF"/>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CE2"/>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472"/>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6D66"/>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356"/>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841"/>
    <w:rsid w:val="00801F39"/>
    <w:rsid w:val="00801FA2"/>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51F"/>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3BC7"/>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2D1"/>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CAD"/>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656"/>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81B"/>
    <w:rsid w:val="00911A16"/>
    <w:rsid w:val="00911B2D"/>
    <w:rsid w:val="009127F4"/>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1EC"/>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3AB"/>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29"/>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3D7"/>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5FBC"/>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028"/>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53"/>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70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A3D"/>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E8A"/>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19D8"/>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77E"/>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512"/>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AAD"/>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7EA"/>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0F5B"/>
    <w:rsid w:val="00E11351"/>
    <w:rsid w:val="00E11BCD"/>
    <w:rsid w:val="00E11F35"/>
    <w:rsid w:val="00E12115"/>
    <w:rsid w:val="00E122D6"/>
    <w:rsid w:val="00E12340"/>
    <w:rsid w:val="00E1279C"/>
    <w:rsid w:val="00E12E8A"/>
    <w:rsid w:val="00E132A2"/>
    <w:rsid w:val="00E135E3"/>
    <w:rsid w:val="00E140DB"/>
    <w:rsid w:val="00E14410"/>
    <w:rsid w:val="00E14DF3"/>
    <w:rsid w:val="00E1547E"/>
    <w:rsid w:val="00E15996"/>
    <w:rsid w:val="00E15B7C"/>
    <w:rsid w:val="00E15CE9"/>
    <w:rsid w:val="00E16144"/>
    <w:rsid w:val="00E162F9"/>
    <w:rsid w:val="00E16B94"/>
    <w:rsid w:val="00E16D5B"/>
    <w:rsid w:val="00E175F1"/>
    <w:rsid w:val="00E1798C"/>
    <w:rsid w:val="00E179BB"/>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3F73"/>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4D5F"/>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9C9"/>
    <w:rsid w:val="00E61D43"/>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4CC"/>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07E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8E0"/>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276984C7"/>
  <w15:docId w15:val="{41A979C7-4067-48EE-9705-27C1FF78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DD1AAD"/>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rsid w:val="00DD1AAD"/>
    <w:pPr>
      <w:spacing w:after="113"/>
    </w:pPr>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DF47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dtpli.vic.gov.au/property-and-land-titles/contact-us" TargetMode="External"/><Relationship Id="rId3" Type="http://schemas.openxmlformats.org/officeDocument/2006/relationships/styles" Target="styles.xml"/><Relationship Id="rId21" Type="http://schemas.openxmlformats.org/officeDocument/2006/relationships/hyperlink" Target="mailto:customer.service@delwp.vic.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registrargeneral.nsw.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opertyandlandtitles.vic.gov.au/forms-guides-and-fees/transfer-of-land"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opertyandlandtitles.vic.gov.au/forms-guides-and-fees/transfer-of-land" TargetMode="External"/><Relationship Id="rId23" Type="http://schemas.openxmlformats.org/officeDocument/2006/relationships/hyperlink" Target="http://www.delwp.vic.gov.au" TargetMode="External"/><Relationship Id="rId10" Type="http://schemas.openxmlformats.org/officeDocument/2006/relationships/footer" Target="footer1.xml"/><Relationship Id="rId19" Type="http://schemas.openxmlformats.org/officeDocument/2006/relationships/hyperlink" Target="http://www.propertyandlandtitles.vic.gov.au/contact-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ropertyandlandtitles.vic.gov.au/forms-guides-and-fees/fees" TargetMode="External"/><Relationship Id="rId22" Type="http://schemas.openxmlformats.org/officeDocument/2006/relationships/hyperlink" Target="http://www.relayservice.com.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DE9DE-9AC2-4921-BDBB-572AE293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4</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Baker (DELWP)</dc:creator>
  <cp:keywords/>
  <dc:description/>
  <cp:lastModifiedBy>Yvonne S Baker (DELWP)</cp:lastModifiedBy>
  <cp:revision>2</cp:revision>
  <cp:lastPrinted>2018-07-10T04:51:00Z</cp:lastPrinted>
  <dcterms:created xsi:type="dcterms:W3CDTF">2018-07-18T01:35:00Z</dcterms:created>
  <dcterms:modified xsi:type="dcterms:W3CDTF">2018-07-18T01:35:00Z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