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3484EA0" w14:textId="77777777" w:rsidTr="003F46E9">
        <w:trPr>
          <w:trHeight w:hRule="exact" w:val="1418"/>
        </w:trPr>
        <w:tc>
          <w:tcPr>
            <w:tcW w:w="7761" w:type="dxa"/>
            <w:vAlign w:val="center"/>
          </w:tcPr>
          <w:p w14:paraId="2AA9221C" w14:textId="77777777" w:rsidR="000C352B" w:rsidRDefault="000C352B" w:rsidP="000C352B">
            <w:pPr>
              <w:pStyle w:val="Title"/>
            </w:pPr>
            <w:bookmarkStart w:id="0" w:name="_GoBack"/>
            <w:bookmarkEnd w:id="0"/>
            <w:r>
              <w:t>Land Use Victoria</w:t>
            </w:r>
          </w:p>
          <w:p w14:paraId="358E6869" w14:textId="77777777" w:rsidR="000C352B" w:rsidRPr="000C352B" w:rsidRDefault="000C352B" w:rsidP="000C352B">
            <w:pPr>
              <w:pStyle w:val="Title"/>
            </w:pPr>
            <w:r>
              <w:t>Customer Information Bulletin 191 September 2019</w:t>
            </w:r>
          </w:p>
        </w:tc>
      </w:tr>
      <w:tr w:rsidR="00975ED3" w14:paraId="43AA9826" w14:textId="77777777" w:rsidTr="003F46E9">
        <w:trPr>
          <w:trHeight w:val="1247"/>
        </w:trPr>
        <w:tc>
          <w:tcPr>
            <w:tcW w:w="7761" w:type="dxa"/>
            <w:vAlign w:val="center"/>
          </w:tcPr>
          <w:p w14:paraId="77FD18BA" w14:textId="77777777" w:rsidR="009B1003" w:rsidRPr="009B1003" w:rsidRDefault="009B1003" w:rsidP="009B1003">
            <w:pPr>
              <w:pStyle w:val="Subtitle"/>
            </w:pPr>
          </w:p>
        </w:tc>
      </w:tr>
    </w:tbl>
    <w:p w14:paraId="029BB7F5" w14:textId="77777777" w:rsidR="000C352B" w:rsidRPr="008B38BC" w:rsidRDefault="000C352B" w:rsidP="000C352B">
      <w:pPr>
        <w:pStyle w:val="h"/>
        <w:spacing w:line="240" w:lineRule="auto"/>
        <w:rPr>
          <w:color w:val="000000"/>
          <w:shd w:val="clear" w:color="auto" w:fill="FFFFFF"/>
        </w:rPr>
      </w:pPr>
      <w:bookmarkStart w:id="1" w:name="_Hlk15485005"/>
      <w:bookmarkStart w:id="2" w:name="_Hlk16166151"/>
      <w:bookmarkStart w:id="3" w:name="_Hlk12613561"/>
      <w:r>
        <w:rPr>
          <w:rFonts w:asciiTheme="minorHAnsi" w:hAnsiTheme="minorHAnsi" w:cstheme="minorHAnsi"/>
        </w:rPr>
        <w:t>R</w:t>
      </w:r>
      <w:r w:rsidRPr="005D57DA">
        <w:rPr>
          <w:rFonts w:asciiTheme="minorHAnsi" w:hAnsiTheme="minorHAnsi" w:cstheme="minorHAnsi"/>
        </w:rPr>
        <w:t>eminder</w:t>
      </w:r>
      <w:r>
        <w:rPr>
          <w:rFonts w:asciiTheme="minorHAnsi" w:hAnsiTheme="minorHAnsi" w:cstheme="minorHAnsi"/>
        </w:rPr>
        <w:t xml:space="preserve">: </w:t>
      </w:r>
      <w:bookmarkEnd w:id="1"/>
      <w:bookmarkEnd w:id="2"/>
      <w:r>
        <w:rPr>
          <w:rFonts w:asciiTheme="minorHAnsi" w:hAnsiTheme="minorHAnsi" w:cstheme="minorHAnsi"/>
        </w:rPr>
        <w:t>Phase out of Plan Acceptance counter services</w:t>
      </w:r>
    </w:p>
    <w:p w14:paraId="2AECF6CA" w14:textId="77777777" w:rsidR="000C352B" w:rsidRPr="000B7C56" w:rsidRDefault="000C352B" w:rsidP="000C352B">
      <w:pPr>
        <w:pStyle w:val="A"/>
        <w:rPr>
          <w:i/>
        </w:rPr>
      </w:pPr>
      <w:r w:rsidRPr="000B7C56">
        <w:t xml:space="preserve">Land Registry Services is phasing out its face-to-face ‘over the counter’ </w:t>
      </w:r>
      <w:proofErr w:type="spellStart"/>
      <w:r w:rsidRPr="000B7C56">
        <w:t>lodgment</w:t>
      </w:r>
      <w:proofErr w:type="spellEnd"/>
      <w:r w:rsidRPr="000B7C56">
        <w:t xml:space="preserve"> service for plans under the </w:t>
      </w:r>
      <w:r w:rsidRPr="000B7C56">
        <w:rPr>
          <w:i/>
        </w:rPr>
        <w:t>Subdivision Act 1988</w:t>
      </w:r>
      <w:r>
        <w:rPr>
          <w:i/>
        </w:rPr>
        <w:t xml:space="preserve"> </w:t>
      </w:r>
      <w:r w:rsidRPr="00813F31">
        <w:t xml:space="preserve">and </w:t>
      </w:r>
      <w:r>
        <w:t>survey</w:t>
      </w:r>
      <w:r w:rsidRPr="00813F31">
        <w:t>-based transactions</w:t>
      </w:r>
      <w:r w:rsidR="00E63703">
        <w:t>.</w:t>
      </w:r>
    </w:p>
    <w:p w14:paraId="5FC4737B" w14:textId="77777777" w:rsidR="000C352B" w:rsidRPr="000B7C56" w:rsidRDefault="000C352B" w:rsidP="000C352B">
      <w:pPr>
        <w:spacing w:line="360" w:lineRule="auto"/>
        <w:rPr>
          <w:rFonts w:ascii="Arial" w:hAnsi="Arial"/>
          <w:b/>
        </w:rPr>
      </w:pPr>
      <w:r w:rsidRPr="000B7C56">
        <w:rPr>
          <w:rFonts w:ascii="Arial" w:hAnsi="Arial"/>
          <w:b/>
        </w:rPr>
        <w:t xml:space="preserve">The following schedule has been set to phase out ‘over the counter’ Plan Acceptance </w:t>
      </w:r>
      <w:proofErr w:type="spellStart"/>
      <w:r w:rsidRPr="000B7C56">
        <w:rPr>
          <w:rFonts w:ascii="Arial" w:hAnsi="Arial"/>
          <w:b/>
        </w:rPr>
        <w:t>lodgment</w:t>
      </w:r>
      <w:proofErr w:type="spellEnd"/>
      <w:r w:rsidRPr="000B7C56">
        <w:rPr>
          <w:rFonts w:ascii="Arial" w:hAnsi="Arial"/>
          <w:b/>
        </w:rPr>
        <w:t>;</w:t>
      </w:r>
    </w:p>
    <w:p w14:paraId="0E8F2D33" w14:textId="77777777" w:rsidR="000C352B" w:rsidRPr="000B7C56" w:rsidRDefault="000C352B" w:rsidP="000C352B">
      <w:pPr>
        <w:pStyle w:val="ListParagraph"/>
        <w:numPr>
          <w:ilvl w:val="0"/>
          <w:numId w:val="48"/>
        </w:numPr>
        <w:spacing w:after="160" w:line="360" w:lineRule="auto"/>
        <w:rPr>
          <w:rFonts w:ascii="Arial" w:hAnsi="Arial"/>
          <w:b/>
        </w:rPr>
      </w:pPr>
      <w:r w:rsidRPr="000B7C56">
        <w:rPr>
          <w:rFonts w:ascii="Arial" w:hAnsi="Arial"/>
          <w:b/>
        </w:rPr>
        <w:t>1 May 2019 - WEDNESDAY – no counter service</w:t>
      </w:r>
    </w:p>
    <w:p w14:paraId="25C5A624" w14:textId="77777777" w:rsidR="000C352B" w:rsidRPr="000B7C56" w:rsidRDefault="000C352B" w:rsidP="000C352B">
      <w:pPr>
        <w:pStyle w:val="ListParagraph"/>
        <w:numPr>
          <w:ilvl w:val="0"/>
          <w:numId w:val="48"/>
        </w:numPr>
        <w:spacing w:after="160" w:line="360" w:lineRule="auto"/>
        <w:rPr>
          <w:rFonts w:ascii="Arial" w:hAnsi="Arial"/>
          <w:b/>
        </w:rPr>
      </w:pPr>
      <w:r w:rsidRPr="000B7C56">
        <w:rPr>
          <w:rFonts w:ascii="Arial" w:hAnsi="Arial"/>
          <w:b/>
        </w:rPr>
        <w:t>1 September 2019 - TUESDAY and WEDNESDAY – no counter service</w:t>
      </w:r>
    </w:p>
    <w:p w14:paraId="2A8377CA" w14:textId="1BFF10CF" w:rsidR="000C352B" w:rsidRPr="000B7C56" w:rsidRDefault="000C352B" w:rsidP="000C352B">
      <w:pPr>
        <w:pStyle w:val="ListParagraph"/>
        <w:numPr>
          <w:ilvl w:val="0"/>
          <w:numId w:val="48"/>
        </w:numPr>
        <w:spacing w:after="160" w:line="360" w:lineRule="auto"/>
        <w:rPr>
          <w:rFonts w:ascii="Arial" w:hAnsi="Arial"/>
          <w:b/>
        </w:rPr>
      </w:pPr>
      <w:r w:rsidRPr="000B7C56">
        <w:rPr>
          <w:rFonts w:ascii="Arial" w:hAnsi="Arial"/>
          <w:b/>
        </w:rPr>
        <w:t>1 October 2019 - TUESDAY, WEDNESDAY and FRIDAY – no counter service</w:t>
      </w:r>
    </w:p>
    <w:p w14:paraId="10974984" w14:textId="77777777" w:rsidR="000C352B" w:rsidRPr="000B7C56" w:rsidRDefault="000C352B" w:rsidP="000C352B">
      <w:pPr>
        <w:pStyle w:val="ListParagraph"/>
        <w:numPr>
          <w:ilvl w:val="0"/>
          <w:numId w:val="48"/>
        </w:numPr>
        <w:spacing w:after="160" w:line="360" w:lineRule="auto"/>
        <w:rPr>
          <w:rFonts w:ascii="Arial" w:hAnsi="Arial"/>
        </w:rPr>
      </w:pPr>
      <w:r w:rsidRPr="000B7C56">
        <w:rPr>
          <w:rFonts w:ascii="Arial" w:hAnsi="Arial"/>
          <w:b/>
        </w:rPr>
        <w:t xml:space="preserve">1 November 2019 - counter service ceases </w:t>
      </w:r>
    </w:p>
    <w:p w14:paraId="16EC0B39" w14:textId="77777777" w:rsidR="000C352B" w:rsidRPr="000B7C56" w:rsidRDefault="000C352B" w:rsidP="000C352B">
      <w:pPr>
        <w:pStyle w:val="A"/>
      </w:pPr>
      <w:r w:rsidRPr="000B7C56">
        <w:t xml:space="preserve">The </w:t>
      </w:r>
      <w:r>
        <w:t>existing</w:t>
      </w:r>
      <w:r w:rsidRPr="000B7C56">
        <w:t xml:space="preserve"> ‘drop-off’ box service for paper </w:t>
      </w:r>
      <w:proofErr w:type="spellStart"/>
      <w:r w:rsidRPr="000B7C56">
        <w:t>lodgments</w:t>
      </w:r>
      <w:proofErr w:type="spellEnd"/>
      <w:r>
        <w:t xml:space="preserve"> will continue to be available.</w:t>
      </w:r>
      <w:r w:rsidRPr="000B7C56">
        <w:t xml:space="preserve"> </w:t>
      </w:r>
    </w:p>
    <w:p w14:paraId="78773B02" w14:textId="77777777" w:rsidR="000C352B" w:rsidRDefault="000C352B" w:rsidP="000C352B">
      <w:pPr>
        <w:pStyle w:val="A"/>
      </w:pPr>
      <w:r w:rsidRPr="000B7C56">
        <w:t>No reduction of service standards will be experienced by customers.</w:t>
      </w:r>
    </w:p>
    <w:p w14:paraId="111FA980" w14:textId="77777777" w:rsidR="000C352B" w:rsidRDefault="000C352B" w:rsidP="000C352B">
      <w:pPr>
        <w:pStyle w:val="A"/>
      </w:pPr>
      <w:r w:rsidRPr="000B7C56">
        <w:t xml:space="preserve">Please refer to Customer Information Bulletin 190 for further details. </w:t>
      </w:r>
    </w:p>
    <w:p w14:paraId="06B64B07" w14:textId="23348468" w:rsidR="000C352B" w:rsidRPr="001C2B37" w:rsidRDefault="000C352B" w:rsidP="000C352B">
      <w:pPr>
        <w:pStyle w:val="A"/>
      </w:pPr>
      <w:r w:rsidRPr="00F65D39">
        <w:t>Lodgi</w:t>
      </w:r>
      <w:r w:rsidRPr="001C2B37">
        <w:t xml:space="preserve">ng parties can subscribe to the SPEAR Electronic </w:t>
      </w:r>
      <w:proofErr w:type="spellStart"/>
      <w:r w:rsidRPr="001C2B37">
        <w:t>Lodgment</w:t>
      </w:r>
      <w:proofErr w:type="spellEnd"/>
      <w:r w:rsidRPr="001C2B37">
        <w:t xml:space="preserve"> Network (ELN), which enables electronic </w:t>
      </w:r>
      <w:proofErr w:type="spellStart"/>
      <w:r w:rsidRPr="001C2B37">
        <w:t>lodgment</w:t>
      </w:r>
      <w:proofErr w:type="spellEnd"/>
      <w:r w:rsidRPr="001C2B37">
        <w:t xml:space="preserve"> of all </w:t>
      </w:r>
      <w:r>
        <w:t>survey</w:t>
      </w:r>
      <w:r w:rsidRPr="001C2B37">
        <w:t>-based transactions.</w:t>
      </w:r>
      <w:r w:rsidRPr="001C2B37">
        <w:rPr>
          <w:lang w:val="en-US"/>
        </w:rPr>
        <w:t> </w:t>
      </w:r>
      <w:r w:rsidRPr="001C2B37">
        <w:t xml:space="preserve">Information about becoming a SPEAR ELN Subscriber is on the SPEAR website: </w:t>
      </w:r>
      <w:hyperlink r:id="rId8" w:history="1">
        <w:r w:rsidRPr="001C2B37">
          <w:rPr>
            <w:rStyle w:val="Hyperlink"/>
          </w:rPr>
          <w:t>https://www.spear.land.vic.gov.au/spear/pages/lodging-parties/how-do-i-get-started.shtml</w:t>
        </w:r>
      </w:hyperlink>
    </w:p>
    <w:p w14:paraId="1A68EF83" w14:textId="77777777" w:rsidR="000C352B" w:rsidRPr="005A37D9" w:rsidRDefault="000C352B" w:rsidP="000C352B">
      <w:pPr>
        <w:pStyle w:val="Heading1"/>
        <w:numPr>
          <w:ilvl w:val="0"/>
          <w:numId w:val="43"/>
        </w:numPr>
      </w:pPr>
      <w:r w:rsidRPr="005A37D9">
        <w:t xml:space="preserve">Strata </w:t>
      </w:r>
      <w:r>
        <w:t>Plan e</w:t>
      </w:r>
      <w:r w:rsidRPr="005A37D9">
        <w:t xml:space="preserve">nhancement </w:t>
      </w:r>
      <w:r>
        <w:t>p</w:t>
      </w:r>
      <w:r w:rsidRPr="005A37D9">
        <w:t>roject</w:t>
      </w:r>
    </w:p>
    <w:p w14:paraId="46B92F42" w14:textId="5BCCB8BA" w:rsidR="000C352B" w:rsidRPr="006569DA" w:rsidRDefault="000C352B" w:rsidP="000C352B">
      <w:pPr>
        <w:pStyle w:val="BodyText"/>
        <w:rPr>
          <w:rFonts w:ascii="Arial" w:hAnsi="Arial" w:cs="Arial"/>
          <w:b/>
          <w:bCs/>
        </w:rPr>
      </w:pPr>
      <w:r w:rsidRPr="006569DA">
        <w:rPr>
          <w:rFonts w:ascii="Arial" w:hAnsi="Arial" w:cs="Arial"/>
        </w:rPr>
        <w:t xml:space="preserve">The Strata Enhancement Project </w:t>
      </w:r>
      <w:r w:rsidR="00DA5E34">
        <w:rPr>
          <w:rFonts w:ascii="Arial" w:hAnsi="Arial" w:cs="Arial"/>
        </w:rPr>
        <w:t>aims</w:t>
      </w:r>
      <w:r w:rsidRPr="006569DA">
        <w:rPr>
          <w:rFonts w:ascii="Arial" w:hAnsi="Arial" w:cs="Arial"/>
        </w:rPr>
        <w:t xml:space="preserve"> to address and clarify </w:t>
      </w:r>
      <w:r w:rsidRPr="006569DA">
        <w:rPr>
          <w:rFonts w:ascii="Arial" w:hAnsi="Arial" w:cs="Arial"/>
          <w:bCs/>
        </w:rPr>
        <w:t>information in</w:t>
      </w:r>
      <w:r w:rsidRPr="006569DA">
        <w:rPr>
          <w:rFonts w:ascii="Arial" w:hAnsi="Arial" w:cs="Arial"/>
        </w:rPr>
        <w:t xml:space="preserve"> strata plans</w:t>
      </w:r>
      <w:r w:rsidRPr="006569DA">
        <w:rPr>
          <w:rFonts w:ascii="Arial" w:hAnsi="Arial" w:cs="Arial"/>
          <w:b/>
          <w:bCs/>
        </w:rPr>
        <w:t xml:space="preserve"> (</w:t>
      </w:r>
      <w:r w:rsidRPr="006569DA">
        <w:rPr>
          <w:rFonts w:ascii="Arial" w:hAnsi="Arial" w:cs="Arial"/>
        </w:rPr>
        <w:t xml:space="preserve">RPs &amp; SPs) and associated folios </w:t>
      </w:r>
      <w:r w:rsidR="00501CBC">
        <w:rPr>
          <w:rFonts w:ascii="Arial" w:hAnsi="Arial" w:cs="Arial"/>
        </w:rPr>
        <w:t>through three</w:t>
      </w:r>
      <w:r w:rsidRPr="006569DA">
        <w:rPr>
          <w:rFonts w:ascii="Arial" w:hAnsi="Arial" w:cs="Arial"/>
        </w:rPr>
        <w:t xml:space="preserve"> key objectives:</w:t>
      </w:r>
    </w:p>
    <w:p w14:paraId="4956D96F" w14:textId="47F6EBB0" w:rsidR="000C352B" w:rsidRDefault="00FC0FD7" w:rsidP="0081665D">
      <w:pPr>
        <w:pStyle w:val="ListParagraph"/>
        <w:numPr>
          <w:ilvl w:val="0"/>
          <w:numId w:val="51"/>
        </w:numPr>
        <w:spacing w:after="200" w:line="276" w:lineRule="auto"/>
        <w:rPr>
          <w:rFonts w:ascii="Arial" w:hAnsi="Arial"/>
        </w:rPr>
      </w:pPr>
      <w:r>
        <w:rPr>
          <w:rFonts w:ascii="Arial" w:hAnsi="Arial"/>
        </w:rPr>
        <w:t xml:space="preserve">To </w:t>
      </w:r>
      <w:r w:rsidR="000C352B">
        <w:rPr>
          <w:rFonts w:ascii="Arial" w:hAnsi="Arial"/>
        </w:rPr>
        <w:t>i</w:t>
      </w:r>
      <w:r w:rsidR="000C352B" w:rsidRPr="00140839">
        <w:rPr>
          <w:rFonts w:ascii="Arial" w:hAnsi="Arial"/>
        </w:rPr>
        <w:t>mprove plan readability and information clarity</w:t>
      </w:r>
    </w:p>
    <w:p w14:paraId="4E79528A" w14:textId="486F45FB" w:rsidR="00FC0FD7" w:rsidRDefault="00FC0FD7" w:rsidP="00FC0FD7">
      <w:pPr>
        <w:ind w:left="1080"/>
        <w:rPr>
          <w:rFonts w:ascii="Arial" w:hAnsi="Arial"/>
        </w:rPr>
      </w:pPr>
      <w:r w:rsidRPr="00DA5E34">
        <w:rPr>
          <w:rFonts w:ascii="Arial" w:hAnsi="Arial"/>
        </w:rPr>
        <w:t xml:space="preserve">To date approximately 8000 strata plans have been enhanced. Customers should be able to easily identify these enhanced plans by their similarity to </w:t>
      </w:r>
      <w:r w:rsidRPr="00DA5E34">
        <w:rPr>
          <w:rFonts w:ascii="Arial" w:hAnsi="Arial"/>
          <w:i/>
        </w:rPr>
        <w:t>Subdivision Act 1988</w:t>
      </w:r>
      <w:r w:rsidRPr="00DA5E34">
        <w:rPr>
          <w:rFonts w:ascii="Arial" w:hAnsi="Arial"/>
        </w:rPr>
        <w:t xml:space="preserve"> plans</w:t>
      </w:r>
      <w:r>
        <w:rPr>
          <w:rFonts w:ascii="Arial" w:hAnsi="Arial"/>
        </w:rPr>
        <w:t xml:space="preserve"> </w:t>
      </w:r>
    </w:p>
    <w:p w14:paraId="1F5A6375" w14:textId="77777777" w:rsidR="00FC0FD7" w:rsidRPr="00DA5E34" w:rsidRDefault="00FC0FD7" w:rsidP="00DA5E34">
      <w:pPr>
        <w:ind w:left="1080"/>
        <w:rPr>
          <w:rFonts w:ascii="Arial" w:eastAsiaTheme="minorHAnsi" w:hAnsi="Arial"/>
        </w:rPr>
      </w:pPr>
    </w:p>
    <w:p w14:paraId="50CB1EDB" w14:textId="4686C937" w:rsidR="00FC0FD7" w:rsidRDefault="00FC0FD7" w:rsidP="00DA5E34">
      <w:pPr>
        <w:pStyle w:val="ListParagraph"/>
        <w:numPr>
          <w:ilvl w:val="0"/>
          <w:numId w:val="51"/>
        </w:numPr>
      </w:pPr>
      <w:r>
        <w:t xml:space="preserve">To </w:t>
      </w:r>
      <w:r w:rsidR="000C352B">
        <w:t>c</w:t>
      </w:r>
      <w:r w:rsidR="000C352B" w:rsidRPr="00140839">
        <w:t xml:space="preserve">reate </w:t>
      </w:r>
      <w:r w:rsidR="00DA5E34">
        <w:t xml:space="preserve">a separate </w:t>
      </w:r>
      <w:r w:rsidR="000C352B" w:rsidRPr="00140839">
        <w:t>common property folio, where a folio does not exist</w:t>
      </w:r>
    </w:p>
    <w:p w14:paraId="64FB876F" w14:textId="77777777" w:rsidR="00FC0FD7" w:rsidRDefault="00FC0FD7" w:rsidP="00DA5E34">
      <w:pPr>
        <w:ind w:left="1080"/>
      </w:pPr>
    </w:p>
    <w:p w14:paraId="496726DB" w14:textId="43B89505" w:rsidR="00FC0FD7" w:rsidRPr="00DA5E34" w:rsidRDefault="00FC0FD7" w:rsidP="00DA5E34">
      <w:pPr>
        <w:spacing w:after="200" w:line="276" w:lineRule="auto"/>
        <w:ind w:left="1080"/>
        <w:rPr>
          <w:rFonts w:ascii="Arial" w:hAnsi="Arial"/>
        </w:rPr>
      </w:pPr>
      <w:r w:rsidRPr="00DA5E34">
        <w:rPr>
          <w:rFonts w:ascii="Arial" w:hAnsi="Arial"/>
        </w:rPr>
        <w:t xml:space="preserve">Common property folios </w:t>
      </w:r>
      <w:r w:rsidR="00DA5E34">
        <w:rPr>
          <w:rFonts w:ascii="Arial" w:hAnsi="Arial"/>
        </w:rPr>
        <w:t xml:space="preserve">have been </w:t>
      </w:r>
      <w:r w:rsidRPr="00DA5E34">
        <w:rPr>
          <w:rFonts w:ascii="Arial" w:hAnsi="Arial"/>
        </w:rPr>
        <w:t xml:space="preserve">created for all strata plans when a </w:t>
      </w:r>
      <w:r w:rsidR="00DA5E34">
        <w:rPr>
          <w:rFonts w:ascii="Arial" w:hAnsi="Arial"/>
        </w:rPr>
        <w:t xml:space="preserve">separate </w:t>
      </w:r>
      <w:r w:rsidRPr="00DA5E34">
        <w:rPr>
          <w:rFonts w:ascii="Arial" w:hAnsi="Arial"/>
        </w:rPr>
        <w:t>common property (</w:t>
      </w:r>
      <w:r w:rsidR="00DA5E34">
        <w:rPr>
          <w:rFonts w:ascii="Arial" w:hAnsi="Arial"/>
        </w:rPr>
        <w:t>‘</w:t>
      </w:r>
      <w:r w:rsidRPr="00DA5E34">
        <w:rPr>
          <w:rFonts w:ascii="Arial" w:hAnsi="Arial"/>
        </w:rPr>
        <w:t>CP</w:t>
      </w:r>
      <w:r w:rsidR="00DA5E34">
        <w:rPr>
          <w:rFonts w:ascii="Arial" w:hAnsi="Arial"/>
        </w:rPr>
        <w:t>’</w:t>
      </w:r>
      <w:r w:rsidRPr="00DA5E34">
        <w:rPr>
          <w:rFonts w:ascii="Arial" w:hAnsi="Arial"/>
        </w:rPr>
        <w:t xml:space="preserve">) folio </w:t>
      </w:r>
      <w:r w:rsidR="00DA5E34">
        <w:rPr>
          <w:rFonts w:ascii="Arial" w:hAnsi="Arial"/>
        </w:rPr>
        <w:t xml:space="preserve">did not previously </w:t>
      </w:r>
      <w:r w:rsidRPr="00DA5E34">
        <w:rPr>
          <w:rFonts w:ascii="Arial" w:hAnsi="Arial"/>
        </w:rPr>
        <w:t xml:space="preserve">exist. Also, any reference on a </w:t>
      </w:r>
      <w:r w:rsidR="00DA5E34">
        <w:rPr>
          <w:rFonts w:ascii="Arial" w:hAnsi="Arial"/>
        </w:rPr>
        <w:t xml:space="preserve">lot </w:t>
      </w:r>
      <w:r w:rsidRPr="00DA5E34">
        <w:rPr>
          <w:rFonts w:ascii="Arial" w:hAnsi="Arial"/>
        </w:rPr>
        <w:t xml:space="preserve">folio to </w:t>
      </w:r>
      <w:r w:rsidR="00DA5E34">
        <w:rPr>
          <w:rFonts w:ascii="Arial" w:hAnsi="Arial"/>
        </w:rPr>
        <w:t>‘</w:t>
      </w:r>
      <w:r w:rsidRPr="00DA5E34">
        <w:rPr>
          <w:rFonts w:ascii="Arial" w:hAnsi="Arial"/>
        </w:rPr>
        <w:t>a share in the common property</w:t>
      </w:r>
      <w:r w:rsidR="00DA5E34">
        <w:rPr>
          <w:rFonts w:ascii="Arial" w:hAnsi="Arial"/>
        </w:rPr>
        <w:t xml:space="preserve">’ has been </w:t>
      </w:r>
      <w:r w:rsidRPr="00DA5E34">
        <w:rPr>
          <w:rFonts w:ascii="Arial" w:hAnsi="Arial"/>
        </w:rPr>
        <w:t>removed.</w:t>
      </w:r>
    </w:p>
    <w:p w14:paraId="6DB95F65" w14:textId="09389EE3" w:rsidR="000C352B" w:rsidRPr="00140839" w:rsidRDefault="00FC0FD7" w:rsidP="00DA5E34">
      <w:pPr>
        <w:pStyle w:val="ListParagraph"/>
        <w:numPr>
          <w:ilvl w:val="0"/>
          <w:numId w:val="51"/>
        </w:numPr>
      </w:pPr>
      <w:r>
        <w:t xml:space="preserve">To </w:t>
      </w:r>
      <w:r w:rsidR="000C352B">
        <w:t>u</w:t>
      </w:r>
      <w:r w:rsidR="000C352B" w:rsidRPr="00140839">
        <w:t xml:space="preserve">pdate </w:t>
      </w:r>
      <w:r w:rsidR="00DA5E34">
        <w:t>‘</w:t>
      </w:r>
      <w:r w:rsidR="000C352B" w:rsidRPr="00140839">
        <w:t>unit</w:t>
      </w:r>
      <w:r w:rsidR="00DA5E34">
        <w:t>’</w:t>
      </w:r>
      <w:r w:rsidR="000C352B" w:rsidRPr="00140839">
        <w:t xml:space="preserve"> to a standardised </w:t>
      </w:r>
      <w:r w:rsidR="00DA5E34">
        <w:t>‘</w:t>
      </w:r>
      <w:r w:rsidR="000C352B" w:rsidRPr="00140839">
        <w:t>lot</w:t>
      </w:r>
      <w:r w:rsidR="00DA5E34">
        <w:t>’</w:t>
      </w:r>
      <w:r w:rsidR="000C352B" w:rsidRPr="00140839">
        <w:t xml:space="preserve"> description in folios </w:t>
      </w:r>
    </w:p>
    <w:p w14:paraId="0AF5145C" w14:textId="77777777" w:rsidR="00FC0FD7" w:rsidRDefault="00FC0FD7" w:rsidP="00FC0FD7">
      <w:pPr>
        <w:ind w:left="1080" w:firstLine="54"/>
        <w:rPr>
          <w:rFonts w:ascii="Arial" w:hAnsi="Arial"/>
        </w:rPr>
      </w:pPr>
    </w:p>
    <w:p w14:paraId="65EB4D39" w14:textId="74124D24" w:rsidR="00FC0FD7" w:rsidRPr="00140839" w:rsidRDefault="00FC0FD7" w:rsidP="00DA5E34">
      <w:pPr>
        <w:ind w:left="1080"/>
        <w:rPr>
          <w:rFonts w:ascii="Arial" w:hAnsi="Arial"/>
        </w:rPr>
      </w:pPr>
      <w:r w:rsidRPr="00140839">
        <w:rPr>
          <w:rFonts w:ascii="Arial" w:hAnsi="Arial"/>
        </w:rPr>
        <w:t xml:space="preserve">All parcels recorded </w:t>
      </w:r>
      <w:r>
        <w:rPr>
          <w:rFonts w:ascii="Arial" w:hAnsi="Arial"/>
        </w:rPr>
        <w:t>o</w:t>
      </w:r>
      <w:r w:rsidRPr="00140839">
        <w:rPr>
          <w:rFonts w:ascii="Arial" w:hAnsi="Arial"/>
        </w:rPr>
        <w:t xml:space="preserve">n folios as a </w:t>
      </w:r>
      <w:r w:rsidR="00DA5E34">
        <w:rPr>
          <w:rFonts w:ascii="Arial" w:hAnsi="Arial"/>
        </w:rPr>
        <w:t>‘</w:t>
      </w:r>
      <w:r w:rsidRPr="00140839">
        <w:rPr>
          <w:rFonts w:ascii="Arial" w:hAnsi="Arial"/>
        </w:rPr>
        <w:t>unit</w:t>
      </w:r>
      <w:r w:rsidR="00DA5E34">
        <w:rPr>
          <w:rFonts w:ascii="Arial" w:hAnsi="Arial"/>
        </w:rPr>
        <w:t xml:space="preserve">’ have been </w:t>
      </w:r>
      <w:r w:rsidRPr="00140839">
        <w:rPr>
          <w:rFonts w:ascii="Arial" w:hAnsi="Arial"/>
        </w:rPr>
        <w:t xml:space="preserve">changed to a standardised </w:t>
      </w:r>
      <w:r w:rsidR="00DA5E34">
        <w:rPr>
          <w:rFonts w:ascii="Arial" w:hAnsi="Arial"/>
        </w:rPr>
        <w:t>‘</w:t>
      </w:r>
      <w:r w:rsidRPr="00140839">
        <w:rPr>
          <w:rFonts w:ascii="Arial" w:hAnsi="Arial"/>
        </w:rPr>
        <w:t>lot</w:t>
      </w:r>
      <w:r w:rsidR="00DA5E34">
        <w:rPr>
          <w:rFonts w:ascii="Arial" w:hAnsi="Arial"/>
        </w:rPr>
        <w:t>’</w:t>
      </w:r>
      <w:r w:rsidRPr="00140839">
        <w:rPr>
          <w:rFonts w:ascii="Arial" w:hAnsi="Arial"/>
        </w:rPr>
        <w:t xml:space="preserve"> description. Similarly, a reference to a </w:t>
      </w:r>
      <w:r w:rsidR="00DA5E34">
        <w:rPr>
          <w:rFonts w:ascii="Arial" w:hAnsi="Arial"/>
        </w:rPr>
        <w:t>‘</w:t>
      </w:r>
      <w:r w:rsidRPr="00140839">
        <w:rPr>
          <w:rFonts w:ascii="Arial" w:hAnsi="Arial"/>
        </w:rPr>
        <w:t>unit</w:t>
      </w:r>
      <w:r w:rsidR="00DA5E34">
        <w:rPr>
          <w:rFonts w:ascii="Arial" w:hAnsi="Arial"/>
        </w:rPr>
        <w:t>’</w:t>
      </w:r>
      <w:r w:rsidRPr="00140839">
        <w:rPr>
          <w:rFonts w:ascii="Arial" w:hAnsi="Arial"/>
        </w:rPr>
        <w:t xml:space="preserve"> on an Owners Corporation search report </w:t>
      </w:r>
      <w:r w:rsidR="00DA5E34">
        <w:rPr>
          <w:rFonts w:ascii="Arial" w:hAnsi="Arial"/>
        </w:rPr>
        <w:t xml:space="preserve">has </w:t>
      </w:r>
      <w:r>
        <w:rPr>
          <w:rFonts w:ascii="Arial" w:hAnsi="Arial"/>
        </w:rPr>
        <w:t>changed</w:t>
      </w:r>
      <w:r w:rsidRPr="00140839">
        <w:rPr>
          <w:rFonts w:ascii="Arial" w:hAnsi="Arial"/>
        </w:rPr>
        <w:t xml:space="preserve"> to </w:t>
      </w:r>
      <w:r w:rsidR="00DA5E34">
        <w:rPr>
          <w:rFonts w:ascii="Arial" w:hAnsi="Arial"/>
        </w:rPr>
        <w:t>‘</w:t>
      </w:r>
      <w:r w:rsidRPr="00140839">
        <w:rPr>
          <w:rFonts w:ascii="Arial" w:hAnsi="Arial"/>
        </w:rPr>
        <w:t>lot</w:t>
      </w:r>
      <w:r w:rsidR="00DA5E34">
        <w:rPr>
          <w:rFonts w:ascii="Arial" w:hAnsi="Arial"/>
        </w:rPr>
        <w:t>’</w:t>
      </w:r>
      <w:r w:rsidRPr="00140839">
        <w:rPr>
          <w:rFonts w:ascii="Arial" w:hAnsi="Arial"/>
        </w:rPr>
        <w:t>.</w:t>
      </w:r>
    </w:p>
    <w:p w14:paraId="3497EE83" w14:textId="66982715" w:rsidR="000C352B" w:rsidRPr="00573A66" w:rsidRDefault="000C352B" w:rsidP="000C352B">
      <w:pPr>
        <w:rPr>
          <w:rFonts w:ascii="Arial" w:hAnsi="Arial"/>
        </w:rPr>
      </w:pPr>
      <w:r w:rsidRPr="00140839">
        <w:rPr>
          <w:rFonts w:ascii="Arial" w:hAnsi="Arial"/>
        </w:rPr>
        <w:lastRenderedPageBreak/>
        <w:t xml:space="preserve">If you have any further queries relating to these changes or this project, please email Land Use Victoria at – </w:t>
      </w:r>
      <w:hyperlink r:id="rId9" w:history="1">
        <w:r w:rsidRPr="00140839">
          <w:rPr>
            <w:rStyle w:val="Hyperlink"/>
          </w:rPr>
          <w:t>strataenquiries@delwp.vic.gov.au</w:t>
        </w:r>
      </w:hyperlink>
    </w:p>
    <w:p w14:paraId="43A5E2DB" w14:textId="7C34D832" w:rsidR="000C352B" w:rsidRPr="00684DBD" w:rsidRDefault="000C352B" w:rsidP="000C352B">
      <w:pPr>
        <w:pStyle w:val="Heading1"/>
        <w:numPr>
          <w:ilvl w:val="0"/>
          <w:numId w:val="43"/>
        </w:numPr>
        <w:rPr>
          <w:rFonts w:cs="Calibri"/>
          <w:color w:val="auto"/>
        </w:rPr>
      </w:pPr>
      <w:r>
        <w:t xml:space="preserve">Historical </w:t>
      </w:r>
      <w:r w:rsidR="00501CBC">
        <w:t>a</w:t>
      </w:r>
      <w:r>
        <w:t xml:space="preserve">erial </w:t>
      </w:r>
      <w:r w:rsidR="00501CBC">
        <w:t>p</w:t>
      </w:r>
      <w:r>
        <w:t>hotographs</w:t>
      </w:r>
    </w:p>
    <w:p w14:paraId="4DFCC3C9" w14:textId="2405F6D6" w:rsidR="000C352B" w:rsidRPr="00140839" w:rsidRDefault="000C352B" w:rsidP="000C352B">
      <w:pPr>
        <w:rPr>
          <w:rFonts w:ascii="Arial" w:hAnsi="Arial"/>
        </w:rPr>
      </w:pPr>
      <w:r>
        <w:rPr>
          <w:rFonts w:ascii="Arial" w:hAnsi="Arial"/>
        </w:rPr>
        <w:t>Land Use Victoria holds h</w:t>
      </w:r>
      <w:r w:rsidRPr="00140839">
        <w:rPr>
          <w:rFonts w:ascii="Arial" w:hAnsi="Arial"/>
        </w:rPr>
        <w:t xml:space="preserve">istorical </w:t>
      </w:r>
      <w:r>
        <w:rPr>
          <w:rFonts w:ascii="Arial" w:hAnsi="Arial"/>
        </w:rPr>
        <w:t>a</w:t>
      </w:r>
      <w:r w:rsidRPr="00140839">
        <w:rPr>
          <w:rFonts w:ascii="Arial" w:hAnsi="Arial"/>
        </w:rPr>
        <w:t xml:space="preserve">erial </w:t>
      </w:r>
      <w:r>
        <w:rPr>
          <w:rFonts w:ascii="Arial" w:hAnsi="Arial"/>
        </w:rPr>
        <w:t>p</w:t>
      </w:r>
      <w:r w:rsidRPr="00140839">
        <w:rPr>
          <w:rFonts w:ascii="Arial" w:hAnsi="Arial"/>
        </w:rPr>
        <w:t>hotos</w:t>
      </w:r>
      <w:r w:rsidR="007C2000">
        <w:rPr>
          <w:rFonts w:ascii="Arial" w:hAnsi="Arial"/>
        </w:rPr>
        <w:t xml:space="preserve"> in many areas </w:t>
      </w:r>
      <w:r w:rsidR="00DA5E34">
        <w:rPr>
          <w:rFonts w:ascii="Arial" w:hAnsi="Arial"/>
        </w:rPr>
        <w:t xml:space="preserve">of the state </w:t>
      </w:r>
      <w:r>
        <w:rPr>
          <w:rFonts w:ascii="Arial" w:hAnsi="Arial"/>
        </w:rPr>
        <w:t xml:space="preserve">that </w:t>
      </w:r>
      <w:r w:rsidRPr="00140839">
        <w:rPr>
          <w:rFonts w:ascii="Arial" w:hAnsi="Arial"/>
        </w:rPr>
        <w:t xml:space="preserve">were taken about once a decade from </w:t>
      </w:r>
      <w:r>
        <w:rPr>
          <w:rFonts w:ascii="Arial" w:hAnsi="Arial"/>
        </w:rPr>
        <w:t xml:space="preserve">the </w:t>
      </w:r>
      <w:r w:rsidRPr="00140839">
        <w:rPr>
          <w:rFonts w:ascii="Arial" w:hAnsi="Arial"/>
        </w:rPr>
        <w:t xml:space="preserve">1930s to </w:t>
      </w:r>
      <w:r>
        <w:rPr>
          <w:rFonts w:ascii="Arial" w:hAnsi="Arial"/>
        </w:rPr>
        <w:t xml:space="preserve">the </w:t>
      </w:r>
      <w:r w:rsidRPr="00140839">
        <w:rPr>
          <w:rFonts w:ascii="Arial" w:hAnsi="Arial"/>
        </w:rPr>
        <w:t>199</w:t>
      </w:r>
      <w:r>
        <w:rPr>
          <w:rFonts w:ascii="Arial" w:hAnsi="Arial"/>
        </w:rPr>
        <w:t>0s</w:t>
      </w:r>
      <w:r w:rsidRPr="00140839">
        <w:rPr>
          <w:rFonts w:ascii="Arial" w:hAnsi="Arial"/>
        </w:rPr>
        <w:t>. These photos provide</w:t>
      </w:r>
      <w:r w:rsidR="007A4978">
        <w:rPr>
          <w:rFonts w:ascii="Arial" w:hAnsi="Arial"/>
        </w:rPr>
        <w:t xml:space="preserve"> historical information about Victoria and are</w:t>
      </w:r>
      <w:r w:rsidRPr="00140839">
        <w:rPr>
          <w:rFonts w:ascii="Arial" w:hAnsi="Arial"/>
        </w:rPr>
        <w:t xml:space="preserve"> </w:t>
      </w:r>
      <w:r>
        <w:rPr>
          <w:rFonts w:ascii="Arial" w:hAnsi="Arial"/>
        </w:rPr>
        <w:t xml:space="preserve">a </w:t>
      </w:r>
      <w:r w:rsidRPr="00140839">
        <w:rPr>
          <w:rFonts w:ascii="Arial" w:hAnsi="Arial"/>
        </w:rPr>
        <w:t>valuable resource for</w:t>
      </w:r>
      <w:r w:rsidR="00573A66">
        <w:rPr>
          <w:rFonts w:ascii="Arial" w:hAnsi="Arial"/>
        </w:rPr>
        <w:t xml:space="preserve"> </w:t>
      </w:r>
      <w:r w:rsidRPr="00140839">
        <w:rPr>
          <w:rFonts w:ascii="Arial" w:hAnsi="Arial"/>
        </w:rPr>
        <w:t>view</w:t>
      </w:r>
      <w:r w:rsidR="007A4978">
        <w:rPr>
          <w:rFonts w:ascii="Arial" w:hAnsi="Arial"/>
        </w:rPr>
        <w:t>ing</w:t>
      </w:r>
      <w:r w:rsidRPr="00140839">
        <w:rPr>
          <w:rFonts w:ascii="Arial" w:hAnsi="Arial"/>
        </w:rPr>
        <w:t xml:space="preserve"> </w:t>
      </w:r>
      <w:r w:rsidR="007A4978">
        <w:rPr>
          <w:rFonts w:ascii="Arial" w:hAnsi="Arial"/>
        </w:rPr>
        <w:t xml:space="preserve">information on land use, </w:t>
      </w:r>
      <w:r w:rsidRPr="00140839">
        <w:rPr>
          <w:rFonts w:ascii="Arial" w:hAnsi="Arial"/>
        </w:rPr>
        <w:t xml:space="preserve">occupation, </w:t>
      </w:r>
      <w:r w:rsidR="007A4978">
        <w:rPr>
          <w:rFonts w:ascii="Arial" w:hAnsi="Arial"/>
        </w:rPr>
        <w:t>and/</w:t>
      </w:r>
      <w:r w:rsidRPr="00140839">
        <w:rPr>
          <w:rFonts w:ascii="Arial" w:hAnsi="Arial"/>
        </w:rPr>
        <w:t xml:space="preserve">or the pleasure of seeing </w:t>
      </w:r>
      <w:r w:rsidR="00DA5E34">
        <w:rPr>
          <w:rFonts w:ascii="Arial" w:hAnsi="Arial"/>
        </w:rPr>
        <w:t xml:space="preserve">properties </w:t>
      </w:r>
      <w:r w:rsidRPr="00140839">
        <w:rPr>
          <w:rFonts w:ascii="Arial" w:hAnsi="Arial"/>
        </w:rPr>
        <w:t xml:space="preserve">or historical buildings as they existed through the decades. </w:t>
      </w:r>
    </w:p>
    <w:p w14:paraId="74EFDE77" w14:textId="77777777" w:rsidR="000C352B" w:rsidRPr="00140839" w:rsidRDefault="000C352B" w:rsidP="000C352B">
      <w:pPr>
        <w:rPr>
          <w:rFonts w:ascii="Arial" w:hAnsi="Arial"/>
        </w:rPr>
      </w:pPr>
    </w:p>
    <w:p w14:paraId="31368360" w14:textId="57A2D801" w:rsidR="000C352B" w:rsidRPr="00140839" w:rsidRDefault="000C352B" w:rsidP="000C352B">
      <w:pPr>
        <w:rPr>
          <w:rFonts w:ascii="Arial" w:hAnsi="Arial"/>
        </w:rPr>
      </w:pPr>
      <w:r w:rsidRPr="00140839">
        <w:rPr>
          <w:rFonts w:ascii="Arial" w:hAnsi="Arial"/>
        </w:rPr>
        <w:t xml:space="preserve">The digital conversion of </w:t>
      </w:r>
      <w:r w:rsidR="00501CBC">
        <w:rPr>
          <w:rFonts w:ascii="Arial" w:hAnsi="Arial"/>
        </w:rPr>
        <w:t>h</w:t>
      </w:r>
      <w:r w:rsidRPr="00140839">
        <w:rPr>
          <w:rFonts w:ascii="Arial" w:hAnsi="Arial"/>
        </w:rPr>
        <w:t xml:space="preserve">istorical </w:t>
      </w:r>
      <w:r w:rsidR="00501CBC">
        <w:rPr>
          <w:rFonts w:ascii="Arial" w:hAnsi="Arial"/>
        </w:rPr>
        <w:t>a</w:t>
      </w:r>
      <w:r w:rsidRPr="00140839">
        <w:rPr>
          <w:rFonts w:ascii="Arial" w:hAnsi="Arial"/>
        </w:rPr>
        <w:t xml:space="preserve">erial </w:t>
      </w:r>
      <w:r w:rsidR="00501CBC">
        <w:rPr>
          <w:rFonts w:ascii="Arial" w:hAnsi="Arial"/>
        </w:rPr>
        <w:t>p</w:t>
      </w:r>
      <w:r w:rsidRPr="00140839">
        <w:rPr>
          <w:rFonts w:ascii="Arial" w:hAnsi="Arial"/>
        </w:rPr>
        <w:t>hotos was completed in 2017 to enable online delivery</w:t>
      </w:r>
      <w:r w:rsidR="00501CBC">
        <w:rPr>
          <w:rFonts w:ascii="Arial" w:hAnsi="Arial"/>
        </w:rPr>
        <w:t>.</w:t>
      </w:r>
      <w:r w:rsidRPr="00140839">
        <w:rPr>
          <w:rFonts w:ascii="Arial" w:hAnsi="Arial"/>
        </w:rPr>
        <w:t xml:space="preserve">  Customers can now obtain products directly online through the LANDATA®’ website at </w:t>
      </w:r>
      <w:hyperlink r:id="rId10" w:history="1">
        <w:r w:rsidR="00B77572" w:rsidRPr="00B77572">
          <w:rPr>
            <w:rStyle w:val="Hyperlink"/>
            <w:rFonts w:ascii="Arial" w:hAnsi="Arial"/>
          </w:rPr>
          <w:t>https://www.landata.online/</w:t>
        </w:r>
      </w:hyperlink>
      <w:r w:rsidRPr="00140839">
        <w:rPr>
          <w:rFonts w:ascii="Arial" w:hAnsi="Arial"/>
        </w:rPr>
        <w:t>.</w:t>
      </w:r>
    </w:p>
    <w:p w14:paraId="135AD55E" w14:textId="77777777" w:rsidR="000C352B" w:rsidRPr="00140839" w:rsidRDefault="000C352B" w:rsidP="000C352B">
      <w:pPr>
        <w:rPr>
          <w:rFonts w:ascii="Arial" w:hAnsi="Arial"/>
        </w:rPr>
      </w:pPr>
    </w:p>
    <w:p w14:paraId="1EB8224F" w14:textId="132C8D84" w:rsidR="000C352B" w:rsidRPr="00140839" w:rsidRDefault="000C352B" w:rsidP="000C352B">
      <w:pPr>
        <w:rPr>
          <w:rFonts w:ascii="Arial" w:hAnsi="Arial"/>
        </w:rPr>
      </w:pPr>
      <w:r w:rsidRPr="00140839">
        <w:rPr>
          <w:rFonts w:ascii="Arial" w:hAnsi="Arial"/>
        </w:rPr>
        <w:t>Customers are advised that the ‘over the counter service’ at Laverton for viewing and printing photo</w:t>
      </w:r>
      <w:r>
        <w:rPr>
          <w:rFonts w:ascii="Arial" w:hAnsi="Arial"/>
        </w:rPr>
        <w:t>s</w:t>
      </w:r>
      <w:r w:rsidRPr="00140839">
        <w:rPr>
          <w:rFonts w:ascii="Arial" w:hAnsi="Arial"/>
        </w:rPr>
        <w:t xml:space="preserve"> </w:t>
      </w:r>
      <w:r>
        <w:rPr>
          <w:rFonts w:ascii="Arial" w:hAnsi="Arial"/>
        </w:rPr>
        <w:t xml:space="preserve">has </w:t>
      </w:r>
      <w:r w:rsidRPr="00140839">
        <w:rPr>
          <w:rFonts w:ascii="Arial" w:hAnsi="Arial"/>
        </w:rPr>
        <w:t>cease</w:t>
      </w:r>
      <w:r>
        <w:rPr>
          <w:rFonts w:ascii="Arial" w:hAnsi="Arial"/>
        </w:rPr>
        <w:t>d</w:t>
      </w:r>
      <w:r w:rsidRPr="00140839">
        <w:rPr>
          <w:rFonts w:ascii="Arial" w:hAnsi="Arial"/>
        </w:rPr>
        <w:t xml:space="preserve">. The LANDATA® online service </w:t>
      </w:r>
      <w:r>
        <w:rPr>
          <w:rFonts w:ascii="Arial" w:hAnsi="Arial"/>
        </w:rPr>
        <w:t>is</w:t>
      </w:r>
      <w:r w:rsidRPr="00140839">
        <w:rPr>
          <w:rFonts w:ascii="Arial" w:hAnsi="Arial"/>
        </w:rPr>
        <w:t xml:space="preserve"> the only means </w:t>
      </w:r>
      <w:r>
        <w:rPr>
          <w:rFonts w:ascii="Arial" w:hAnsi="Arial"/>
        </w:rPr>
        <w:t>of</w:t>
      </w:r>
      <w:r w:rsidRPr="00140839">
        <w:rPr>
          <w:rFonts w:ascii="Arial" w:hAnsi="Arial"/>
        </w:rPr>
        <w:t xml:space="preserve"> accessing </w:t>
      </w:r>
      <w:r w:rsidR="00501CBC">
        <w:rPr>
          <w:rFonts w:ascii="Arial" w:hAnsi="Arial"/>
        </w:rPr>
        <w:t>h</w:t>
      </w:r>
      <w:r w:rsidRPr="00140839">
        <w:rPr>
          <w:rFonts w:ascii="Arial" w:hAnsi="Arial"/>
        </w:rPr>
        <w:t xml:space="preserve">istorical </w:t>
      </w:r>
      <w:r w:rsidR="00501CBC">
        <w:rPr>
          <w:rFonts w:ascii="Arial" w:hAnsi="Arial"/>
        </w:rPr>
        <w:t>a</w:t>
      </w:r>
      <w:r w:rsidRPr="00140839">
        <w:rPr>
          <w:rFonts w:ascii="Arial" w:hAnsi="Arial"/>
        </w:rPr>
        <w:t xml:space="preserve">erial </w:t>
      </w:r>
      <w:r w:rsidR="00501CBC">
        <w:rPr>
          <w:rFonts w:ascii="Arial" w:hAnsi="Arial"/>
        </w:rPr>
        <w:t>p</w:t>
      </w:r>
      <w:r w:rsidRPr="00140839">
        <w:rPr>
          <w:rFonts w:ascii="Arial" w:hAnsi="Arial"/>
        </w:rPr>
        <w:t>hotos.</w:t>
      </w:r>
    </w:p>
    <w:p w14:paraId="1908FC28" w14:textId="77777777" w:rsidR="000C352B" w:rsidRPr="00140839" w:rsidRDefault="000C352B" w:rsidP="000C352B">
      <w:pPr>
        <w:rPr>
          <w:rFonts w:ascii="Arial" w:hAnsi="Arial"/>
        </w:rPr>
      </w:pPr>
    </w:p>
    <w:p w14:paraId="04DC4A39" w14:textId="1C765DFE" w:rsidR="000C352B" w:rsidRPr="00140839" w:rsidRDefault="000C352B" w:rsidP="000C352B">
      <w:pPr>
        <w:rPr>
          <w:rFonts w:ascii="Arial" w:hAnsi="Arial"/>
        </w:rPr>
      </w:pPr>
      <w:r w:rsidRPr="00140839">
        <w:rPr>
          <w:rFonts w:ascii="Arial" w:hAnsi="Arial"/>
        </w:rPr>
        <w:t xml:space="preserve">For further enquires please call (03) 9102 0401 or email </w:t>
      </w:r>
      <w:hyperlink r:id="rId11" w:history="1">
        <w:r w:rsidRPr="00140839">
          <w:rPr>
            <w:rStyle w:val="Hyperlink"/>
          </w:rPr>
          <w:t>Landata.enquiries@victorianlrs.com.au</w:t>
        </w:r>
      </w:hyperlink>
    </w:p>
    <w:p w14:paraId="1218195E" w14:textId="77777777" w:rsidR="000C352B" w:rsidRPr="007163BD" w:rsidRDefault="000C352B" w:rsidP="000C352B">
      <w:pPr>
        <w:pStyle w:val="Heading1"/>
        <w:numPr>
          <w:ilvl w:val="0"/>
          <w:numId w:val="43"/>
        </w:numPr>
        <w:rPr>
          <w:rStyle w:val="eop"/>
        </w:rPr>
      </w:pPr>
      <w:r w:rsidRPr="007163BD">
        <w:t>ELN Subscriber Compliance Examination</w:t>
      </w:r>
    </w:p>
    <w:p w14:paraId="4191E884" w14:textId="77777777" w:rsidR="000C352B" w:rsidRDefault="000C352B" w:rsidP="000C352B">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A Subscriber to an Electronic </w:t>
      </w:r>
      <w:proofErr w:type="spellStart"/>
      <w:r>
        <w:rPr>
          <w:rFonts w:ascii="Arial" w:hAnsi="Arial" w:cs="Arial"/>
          <w:sz w:val="20"/>
          <w:szCs w:val="20"/>
        </w:rPr>
        <w:t>Lodgment</w:t>
      </w:r>
      <w:proofErr w:type="spellEnd"/>
      <w:r>
        <w:rPr>
          <w:rFonts w:ascii="Arial" w:hAnsi="Arial" w:cs="Arial"/>
          <w:sz w:val="20"/>
          <w:szCs w:val="20"/>
        </w:rPr>
        <w:t xml:space="preserve"> Network (ELN), currently PEXA, </w:t>
      </w:r>
      <w:proofErr w:type="spellStart"/>
      <w:r>
        <w:rPr>
          <w:rFonts w:ascii="Arial" w:hAnsi="Arial" w:cs="Arial"/>
          <w:sz w:val="20"/>
          <w:szCs w:val="20"/>
        </w:rPr>
        <w:t>Sympli</w:t>
      </w:r>
      <w:proofErr w:type="spellEnd"/>
      <w:r>
        <w:rPr>
          <w:rFonts w:ascii="Arial" w:hAnsi="Arial" w:cs="Arial"/>
          <w:sz w:val="20"/>
          <w:szCs w:val="20"/>
        </w:rPr>
        <w:t xml:space="preserve"> and the SPEAR ELN, must comply with the Compliance Examination procedure under the Participation Rules for electronic conveyancing.  Since June 2017</w:t>
      </w:r>
      <w:r w:rsidR="007C2000">
        <w:rPr>
          <w:rFonts w:ascii="Arial" w:hAnsi="Arial" w:cs="Arial"/>
          <w:sz w:val="20"/>
          <w:szCs w:val="20"/>
        </w:rPr>
        <w:t>,</w:t>
      </w:r>
      <w:r>
        <w:rPr>
          <w:rFonts w:ascii="Arial" w:hAnsi="Arial" w:cs="Arial"/>
          <w:sz w:val="20"/>
          <w:szCs w:val="20"/>
        </w:rPr>
        <w:t xml:space="preserve"> the Registrar has been conducting compliance examinations of Subscribers to ascertain whether the Participation Rules as determined by the Registrar under section 23 of the Electronic Conveyancing National Law (ECNL) are being or have been complied with. </w:t>
      </w:r>
    </w:p>
    <w:p w14:paraId="1591E0BB" w14:textId="77777777" w:rsidR="000C352B" w:rsidRDefault="000C352B" w:rsidP="000C352B">
      <w:pPr>
        <w:pStyle w:val="paragraph"/>
        <w:spacing w:before="0" w:beforeAutospacing="0" w:after="0" w:afterAutospacing="0"/>
        <w:textAlignment w:val="baseline"/>
        <w:rPr>
          <w:rFonts w:ascii="Arial" w:hAnsi="Arial" w:cs="Arial"/>
          <w:sz w:val="20"/>
          <w:szCs w:val="20"/>
        </w:rPr>
      </w:pPr>
    </w:p>
    <w:p w14:paraId="18671212" w14:textId="77777777" w:rsidR="000C352B" w:rsidRPr="00BB0D83" w:rsidRDefault="000C352B" w:rsidP="000C352B">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In a compliance examination a Subscriber is asked to</w:t>
      </w:r>
      <w:r w:rsidRPr="00BB0D83">
        <w:rPr>
          <w:rFonts w:ascii="Arial" w:hAnsi="Arial" w:cs="Arial"/>
          <w:sz w:val="20"/>
          <w:szCs w:val="20"/>
        </w:rPr>
        <w:t xml:space="preserve"> provide </w:t>
      </w:r>
      <w:r>
        <w:rPr>
          <w:rFonts w:ascii="Arial" w:hAnsi="Arial" w:cs="Arial"/>
          <w:sz w:val="20"/>
          <w:szCs w:val="20"/>
        </w:rPr>
        <w:t xml:space="preserve">documents and information </w:t>
      </w:r>
      <w:r w:rsidRPr="00BB0D83">
        <w:rPr>
          <w:rFonts w:ascii="Arial" w:hAnsi="Arial" w:cs="Arial"/>
          <w:sz w:val="20"/>
          <w:szCs w:val="20"/>
        </w:rPr>
        <w:t>evidenc</w:t>
      </w:r>
      <w:r>
        <w:rPr>
          <w:rFonts w:ascii="Arial" w:hAnsi="Arial" w:cs="Arial"/>
          <w:sz w:val="20"/>
          <w:szCs w:val="20"/>
        </w:rPr>
        <w:t>ing</w:t>
      </w:r>
      <w:r w:rsidRPr="00BB0D83">
        <w:rPr>
          <w:rFonts w:ascii="Arial" w:hAnsi="Arial" w:cs="Arial"/>
          <w:sz w:val="20"/>
          <w:szCs w:val="20"/>
        </w:rPr>
        <w:t xml:space="preserve"> </w:t>
      </w:r>
      <w:r>
        <w:rPr>
          <w:rFonts w:ascii="Arial" w:hAnsi="Arial" w:cs="Arial"/>
          <w:sz w:val="20"/>
          <w:szCs w:val="20"/>
        </w:rPr>
        <w:t xml:space="preserve">that instruments digitally signed and lodged using an ELN comply with the </w:t>
      </w:r>
      <w:r w:rsidRPr="00BB0D83">
        <w:rPr>
          <w:rFonts w:ascii="Arial" w:hAnsi="Arial" w:cs="Arial"/>
          <w:sz w:val="20"/>
          <w:szCs w:val="20"/>
        </w:rPr>
        <w:t xml:space="preserve">Participation Rules. </w:t>
      </w:r>
      <w:r>
        <w:rPr>
          <w:rFonts w:ascii="Arial" w:hAnsi="Arial" w:cs="Arial"/>
          <w:sz w:val="20"/>
          <w:szCs w:val="20"/>
        </w:rPr>
        <w:t xml:space="preserve"> A Compliance Examination Notice to a Subscriber specifies the documents and information relating to Registry Instruments lodged by that Subscriber listed in the notice and includes: </w:t>
      </w:r>
    </w:p>
    <w:p w14:paraId="452CEF7E" w14:textId="77777777" w:rsidR="000C352B" w:rsidRPr="00BB0D83" w:rsidRDefault="000C352B" w:rsidP="000C352B">
      <w:pPr>
        <w:pStyle w:val="paragraph"/>
        <w:spacing w:before="0" w:beforeAutospacing="0" w:after="0" w:afterAutospacing="0"/>
        <w:textAlignment w:val="baseline"/>
        <w:rPr>
          <w:rFonts w:ascii="Arial" w:hAnsi="Arial" w:cs="Arial"/>
          <w:sz w:val="20"/>
          <w:szCs w:val="20"/>
        </w:rPr>
      </w:pPr>
    </w:p>
    <w:p w14:paraId="67EC7C07" w14:textId="77777777" w:rsidR="000C352B" w:rsidRPr="001E379E" w:rsidRDefault="000C352B" w:rsidP="000C352B">
      <w:pPr>
        <w:pStyle w:val="paragraph"/>
        <w:numPr>
          <w:ilvl w:val="0"/>
          <w:numId w:val="45"/>
        </w:numPr>
        <w:spacing w:before="0" w:beforeAutospacing="0" w:after="0" w:afterAutospacing="0"/>
        <w:textAlignment w:val="baseline"/>
        <w:rPr>
          <w:rFonts w:ascii="Arial" w:hAnsi="Arial" w:cs="Arial"/>
          <w:sz w:val="20"/>
          <w:szCs w:val="20"/>
        </w:rPr>
      </w:pPr>
      <w:r w:rsidRPr="00984F40">
        <w:rPr>
          <w:rStyle w:val="normaltextrun"/>
          <w:rFonts w:ascii="Arial" w:hAnsi="Arial"/>
          <w:bCs/>
          <w:sz w:val="20"/>
          <w:szCs w:val="20"/>
        </w:rPr>
        <w:t>Copies of the Client Authorisation</w:t>
      </w:r>
      <w:r w:rsidRPr="00984F40">
        <w:rPr>
          <w:rStyle w:val="normaltextrun"/>
          <w:rFonts w:ascii="Arial" w:hAnsi="Arial"/>
          <w:sz w:val="20"/>
          <w:szCs w:val="20"/>
        </w:rPr>
        <w:t xml:space="preserve"> for the Conveyancing Transaction</w:t>
      </w:r>
      <w:r w:rsidRPr="001E379E">
        <w:rPr>
          <w:rStyle w:val="normaltextrun"/>
          <w:rFonts w:ascii="Arial" w:hAnsi="Arial"/>
          <w:iCs/>
          <w:sz w:val="20"/>
          <w:szCs w:val="20"/>
        </w:rPr>
        <w:t xml:space="preserve"> and any evidence supporting the Client Authorisation</w:t>
      </w:r>
      <w:r w:rsidRPr="001E379E">
        <w:rPr>
          <w:rStyle w:val="eop"/>
          <w:rFonts w:ascii="Arial" w:hAnsi="Arial" w:cs="Arial"/>
          <w:sz w:val="20"/>
          <w:szCs w:val="20"/>
        </w:rPr>
        <w:t> </w:t>
      </w:r>
    </w:p>
    <w:p w14:paraId="765F0EC7" w14:textId="77777777" w:rsidR="000C352B" w:rsidRPr="00984F40" w:rsidRDefault="000C352B" w:rsidP="000C352B">
      <w:pPr>
        <w:pStyle w:val="paragraph"/>
        <w:numPr>
          <w:ilvl w:val="0"/>
          <w:numId w:val="45"/>
        </w:numPr>
        <w:spacing w:before="0" w:beforeAutospacing="0" w:after="0" w:afterAutospacing="0"/>
        <w:textAlignment w:val="baseline"/>
        <w:rPr>
          <w:rFonts w:ascii="Arial" w:hAnsi="Arial" w:cs="Arial"/>
          <w:sz w:val="20"/>
          <w:szCs w:val="20"/>
        </w:rPr>
      </w:pPr>
      <w:r>
        <w:rPr>
          <w:rStyle w:val="normaltextrun"/>
          <w:rFonts w:ascii="Arial" w:hAnsi="Arial"/>
          <w:bCs/>
          <w:sz w:val="20"/>
          <w:szCs w:val="20"/>
        </w:rPr>
        <w:t>Written d</w:t>
      </w:r>
      <w:r w:rsidRPr="00984F40">
        <w:rPr>
          <w:rStyle w:val="normaltextrun"/>
          <w:rFonts w:ascii="Arial" w:hAnsi="Arial"/>
          <w:bCs/>
          <w:sz w:val="20"/>
          <w:szCs w:val="20"/>
        </w:rPr>
        <w:t>etails of the steps taken to verify the identity of the Client and/or the mortgagor and any evidence supporting that verification of identity</w:t>
      </w:r>
    </w:p>
    <w:p w14:paraId="37C6DA42" w14:textId="2F3DB614" w:rsidR="000C352B" w:rsidRPr="00984F40" w:rsidRDefault="000C352B" w:rsidP="000C352B">
      <w:pPr>
        <w:pStyle w:val="paragraph"/>
        <w:numPr>
          <w:ilvl w:val="0"/>
          <w:numId w:val="45"/>
        </w:numPr>
        <w:spacing w:before="0" w:beforeAutospacing="0" w:after="0" w:afterAutospacing="0"/>
        <w:textAlignment w:val="baseline"/>
        <w:rPr>
          <w:rFonts w:ascii="Arial" w:hAnsi="Arial" w:cs="Arial"/>
          <w:sz w:val="20"/>
          <w:szCs w:val="20"/>
        </w:rPr>
      </w:pPr>
      <w:r>
        <w:rPr>
          <w:rStyle w:val="normaltextrun"/>
          <w:rFonts w:ascii="Arial" w:hAnsi="Arial"/>
          <w:bCs/>
          <w:sz w:val="20"/>
          <w:szCs w:val="20"/>
        </w:rPr>
        <w:t>Written d</w:t>
      </w:r>
      <w:r w:rsidRPr="00984F40">
        <w:rPr>
          <w:rStyle w:val="normaltextrun"/>
          <w:rFonts w:ascii="Arial" w:hAnsi="Arial"/>
          <w:bCs/>
          <w:sz w:val="20"/>
          <w:szCs w:val="20"/>
        </w:rPr>
        <w:t xml:space="preserve">etails of the steps taken to verify that the Client and/or the mortgagor is a legal person and has the right to enter into the </w:t>
      </w:r>
      <w:r w:rsidRPr="00391793">
        <w:rPr>
          <w:rStyle w:val="normaltextrun"/>
          <w:rFonts w:ascii="Arial" w:hAnsi="Arial"/>
          <w:bCs/>
          <w:sz w:val="20"/>
          <w:szCs w:val="20"/>
        </w:rPr>
        <w:t xml:space="preserve">Registry Instrument or other Document </w:t>
      </w:r>
      <w:r w:rsidRPr="00984F40">
        <w:rPr>
          <w:rStyle w:val="normaltextrun"/>
          <w:rFonts w:ascii="Arial" w:hAnsi="Arial"/>
          <w:bCs/>
          <w:sz w:val="20"/>
          <w:szCs w:val="20"/>
        </w:rPr>
        <w:t>(</w:t>
      </w:r>
      <w:r w:rsidRPr="001E379E">
        <w:rPr>
          <w:rStyle w:val="normaltextrun"/>
          <w:rFonts w:ascii="Arial" w:hAnsi="Arial"/>
          <w:bCs/>
          <w:sz w:val="20"/>
          <w:szCs w:val="20"/>
        </w:rPr>
        <w:t>Right to Deal</w:t>
      </w:r>
      <w:r w:rsidRPr="00984F40">
        <w:rPr>
          <w:rStyle w:val="normaltextrun"/>
          <w:rFonts w:ascii="Arial" w:hAnsi="Arial"/>
          <w:sz w:val="20"/>
          <w:szCs w:val="20"/>
        </w:rPr>
        <w:t>)</w:t>
      </w:r>
    </w:p>
    <w:p w14:paraId="62AFFA74" w14:textId="77777777" w:rsidR="000C352B" w:rsidRPr="00984F40" w:rsidRDefault="000C352B" w:rsidP="000C352B">
      <w:pPr>
        <w:pStyle w:val="paragraph"/>
        <w:numPr>
          <w:ilvl w:val="0"/>
          <w:numId w:val="45"/>
        </w:numPr>
        <w:spacing w:before="0" w:beforeAutospacing="0" w:after="0" w:afterAutospacing="0"/>
        <w:textAlignment w:val="baseline"/>
        <w:rPr>
          <w:rStyle w:val="eop"/>
          <w:rFonts w:ascii="Arial" w:hAnsi="Arial" w:cs="Arial"/>
          <w:sz w:val="20"/>
          <w:szCs w:val="20"/>
        </w:rPr>
      </w:pPr>
      <w:r w:rsidRPr="00984F40">
        <w:rPr>
          <w:rStyle w:val="normaltextrun"/>
          <w:rFonts w:ascii="Arial" w:hAnsi="Arial"/>
          <w:bCs/>
          <w:sz w:val="20"/>
          <w:szCs w:val="20"/>
        </w:rPr>
        <w:t xml:space="preserve">Copies of </w:t>
      </w:r>
      <w:r>
        <w:rPr>
          <w:rStyle w:val="normaltextrun"/>
          <w:rFonts w:ascii="Arial" w:hAnsi="Arial"/>
          <w:bCs/>
          <w:sz w:val="20"/>
          <w:szCs w:val="20"/>
        </w:rPr>
        <w:t>all</w:t>
      </w:r>
      <w:r w:rsidRPr="00984F40">
        <w:rPr>
          <w:rStyle w:val="normaltextrun"/>
          <w:rFonts w:ascii="Arial" w:hAnsi="Arial"/>
          <w:bCs/>
          <w:sz w:val="20"/>
          <w:szCs w:val="20"/>
        </w:rPr>
        <w:t xml:space="preserve"> supporting </w:t>
      </w:r>
      <w:r>
        <w:rPr>
          <w:rStyle w:val="normaltextrun"/>
          <w:rFonts w:ascii="Arial" w:hAnsi="Arial"/>
          <w:bCs/>
          <w:sz w:val="20"/>
          <w:szCs w:val="20"/>
        </w:rPr>
        <w:t xml:space="preserve">evidence for </w:t>
      </w:r>
      <w:r w:rsidRPr="00984F40">
        <w:rPr>
          <w:rStyle w:val="normaltextrun"/>
          <w:rFonts w:ascii="Arial" w:hAnsi="Arial"/>
          <w:bCs/>
          <w:sz w:val="20"/>
          <w:szCs w:val="20"/>
        </w:rPr>
        <w:t xml:space="preserve">the </w:t>
      </w:r>
      <w:r>
        <w:rPr>
          <w:rStyle w:val="normaltextrun"/>
          <w:rFonts w:ascii="Arial" w:hAnsi="Arial"/>
          <w:bCs/>
          <w:sz w:val="20"/>
          <w:szCs w:val="20"/>
        </w:rPr>
        <w:t>R</w:t>
      </w:r>
      <w:r w:rsidRPr="00984F40">
        <w:rPr>
          <w:rStyle w:val="normaltextrun"/>
          <w:rFonts w:ascii="Arial" w:hAnsi="Arial"/>
          <w:bCs/>
          <w:sz w:val="20"/>
          <w:szCs w:val="20"/>
        </w:rPr>
        <w:t>egistry Instrument or other Document</w:t>
      </w:r>
      <w:r w:rsidRPr="00984F40">
        <w:rPr>
          <w:rStyle w:val="normaltextrun"/>
          <w:rFonts w:ascii="Arial" w:hAnsi="Arial"/>
          <w:sz w:val="20"/>
          <w:szCs w:val="20"/>
        </w:rPr>
        <w:t xml:space="preserve"> </w:t>
      </w:r>
    </w:p>
    <w:p w14:paraId="1428243D" w14:textId="77777777" w:rsidR="000C352B" w:rsidRPr="00984F40" w:rsidRDefault="000C352B" w:rsidP="000C352B">
      <w:pPr>
        <w:pStyle w:val="paragraph"/>
        <w:spacing w:before="0" w:beforeAutospacing="0" w:after="0" w:afterAutospacing="0"/>
        <w:textAlignment w:val="baseline"/>
        <w:rPr>
          <w:rFonts w:ascii="Arial" w:hAnsi="Arial" w:cs="Arial"/>
          <w:sz w:val="20"/>
          <w:szCs w:val="20"/>
        </w:rPr>
      </w:pPr>
    </w:p>
    <w:p w14:paraId="6302E172" w14:textId="73FBAA4C" w:rsidR="000C352B" w:rsidRDefault="000C352B" w:rsidP="000C352B">
      <w:pPr>
        <w:rPr>
          <w:rFonts w:ascii="Arial" w:hAnsi="Arial"/>
          <w:color w:val="auto"/>
        </w:rPr>
      </w:pPr>
      <w:r w:rsidRPr="00DA5E34">
        <w:rPr>
          <w:rFonts w:ascii="Arial" w:hAnsi="Arial"/>
          <w:color w:val="auto"/>
        </w:rPr>
        <w:t>To date, in Victoria the Subscriber Compliance Examination program has examined nearly 500 subscribers; 30</w:t>
      </w:r>
      <w:r w:rsidR="00501CBC">
        <w:rPr>
          <w:rFonts w:ascii="Arial" w:hAnsi="Arial"/>
          <w:color w:val="auto"/>
        </w:rPr>
        <w:t xml:space="preserve"> per cent</w:t>
      </w:r>
      <w:r w:rsidRPr="00DA5E34">
        <w:rPr>
          <w:rFonts w:ascii="Arial" w:hAnsi="Arial"/>
          <w:color w:val="auto"/>
        </w:rPr>
        <w:t xml:space="preserve"> of subscribers examined did not demonstrate compliance with the Participation Rules. The following table shows the breakdown of the instances of non-compliance.</w:t>
      </w:r>
    </w:p>
    <w:p w14:paraId="18C1145B" w14:textId="4D8079B4" w:rsidR="00573A66" w:rsidRDefault="00573A66" w:rsidP="000C352B">
      <w:pPr>
        <w:rPr>
          <w:rFonts w:ascii="Arial" w:hAnsi="Arial"/>
          <w:color w:val="auto"/>
        </w:rPr>
      </w:pPr>
    </w:p>
    <w:p w14:paraId="54C9D7AA" w14:textId="280E88E9" w:rsidR="00573A66" w:rsidRDefault="00573A66" w:rsidP="000C352B">
      <w:pPr>
        <w:rPr>
          <w:rFonts w:ascii="Arial" w:hAnsi="Arial"/>
          <w:color w:val="auto"/>
        </w:rPr>
      </w:pPr>
    </w:p>
    <w:p w14:paraId="50A7242A" w14:textId="72F9EFF7" w:rsidR="00573A66" w:rsidRDefault="00573A66" w:rsidP="000C352B">
      <w:pPr>
        <w:rPr>
          <w:rFonts w:ascii="Arial" w:hAnsi="Arial"/>
          <w:color w:val="auto"/>
        </w:rPr>
      </w:pPr>
    </w:p>
    <w:p w14:paraId="7977DC53" w14:textId="334C8E17" w:rsidR="00573A66" w:rsidRDefault="00573A66" w:rsidP="000C352B">
      <w:pPr>
        <w:rPr>
          <w:rFonts w:ascii="Arial" w:hAnsi="Arial"/>
          <w:color w:val="auto"/>
        </w:rPr>
      </w:pPr>
    </w:p>
    <w:p w14:paraId="1AF3C4AD" w14:textId="77777777" w:rsidR="00573A66" w:rsidRPr="00DA5E34" w:rsidRDefault="00573A66" w:rsidP="000C352B">
      <w:pPr>
        <w:rPr>
          <w:rFonts w:ascii="Arial" w:hAnsi="Arial"/>
          <w:color w:val="auto"/>
        </w:rPr>
      </w:pPr>
    </w:p>
    <w:p w14:paraId="7B64DDB1" w14:textId="77777777" w:rsidR="000C352B" w:rsidRDefault="000C352B" w:rsidP="000C352B">
      <w:pPr>
        <w:rPr>
          <w:rFonts w:ascii="Arial" w:hAnsi="Arial"/>
        </w:rPr>
      </w:pPr>
    </w:p>
    <w:p w14:paraId="10813338" w14:textId="3DC9148A" w:rsidR="000C352B" w:rsidRPr="00984F40" w:rsidRDefault="000C352B" w:rsidP="000C352B">
      <w:pPr>
        <w:rPr>
          <w:rFonts w:ascii="Arial" w:hAnsi="Arial"/>
        </w:rPr>
      </w:pPr>
    </w:p>
    <w:tbl>
      <w:tblPr>
        <w:tblW w:w="5140" w:type="dxa"/>
        <w:jc w:val="center"/>
        <w:tblLook w:val="04A0" w:firstRow="1" w:lastRow="0" w:firstColumn="1" w:lastColumn="0" w:noHBand="0" w:noVBand="1"/>
      </w:tblPr>
      <w:tblGrid>
        <w:gridCol w:w="3360"/>
        <w:gridCol w:w="1780"/>
      </w:tblGrid>
      <w:tr w:rsidR="000C352B" w:rsidRPr="00E35881" w14:paraId="42E95B28" w14:textId="77777777" w:rsidTr="00DA5E34">
        <w:trPr>
          <w:trHeight w:val="630"/>
          <w:jc w:val="center"/>
        </w:trPr>
        <w:tc>
          <w:tcPr>
            <w:tcW w:w="3360" w:type="dxa"/>
            <w:tcBorders>
              <w:top w:val="single" w:sz="4" w:space="0" w:color="000000"/>
              <w:left w:val="single" w:sz="4" w:space="0" w:color="000000"/>
              <w:bottom w:val="single" w:sz="4" w:space="0" w:color="000000"/>
              <w:right w:val="single" w:sz="4" w:space="0" w:color="000000"/>
            </w:tcBorders>
            <w:shd w:val="clear" w:color="000000" w:fill="BFBFBF"/>
            <w:hideMark/>
          </w:tcPr>
          <w:p w14:paraId="4796AFAE" w14:textId="77777777" w:rsidR="000C352B" w:rsidRPr="00B77572" w:rsidRDefault="000C352B" w:rsidP="00DD0B6D">
            <w:pPr>
              <w:spacing w:line="240" w:lineRule="auto"/>
              <w:rPr>
                <w:rFonts w:cstheme="minorHAnsi"/>
              </w:rPr>
            </w:pPr>
            <w:r w:rsidRPr="00B77572">
              <w:rPr>
                <w:rFonts w:cstheme="minorHAnsi"/>
              </w:rPr>
              <w:lastRenderedPageBreak/>
              <w:t>Area</w:t>
            </w:r>
          </w:p>
        </w:tc>
        <w:tc>
          <w:tcPr>
            <w:tcW w:w="1780" w:type="dxa"/>
            <w:tcBorders>
              <w:top w:val="single" w:sz="4" w:space="0" w:color="000000"/>
              <w:left w:val="nil"/>
              <w:bottom w:val="single" w:sz="4" w:space="0" w:color="000000"/>
              <w:right w:val="single" w:sz="4" w:space="0" w:color="000000"/>
            </w:tcBorders>
            <w:shd w:val="clear" w:color="000000" w:fill="BFBFBF"/>
            <w:hideMark/>
          </w:tcPr>
          <w:p w14:paraId="7ADE72DC" w14:textId="48A98701" w:rsidR="000C352B" w:rsidRPr="00B77572" w:rsidRDefault="000C352B" w:rsidP="00DD0B6D">
            <w:pPr>
              <w:spacing w:line="240" w:lineRule="auto"/>
              <w:jc w:val="center"/>
              <w:rPr>
                <w:rFonts w:cstheme="minorHAnsi"/>
                <w:color w:val="000000"/>
              </w:rPr>
            </w:pPr>
            <w:r w:rsidRPr="00B77572">
              <w:rPr>
                <w:rFonts w:cstheme="minorHAnsi"/>
              </w:rPr>
              <w:t>Percentage of</w:t>
            </w:r>
            <w:r w:rsidRPr="00B77572">
              <w:rPr>
                <w:rFonts w:cstheme="minorHAnsi"/>
              </w:rPr>
              <w:br/>
            </w:r>
            <w:r w:rsidR="00B77572">
              <w:rPr>
                <w:rFonts w:cstheme="minorHAnsi"/>
              </w:rPr>
              <w:t>t</w:t>
            </w:r>
            <w:r w:rsidRPr="00B77572">
              <w:rPr>
                <w:rFonts w:cstheme="minorHAnsi"/>
              </w:rPr>
              <w:t>otal</w:t>
            </w:r>
          </w:p>
        </w:tc>
      </w:tr>
      <w:tr w:rsidR="000C352B" w:rsidRPr="00E35881" w14:paraId="0398D727"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0D5AE37A" w14:textId="77777777" w:rsidR="000C352B" w:rsidRPr="00B77572" w:rsidRDefault="000C352B" w:rsidP="00DD0B6D">
            <w:pPr>
              <w:spacing w:line="240" w:lineRule="auto"/>
              <w:rPr>
                <w:rFonts w:cstheme="minorHAnsi"/>
              </w:rPr>
            </w:pPr>
            <w:r w:rsidRPr="00B77572">
              <w:rPr>
                <w:rFonts w:cstheme="minorHAnsi"/>
              </w:rPr>
              <w:t>Client Authorisation</w:t>
            </w:r>
          </w:p>
        </w:tc>
        <w:tc>
          <w:tcPr>
            <w:tcW w:w="1780" w:type="dxa"/>
            <w:tcBorders>
              <w:top w:val="nil"/>
              <w:left w:val="nil"/>
              <w:bottom w:val="single" w:sz="4" w:space="0" w:color="000000"/>
              <w:right w:val="single" w:sz="4" w:space="0" w:color="000000"/>
            </w:tcBorders>
            <w:shd w:val="clear" w:color="auto" w:fill="auto"/>
            <w:noWrap/>
            <w:hideMark/>
          </w:tcPr>
          <w:p w14:paraId="72D57FE8" w14:textId="0875D4EA" w:rsidR="000C352B" w:rsidRPr="00B77572" w:rsidRDefault="000C352B" w:rsidP="00DD0B6D">
            <w:pPr>
              <w:spacing w:line="240" w:lineRule="auto"/>
              <w:jc w:val="center"/>
              <w:rPr>
                <w:rFonts w:cstheme="minorHAnsi"/>
                <w:color w:val="000000"/>
              </w:rPr>
            </w:pPr>
            <w:r w:rsidRPr="00B77572">
              <w:rPr>
                <w:rFonts w:cstheme="minorHAnsi"/>
                <w:color w:val="000000"/>
              </w:rPr>
              <w:t>24.3</w:t>
            </w:r>
          </w:p>
        </w:tc>
      </w:tr>
      <w:tr w:rsidR="000C352B" w:rsidRPr="00E35881" w14:paraId="1780BEB6"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1982ADFD" w14:textId="77777777" w:rsidR="000C352B" w:rsidRPr="00B77572" w:rsidRDefault="000C352B" w:rsidP="00DD0B6D">
            <w:pPr>
              <w:spacing w:line="240" w:lineRule="auto"/>
              <w:rPr>
                <w:rFonts w:cstheme="minorHAnsi"/>
              </w:rPr>
            </w:pPr>
            <w:r w:rsidRPr="00B77572">
              <w:rPr>
                <w:rFonts w:cstheme="minorHAnsi"/>
              </w:rPr>
              <w:t>Verification of Identity</w:t>
            </w:r>
          </w:p>
        </w:tc>
        <w:tc>
          <w:tcPr>
            <w:tcW w:w="1780" w:type="dxa"/>
            <w:tcBorders>
              <w:top w:val="nil"/>
              <w:left w:val="nil"/>
              <w:bottom w:val="single" w:sz="4" w:space="0" w:color="000000"/>
              <w:right w:val="single" w:sz="4" w:space="0" w:color="000000"/>
            </w:tcBorders>
            <w:shd w:val="clear" w:color="auto" w:fill="auto"/>
            <w:noWrap/>
            <w:hideMark/>
          </w:tcPr>
          <w:p w14:paraId="45598CF0" w14:textId="42081852" w:rsidR="000C352B" w:rsidRPr="00B77572" w:rsidRDefault="000C352B" w:rsidP="00DD0B6D">
            <w:pPr>
              <w:spacing w:line="240" w:lineRule="auto"/>
              <w:jc w:val="center"/>
              <w:rPr>
                <w:rFonts w:cstheme="minorHAnsi"/>
                <w:color w:val="000000"/>
              </w:rPr>
            </w:pPr>
            <w:r w:rsidRPr="00B77572">
              <w:rPr>
                <w:rFonts w:cstheme="minorHAnsi"/>
                <w:color w:val="000000"/>
              </w:rPr>
              <w:t>25.9</w:t>
            </w:r>
          </w:p>
        </w:tc>
      </w:tr>
      <w:tr w:rsidR="000C352B" w:rsidRPr="00E35881" w14:paraId="4DFD0497"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412118B2" w14:textId="77777777" w:rsidR="000C352B" w:rsidRPr="00B77572" w:rsidRDefault="000C352B" w:rsidP="00DD0B6D">
            <w:pPr>
              <w:spacing w:line="240" w:lineRule="auto"/>
              <w:rPr>
                <w:rFonts w:cstheme="minorHAnsi"/>
              </w:rPr>
            </w:pPr>
            <w:r w:rsidRPr="00B77572">
              <w:rPr>
                <w:rFonts w:cstheme="minorHAnsi"/>
              </w:rPr>
              <w:t>Verification of Right to Deal</w:t>
            </w:r>
          </w:p>
        </w:tc>
        <w:tc>
          <w:tcPr>
            <w:tcW w:w="1780" w:type="dxa"/>
            <w:tcBorders>
              <w:top w:val="nil"/>
              <w:left w:val="nil"/>
              <w:bottom w:val="single" w:sz="4" w:space="0" w:color="000000"/>
              <w:right w:val="single" w:sz="4" w:space="0" w:color="000000"/>
            </w:tcBorders>
            <w:shd w:val="clear" w:color="auto" w:fill="auto"/>
            <w:noWrap/>
            <w:hideMark/>
          </w:tcPr>
          <w:p w14:paraId="2DBD3091" w14:textId="5AF87C23" w:rsidR="000C352B" w:rsidRPr="00B77572" w:rsidRDefault="000C352B" w:rsidP="00DD0B6D">
            <w:pPr>
              <w:spacing w:line="240" w:lineRule="auto"/>
              <w:jc w:val="center"/>
              <w:rPr>
                <w:rFonts w:cstheme="minorHAnsi"/>
                <w:color w:val="000000"/>
              </w:rPr>
            </w:pPr>
            <w:r w:rsidRPr="00B77572">
              <w:rPr>
                <w:rFonts w:cstheme="minorHAnsi"/>
                <w:color w:val="000000"/>
              </w:rPr>
              <w:t>25.1</w:t>
            </w:r>
          </w:p>
        </w:tc>
      </w:tr>
      <w:tr w:rsidR="000C352B" w:rsidRPr="00E35881" w14:paraId="73BDC287"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7EA5ED7E" w14:textId="77777777" w:rsidR="000C352B" w:rsidRPr="00B77572" w:rsidRDefault="000C352B" w:rsidP="00DD0B6D">
            <w:pPr>
              <w:spacing w:line="240" w:lineRule="auto"/>
              <w:rPr>
                <w:rFonts w:cstheme="minorHAnsi"/>
              </w:rPr>
            </w:pPr>
            <w:r w:rsidRPr="00B77572">
              <w:rPr>
                <w:rFonts w:cstheme="minorHAnsi"/>
              </w:rPr>
              <w:t>Supporting Evidence</w:t>
            </w:r>
          </w:p>
        </w:tc>
        <w:tc>
          <w:tcPr>
            <w:tcW w:w="1780" w:type="dxa"/>
            <w:tcBorders>
              <w:top w:val="nil"/>
              <w:left w:val="nil"/>
              <w:bottom w:val="single" w:sz="4" w:space="0" w:color="000000"/>
              <w:right w:val="single" w:sz="4" w:space="0" w:color="000000"/>
            </w:tcBorders>
            <w:shd w:val="clear" w:color="auto" w:fill="auto"/>
            <w:noWrap/>
            <w:hideMark/>
          </w:tcPr>
          <w:p w14:paraId="3E94F668" w14:textId="26F31AC1" w:rsidR="000C352B" w:rsidRPr="00B77572" w:rsidRDefault="000C352B" w:rsidP="00DD0B6D">
            <w:pPr>
              <w:spacing w:line="240" w:lineRule="auto"/>
              <w:jc w:val="center"/>
              <w:rPr>
                <w:rFonts w:cstheme="minorHAnsi"/>
                <w:color w:val="000000"/>
              </w:rPr>
            </w:pPr>
            <w:r w:rsidRPr="00B77572">
              <w:rPr>
                <w:rFonts w:cstheme="minorHAnsi"/>
                <w:color w:val="000000"/>
              </w:rPr>
              <w:t>22.4</w:t>
            </w:r>
          </w:p>
        </w:tc>
      </w:tr>
      <w:tr w:rsidR="000C352B" w:rsidRPr="00E35881" w14:paraId="677AD96F"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51DCB193" w14:textId="77777777" w:rsidR="000C352B" w:rsidRPr="00B77572" w:rsidRDefault="000C352B" w:rsidP="00DD0B6D">
            <w:pPr>
              <w:spacing w:line="240" w:lineRule="auto"/>
              <w:rPr>
                <w:rFonts w:cstheme="minorHAnsi"/>
              </w:rPr>
            </w:pPr>
            <w:r w:rsidRPr="00B77572">
              <w:rPr>
                <w:rFonts w:cstheme="minorHAnsi"/>
              </w:rPr>
              <w:t>Other</w:t>
            </w:r>
          </w:p>
        </w:tc>
        <w:tc>
          <w:tcPr>
            <w:tcW w:w="1780" w:type="dxa"/>
            <w:tcBorders>
              <w:top w:val="nil"/>
              <w:left w:val="nil"/>
              <w:bottom w:val="single" w:sz="4" w:space="0" w:color="000000"/>
              <w:right w:val="single" w:sz="4" w:space="0" w:color="000000"/>
            </w:tcBorders>
            <w:shd w:val="clear" w:color="auto" w:fill="auto"/>
            <w:noWrap/>
            <w:hideMark/>
          </w:tcPr>
          <w:p w14:paraId="1A952A0C" w14:textId="573166F7" w:rsidR="000C352B" w:rsidRPr="00B77572" w:rsidRDefault="00B77572" w:rsidP="00DD0B6D">
            <w:pPr>
              <w:spacing w:line="240" w:lineRule="auto"/>
              <w:jc w:val="center"/>
              <w:rPr>
                <w:rFonts w:cstheme="minorHAnsi"/>
                <w:color w:val="000000"/>
              </w:rPr>
            </w:pPr>
            <w:r>
              <w:rPr>
                <w:rFonts w:cstheme="minorHAnsi"/>
                <w:color w:val="000000"/>
              </w:rPr>
              <w:t xml:space="preserve"> </w:t>
            </w:r>
            <w:r w:rsidR="000C352B" w:rsidRPr="00B77572">
              <w:rPr>
                <w:rFonts w:cstheme="minorHAnsi"/>
                <w:color w:val="000000"/>
              </w:rPr>
              <w:t>2.</w:t>
            </w:r>
            <w:r>
              <w:rPr>
                <w:rFonts w:cstheme="minorHAnsi"/>
                <w:color w:val="000000"/>
              </w:rPr>
              <w:t>3</w:t>
            </w:r>
          </w:p>
        </w:tc>
      </w:tr>
      <w:tr w:rsidR="000C352B" w:rsidRPr="00E35881" w14:paraId="1D4AE4A7" w14:textId="77777777" w:rsidTr="00DA5E34">
        <w:trPr>
          <w:trHeight w:val="379"/>
          <w:jc w:val="center"/>
        </w:trPr>
        <w:tc>
          <w:tcPr>
            <w:tcW w:w="3360" w:type="dxa"/>
            <w:tcBorders>
              <w:top w:val="nil"/>
              <w:left w:val="single" w:sz="4" w:space="0" w:color="000000"/>
              <w:bottom w:val="single" w:sz="4" w:space="0" w:color="000000"/>
              <w:right w:val="single" w:sz="4" w:space="0" w:color="000000"/>
            </w:tcBorders>
            <w:shd w:val="clear" w:color="auto" w:fill="auto"/>
            <w:hideMark/>
          </w:tcPr>
          <w:p w14:paraId="6EF477AD" w14:textId="77777777" w:rsidR="000C352B" w:rsidRPr="00B77572" w:rsidRDefault="000C352B" w:rsidP="00DD0B6D">
            <w:pPr>
              <w:spacing w:line="240" w:lineRule="auto"/>
              <w:rPr>
                <w:rFonts w:cstheme="minorHAnsi"/>
              </w:rPr>
            </w:pPr>
            <w:r w:rsidRPr="00B77572">
              <w:rPr>
                <w:rFonts w:cstheme="minorHAnsi"/>
              </w:rPr>
              <w:t>Total</w:t>
            </w:r>
          </w:p>
        </w:tc>
        <w:tc>
          <w:tcPr>
            <w:tcW w:w="1780" w:type="dxa"/>
            <w:tcBorders>
              <w:top w:val="nil"/>
              <w:left w:val="nil"/>
              <w:bottom w:val="single" w:sz="4" w:space="0" w:color="000000"/>
              <w:right w:val="single" w:sz="4" w:space="0" w:color="000000"/>
            </w:tcBorders>
            <w:shd w:val="clear" w:color="auto" w:fill="auto"/>
            <w:noWrap/>
            <w:hideMark/>
          </w:tcPr>
          <w:p w14:paraId="33A00775" w14:textId="27900DD2" w:rsidR="000C352B" w:rsidRPr="00B77572" w:rsidRDefault="000C352B" w:rsidP="00DD0B6D">
            <w:pPr>
              <w:spacing w:line="240" w:lineRule="auto"/>
              <w:jc w:val="center"/>
              <w:rPr>
                <w:rFonts w:cstheme="minorHAnsi"/>
                <w:color w:val="000000"/>
              </w:rPr>
            </w:pPr>
            <w:r w:rsidRPr="00B77572">
              <w:rPr>
                <w:rFonts w:cstheme="minorHAnsi"/>
                <w:color w:val="000000"/>
              </w:rPr>
              <w:t>100.0</w:t>
            </w:r>
          </w:p>
        </w:tc>
      </w:tr>
    </w:tbl>
    <w:p w14:paraId="5D32A9A4" w14:textId="77777777" w:rsidR="000C352B" w:rsidRDefault="000C352B" w:rsidP="000C352B">
      <w:pPr>
        <w:rPr>
          <w:rFonts w:ascii="Arial" w:hAnsi="Arial"/>
        </w:rPr>
      </w:pPr>
    </w:p>
    <w:p w14:paraId="7BA2E3A6" w14:textId="77777777" w:rsidR="000C352B" w:rsidRPr="00C86A8D" w:rsidRDefault="000C352B" w:rsidP="000C352B">
      <w:pPr>
        <w:pStyle w:val="Body"/>
        <w:rPr>
          <w:rFonts w:ascii="Arial" w:hAnsi="Arial"/>
          <w:sz w:val="20"/>
          <w:szCs w:val="20"/>
        </w:rPr>
      </w:pPr>
      <w:r w:rsidRPr="00C86A8D">
        <w:rPr>
          <w:rFonts w:ascii="Arial" w:hAnsi="Arial"/>
          <w:sz w:val="20"/>
          <w:szCs w:val="20"/>
        </w:rPr>
        <w:t>The Australian Registrars’ National Electronic Conveyancing Council (ARNECC) publishes a Model Participation Rules guidance note that contains a checklist of what is covered in a compliance</w:t>
      </w:r>
      <w:r>
        <w:t xml:space="preserve"> </w:t>
      </w:r>
      <w:r w:rsidRPr="00C86A8D">
        <w:rPr>
          <w:rFonts w:ascii="Arial" w:hAnsi="Arial"/>
          <w:sz w:val="20"/>
          <w:szCs w:val="20"/>
        </w:rPr>
        <w:t xml:space="preserve">examination: </w:t>
      </w:r>
      <w:hyperlink r:id="rId12" w:history="1">
        <w:r w:rsidRPr="00C86A8D">
          <w:rPr>
            <w:rStyle w:val="Hyperlink"/>
            <w:rFonts w:eastAsiaTheme="majorEastAsia"/>
            <w:i/>
          </w:rPr>
          <w:t>MPR Guidance Note #6 – Compliance Examinations</w:t>
        </w:r>
      </w:hyperlink>
      <w:r w:rsidRPr="00C86A8D">
        <w:rPr>
          <w:rFonts w:ascii="Arial" w:hAnsi="Arial"/>
          <w:i/>
          <w:sz w:val="20"/>
          <w:szCs w:val="20"/>
        </w:rPr>
        <w:t xml:space="preserve"> </w:t>
      </w:r>
      <w:r w:rsidRPr="00C86A8D">
        <w:rPr>
          <w:rFonts w:ascii="Arial" w:hAnsi="Arial"/>
          <w:sz w:val="20"/>
          <w:szCs w:val="20"/>
        </w:rPr>
        <w:t>(</w:t>
      </w:r>
      <w:r w:rsidRPr="00C86A8D">
        <w:rPr>
          <w:rFonts w:ascii="Arial" w:eastAsia="Calibri" w:hAnsi="Arial"/>
          <w:color w:val="000000"/>
          <w:sz w:val="20"/>
          <w:szCs w:val="20"/>
          <w:lang w:eastAsia="en-AU"/>
        </w:rPr>
        <w:t xml:space="preserve">available at </w:t>
      </w:r>
      <w:hyperlink r:id="rId13" w:history="1">
        <w:r w:rsidRPr="00C86A8D">
          <w:rPr>
            <w:rStyle w:val="Hyperlink"/>
            <w:rFonts w:eastAsiaTheme="majorEastAsia"/>
            <w:lang w:eastAsia="en-AU"/>
          </w:rPr>
          <w:t>www.arnecc.gov.au/publications</w:t>
        </w:r>
      </w:hyperlink>
      <w:r w:rsidRPr="00C86A8D">
        <w:rPr>
          <w:rFonts w:ascii="Arial" w:eastAsia="Calibri" w:hAnsi="Arial"/>
          <w:color w:val="000000"/>
          <w:sz w:val="20"/>
          <w:szCs w:val="20"/>
          <w:lang w:eastAsia="en-AU"/>
        </w:rPr>
        <w:t>&gt;Model Participation Rules Guidance Notes)</w:t>
      </w:r>
      <w:r w:rsidRPr="00C86A8D">
        <w:rPr>
          <w:rFonts w:ascii="Arial" w:hAnsi="Arial"/>
          <w:i/>
          <w:sz w:val="20"/>
          <w:szCs w:val="20"/>
        </w:rPr>
        <w:t>.</w:t>
      </w:r>
      <w:r w:rsidRPr="00C86A8D">
        <w:rPr>
          <w:rFonts w:ascii="Arial" w:hAnsi="Arial"/>
          <w:sz w:val="20"/>
          <w:szCs w:val="20"/>
        </w:rPr>
        <w:t xml:space="preserve"> </w:t>
      </w:r>
    </w:p>
    <w:p w14:paraId="330446CD" w14:textId="77777777" w:rsidR="000C352B" w:rsidRPr="00DA5E34" w:rsidRDefault="000C352B" w:rsidP="000C352B">
      <w:pPr>
        <w:rPr>
          <w:rFonts w:ascii="Arial" w:hAnsi="Arial"/>
          <w:color w:val="auto"/>
        </w:rPr>
      </w:pPr>
      <w:r w:rsidRPr="00DA5E34">
        <w:rPr>
          <w:rFonts w:ascii="Arial" w:hAnsi="Arial"/>
          <w:color w:val="auto"/>
        </w:rPr>
        <w:t>A Common Errors Report has also recently been published by ARNECC which covers the most common errors all jurisdictions are encountering and provides an explanation of ARNECC’s expectations in relation to compliance of Subscribers.</w:t>
      </w:r>
    </w:p>
    <w:p w14:paraId="124CA3ED" w14:textId="5A40322E" w:rsidR="000C352B" w:rsidRPr="00573A66" w:rsidRDefault="002D433C" w:rsidP="000C352B">
      <w:pPr>
        <w:rPr>
          <w:color w:val="auto"/>
          <w:u w:val="single"/>
        </w:rPr>
      </w:pPr>
      <w:hyperlink r:id="rId14" w:history="1">
        <w:r w:rsidR="000C352B">
          <w:rPr>
            <w:rStyle w:val="Hyperlink"/>
          </w:rPr>
          <w:t>https://www.arnecc.gov.au/__data/assets/pdf_file/0017/1448000/subscriber-compliance-common-errors.pdf</w:t>
        </w:r>
      </w:hyperlink>
    </w:p>
    <w:p w14:paraId="2139728C" w14:textId="77777777" w:rsidR="000C352B" w:rsidRPr="001158FD" w:rsidRDefault="000C352B" w:rsidP="000C352B">
      <w:pPr>
        <w:pStyle w:val="Heading1"/>
        <w:numPr>
          <w:ilvl w:val="0"/>
          <w:numId w:val="0"/>
        </w:numPr>
        <w:rPr>
          <w:i/>
        </w:rPr>
      </w:pPr>
      <w:r w:rsidRPr="00606B2E">
        <w:t xml:space="preserve">Applications under section 47 of the </w:t>
      </w:r>
      <w:r w:rsidRPr="001158FD">
        <w:rPr>
          <w:i/>
        </w:rPr>
        <w:t>Transfer of Land Act 1958</w:t>
      </w:r>
    </w:p>
    <w:p w14:paraId="33EC2839" w14:textId="77777777" w:rsidR="000C352B" w:rsidRDefault="000C352B" w:rsidP="000C352B">
      <w:pPr>
        <w:autoSpaceDE w:val="0"/>
        <w:autoSpaceDN w:val="0"/>
        <w:adjustRightInd w:val="0"/>
        <w:rPr>
          <w:rFonts w:ascii="Arial" w:hAnsi="Arial"/>
          <w:color w:val="000000"/>
        </w:rPr>
      </w:pPr>
      <w:r>
        <w:rPr>
          <w:rFonts w:ascii="Arial" w:hAnsi="Arial"/>
          <w:color w:val="000000"/>
        </w:rPr>
        <w:t xml:space="preserve">Section 47 of the </w:t>
      </w:r>
      <w:r>
        <w:rPr>
          <w:rFonts w:ascii="Arial" w:hAnsi="Arial"/>
          <w:i/>
          <w:color w:val="000000"/>
        </w:rPr>
        <w:t xml:space="preserve">Transfer of Land Act 1958 </w:t>
      </w:r>
      <w:r w:rsidRPr="001158FD">
        <w:rPr>
          <w:rFonts w:ascii="Arial" w:hAnsi="Arial"/>
          <w:color w:val="000000"/>
        </w:rPr>
        <w:t>(</w:t>
      </w:r>
      <w:r w:rsidRPr="00813F31">
        <w:rPr>
          <w:rFonts w:ascii="Arial" w:hAnsi="Arial"/>
          <w:color w:val="000000"/>
        </w:rPr>
        <w:t>the Act</w:t>
      </w:r>
      <w:r w:rsidRPr="001158FD">
        <w:rPr>
          <w:rFonts w:ascii="Arial" w:hAnsi="Arial"/>
          <w:color w:val="000000"/>
        </w:rPr>
        <w:t>)</w:t>
      </w:r>
      <w:r>
        <w:rPr>
          <w:rFonts w:ascii="Arial" w:hAnsi="Arial"/>
          <w:i/>
          <w:color w:val="000000"/>
        </w:rPr>
        <w:t xml:space="preserve"> </w:t>
      </w:r>
      <w:r>
        <w:rPr>
          <w:rFonts w:ascii="Arial" w:hAnsi="Arial"/>
          <w:color w:val="000000"/>
        </w:rPr>
        <w:t xml:space="preserve">allows the Registrar of Titles (Registrar) to make an order vesting land in a purchaser under a completed contract of sale. The granting of an application under section 47 of the </w:t>
      </w:r>
      <w:r w:rsidRPr="00DA5E34">
        <w:rPr>
          <w:rFonts w:ascii="Arial" w:hAnsi="Arial"/>
          <w:color w:val="000000"/>
        </w:rPr>
        <w:t>Act</w:t>
      </w:r>
      <w:r w:rsidRPr="00D05E1F">
        <w:rPr>
          <w:rFonts w:ascii="Arial" w:hAnsi="Arial"/>
          <w:color w:val="000000"/>
        </w:rPr>
        <w:t xml:space="preserve"> </w:t>
      </w:r>
      <w:r>
        <w:rPr>
          <w:rFonts w:ascii="Arial" w:hAnsi="Arial"/>
          <w:color w:val="000000"/>
        </w:rPr>
        <w:t>is discretionary. It is not a substitute for ordinary conveyancing practice. Before making an application under section 47 of the Act, applicants must first seek a transfer of the land.</w:t>
      </w:r>
    </w:p>
    <w:p w14:paraId="05CFD180" w14:textId="77777777" w:rsidR="000C352B" w:rsidRDefault="000C352B" w:rsidP="000C352B">
      <w:pPr>
        <w:autoSpaceDE w:val="0"/>
        <w:autoSpaceDN w:val="0"/>
        <w:adjustRightInd w:val="0"/>
        <w:rPr>
          <w:rFonts w:ascii="Arial" w:hAnsi="Arial"/>
          <w:color w:val="000000"/>
        </w:rPr>
      </w:pPr>
    </w:p>
    <w:p w14:paraId="10A4D739" w14:textId="482E980D" w:rsidR="000C352B" w:rsidRDefault="000C352B" w:rsidP="000C352B">
      <w:pPr>
        <w:autoSpaceDE w:val="0"/>
        <w:autoSpaceDN w:val="0"/>
        <w:adjustRightInd w:val="0"/>
        <w:rPr>
          <w:rFonts w:ascii="Arial" w:hAnsi="Arial"/>
          <w:color w:val="000000"/>
        </w:rPr>
      </w:pPr>
      <w:r>
        <w:rPr>
          <w:rFonts w:ascii="Arial" w:hAnsi="Arial"/>
          <w:color w:val="000000"/>
        </w:rPr>
        <w:t xml:space="preserve">Generally, for the Registrar to grant an application, an applicant must provide </w:t>
      </w:r>
      <w:r w:rsidR="00DA5E34">
        <w:rPr>
          <w:rFonts w:ascii="Arial" w:hAnsi="Arial"/>
          <w:color w:val="000000"/>
        </w:rPr>
        <w:t xml:space="preserve">a </w:t>
      </w:r>
      <w:r>
        <w:rPr>
          <w:rFonts w:ascii="Arial" w:hAnsi="Arial"/>
          <w:color w:val="000000"/>
        </w:rPr>
        <w:t xml:space="preserve">statutory declaration setting out their recollection of the </w:t>
      </w:r>
      <w:r w:rsidR="00DA5E34">
        <w:rPr>
          <w:rFonts w:ascii="Arial" w:hAnsi="Arial"/>
          <w:color w:val="000000"/>
        </w:rPr>
        <w:t xml:space="preserve">circumstances of the </w:t>
      </w:r>
      <w:r>
        <w:rPr>
          <w:rFonts w:ascii="Arial" w:hAnsi="Arial"/>
          <w:color w:val="000000"/>
        </w:rPr>
        <w:t xml:space="preserve">sale and purchase. </w:t>
      </w:r>
    </w:p>
    <w:p w14:paraId="1EE15045" w14:textId="77777777" w:rsidR="000C352B" w:rsidRDefault="000C352B" w:rsidP="000C352B">
      <w:pPr>
        <w:autoSpaceDE w:val="0"/>
        <w:autoSpaceDN w:val="0"/>
        <w:adjustRightInd w:val="0"/>
        <w:rPr>
          <w:rFonts w:ascii="Arial" w:hAnsi="Arial"/>
          <w:color w:val="000000"/>
        </w:rPr>
      </w:pPr>
    </w:p>
    <w:p w14:paraId="44D12123" w14:textId="77777777" w:rsidR="000C352B" w:rsidRDefault="000C352B" w:rsidP="000C352B">
      <w:pPr>
        <w:autoSpaceDE w:val="0"/>
        <w:autoSpaceDN w:val="0"/>
        <w:adjustRightInd w:val="0"/>
        <w:rPr>
          <w:rFonts w:ascii="Arial" w:hAnsi="Arial"/>
          <w:color w:val="000000"/>
        </w:rPr>
      </w:pPr>
      <w:r>
        <w:rPr>
          <w:rFonts w:ascii="Arial" w:hAnsi="Arial"/>
          <w:color w:val="000000"/>
        </w:rPr>
        <w:t>In addition, the application must prove:</w:t>
      </w:r>
    </w:p>
    <w:p w14:paraId="25F10CCA" w14:textId="77777777" w:rsidR="000C352B" w:rsidRDefault="000C352B" w:rsidP="000C352B">
      <w:pPr>
        <w:pStyle w:val="ListParagraph"/>
        <w:autoSpaceDE w:val="0"/>
        <w:autoSpaceDN w:val="0"/>
        <w:adjustRightInd w:val="0"/>
        <w:rPr>
          <w:rFonts w:ascii="Arial" w:hAnsi="Arial"/>
          <w:color w:val="000000"/>
        </w:rPr>
      </w:pPr>
    </w:p>
    <w:p w14:paraId="2B846964" w14:textId="2455B063" w:rsidR="000C352B" w:rsidRDefault="000C352B" w:rsidP="000C352B">
      <w:pPr>
        <w:pStyle w:val="ListParagraph"/>
        <w:numPr>
          <w:ilvl w:val="0"/>
          <w:numId w:val="50"/>
        </w:numPr>
        <w:autoSpaceDE w:val="0"/>
        <w:autoSpaceDN w:val="0"/>
        <w:adjustRightInd w:val="0"/>
        <w:spacing w:after="200" w:line="276" w:lineRule="auto"/>
        <w:rPr>
          <w:rFonts w:ascii="Arial" w:hAnsi="Arial"/>
          <w:color w:val="000000"/>
        </w:rPr>
      </w:pPr>
      <w:r>
        <w:rPr>
          <w:rFonts w:ascii="Arial" w:hAnsi="Arial"/>
          <w:color w:val="000000"/>
        </w:rPr>
        <w:t>t</w:t>
      </w:r>
      <w:r w:rsidRPr="006A1930">
        <w:rPr>
          <w:rFonts w:ascii="Arial" w:hAnsi="Arial"/>
          <w:color w:val="000000"/>
        </w:rPr>
        <w:t xml:space="preserve">hat land </w:t>
      </w:r>
      <w:r w:rsidR="00DA5E34">
        <w:rPr>
          <w:rFonts w:ascii="Arial" w:hAnsi="Arial"/>
          <w:color w:val="000000"/>
        </w:rPr>
        <w:t xml:space="preserve">was </w:t>
      </w:r>
      <w:r w:rsidRPr="006A1930">
        <w:rPr>
          <w:rFonts w:ascii="Arial" w:hAnsi="Arial"/>
          <w:color w:val="000000"/>
        </w:rPr>
        <w:t xml:space="preserve">sold by the registered proprietor and the applicant may make the application because one of the events in either section 47(1)(a)(i) or (ii) has occurred. </w:t>
      </w:r>
      <w:r>
        <w:rPr>
          <w:rFonts w:ascii="Arial" w:hAnsi="Arial"/>
          <w:color w:val="000000"/>
        </w:rPr>
        <w:t xml:space="preserve">Usually, this will require production of a copy of the Contract of Sale and, when available, a copy of the transfer under the contract. </w:t>
      </w:r>
    </w:p>
    <w:p w14:paraId="11CBEA29" w14:textId="77777777" w:rsidR="000C352B" w:rsidRDefault="000C352B" w:rsidP="000C352B">
      <w:pPr>
        <w:pStyle w:val="ListParagraph"/>
        <w:autoSpaceDE w:val="0"/>
        <w:autoSpaceDN w:val="0"/>
        <w:adjustRightInd w:val="0"/>
        <w:ind w:left="1080"/>
        <w:rPr>
          <w:rFonts w:ascii="Arial" w:hAnsi="Arial"/>
          <w:color w:val="000000"/>
        </w:rPr>
      </w:pPr>
    </w:p>
    <w:p w14:paraId="56E2EFA6" w14:textId="77777777" w:rsidR="000C352B" w:rsidRPr="00684DBD" w:rsidRDefault="000C352B" w:rsidP="000C352B">
      <w:pPr>
        <w:pStyle w:val="ListParagraph"/>
        <w:numPr>
          <w:ilvl w:val="0"/>
          <w:numId w:val="46"/>
        </w:numPr>
        <w:autoSpaceDE w:val="0"/>
        <w:autoSpaceDN w:val="0"/>
        <w:adjustRightInd w:val="0"/>
        <w:spacing w:line="240" w:lineRule="auto"/>
        <w:rPr>
          <w:rFonts w:ascii="Arial" w:hAnsi="Arial"/>
          <w:color w:val="000000"/>
        </w:rPr>
      </w:pPr>
      <w:r w:rsidRPr="001158FD">
        <w:rPr>
          <w:rFonts w:ascii="Arial" w:hAnsi="Arial"/>
          <w:color w:val="000000"/>
        </w:rPr>
        <w:t xml:space="preserve">When an applicant claims that the whole of the purchase money has been paid, proof of payment of the purchase monies must be provided. This may take the form of an acknowledgement of settlement from the vendor or their conveyancers or lawyers. In the case of a terms contract, an applicant may also provide receipts from the vendor or a balance sheet or bank </w:t>
      </w:r>
      <w:r w:rsidRPr="00684DBD">
        <w:rPr>
          <w:rFonts w:ascii="Arial" w:hAnsi="Arial"/>
          <w:color w:val="000000"/>
        </w:rPr>
        <w:t>statements; or,</w:t>
      </w:r>
    </w:p>
    <w:p w14:paraId="5B109B74" w14:textId="77777777" w:rsidR="000C352B" w:rsidRDefault="000C352B" w:rsidP="000C352B">
      <w:pPr>
        <w:pStyle w:val="ListParagraph"/>
        <w:numPr>
          <w:ilvl w:val="0"/>
          <w:numId w:val="46"/>
        </w:numPr>
        <w:autoSpaceDE w:val="0"/>
        <w:autoSpaceDN w:val="0"/>
        <w:adjustRightInd w:val="0"/>
        <w:spacing w:line="240" w:lineRule="auto"/>
        <w:rPr>
          <w:rFonts w:ascii="Arial" w:hAnsi="Arial"/>
          <w:color w:val="000000"/>
        </w:rPr>
      </w:pPr>
      <w:r>
        <w:rPr>
          <w:rFonts w:ascii="Arial" w:hAnsi="Arial"/>
          <w:color w:val="000000"/>
        </w:rPr>
        <w:t xml:space="preserve">When an applicant claims that the time specified in section 8 of the </w:t>
      </w:r>
      <w:r>
        <w:rPr>
          <w:rFonts w:ascii="Arial" w:hAnsi="Arial"/>
          <w:i/>
          <w:color w:val="000000"/>
        </w:rPr>
        <w:t>Limitations of Actions Act 1958</w:t>
      </w:r>
      <w:r>
        <w:rPr>
          <w:rFonts w:ascii="Arial" w:hAnsi="Arial"/>
          <w:color w:val="000000"/>
        </w:rPr>
        <w:t xml:space="preserve"> has elapsed, the applicant must demonstrate the due date for payment of the purchase monies. </w:t>
      </w:r>
    </w:p>
    <w:p w14:paraId="27289D6A" w14:textId="77777777" w:rsidR="000C352B" w:rsidRDefault="000C352B" w:rsidP="000C352B">
      <w:pPr>
        <w:autoSpaceDE w:val="0"/>
        <w:autoSpaceDN w:val="0"/>
        <w:adjustRightInd w:val="0"/>
        <w:rPr>
          <w:rFonts w:ascii="Arial" w:hAnsi="Arial"/>
          <w:color w:val="000000"/>
        </w:rPr>
      </w:pPr>
    </w:p>
    <w:p w14:paraId="5C2BB10A" w14:textId="77777777" w:rsidR="000C352B" w:rsidRDefault="000C352B" w:rsidP="000C352B">
      <w:pPr>
        <w:pStyle w:val="ListParagraph"/>
        <w:autoSpaceDE w:val="0"/>
        <w:autoSpaceDN w:val="0"/>
        <w:adjustRightInd w:val="0"/>
        <w:rPr>
          <w:rFonts w:ascii="Arial" w:hAnsi="Arial"/>
          <w:color w:val="000000"/>
        </w:rPr>
      </w:pPr>
      <w:r>
        <w:rPr>
          <w:rFonts w:ascii="Arial" w:hAnsi="Arial"/>
          <w:color w:val="000000"/>
        </w:rPr>
        <w:t>(b) that the</w:t>
      </w:r>
      <w:r w:rsidRPr="00CE6DC4">
        <w:rPr>
          <w:rFonts w:ascii="Arial" w:hAnsi="Arial"/>
          <w:color w:val="000000"/>
        </w:rPr>
        <w:t xml:space="preserve"> applicant</w:t>
      </w:r>
      <w:r>
        <w:rPr>
          <w:rFonts w:ascii="Arial" w:hAnsi="Arial"/>
          <w:color w:val="000000"/>
        </w:rPr>
        <w:t xml:space="preserve">’s </w:t>
      </w:r>
      <w:r w:rsidRPr="00CE6DC4">
        <w:rPr>
          <w:rFonts w:ascii="Arial" w:hAnsi="Arial"/>
          <w:color w:val="000000"/>
        </w:rPr>
        <w:t xml:space="preserve">entry and possession of the property under the sale has been acquiesced </w:t>
      </w:r>
      <w:r>
        <w:rPr>
          <w:rFonts w:ascii="Arial" w:hAnsi="Arial"/>
          <w:color w:val="000000"/>
        </w:rPr>
        <w:t xml:space="preserve">in </w:t>
      </w:r>
      <w:r w:rsidRPr="00CE6DC4">
        <w:rPr>
          <w:rFonts w:ascii="Arial" w:hAnsi="Arial"/>
          <w:color w:val="000000"/>
        </w:rPr>
        <w:t xml:space="preserve">by the vendor. </w:t>
      </w:r>
      <w:r>
        <w:rPr>
          <w:rFonts w:ascii="Arial" w:hAnsi="Arial"/>
          <w:color w:val="000000"/>
        </w:rPr>
        <w:t xml:space="preserve">This may take the form of a statutory declaration from the applicant, setting out how this has occurred. For example, an applicant may state that they have moved into the property without objection from the vendor. </w:t>
      </w:r>
    </w:p>
    <w:p w14:paraId="1333BC0E" w14:textId="77777777" w:rsidR="000C352B" w:rsidRPr="001158FD" w:rsidRDefault="000C352B" w:rsidP="000C352B">
      <w:pPr>
        <w:pStyle w:val="ListParagraph"/>
        <w:autoSpaceDE w:val="0"/>
        <w:autoSpaceDN w:val="0"/>
        <w:adjustRightInd w:val="0"/>
        <w:rPr>
          <w:rFonts w:ascii="Arial" w:hAnsi="Arial"/>
          <w:color w:val="000000"/>
        </w:rPr>
      </w:pPr>
    </w:p>
    <w:p w14:paraId="42C21C62" w14:textId="77777777" w:rsidR="000C352B" w:rsidRDefault="000C352B" w:rsidP="000C352B">
      <w:pPr>
        <w:pStyle w:val="ListParagraph"/>
        <w:autoSpaceDE w:val="0"/>
        <w:autoSpaceDN w:val="0"/>
        <w:adjustRightInd w:val="0"/>
        <w:rPr>
          <w:rFonts w:ascii="Arial" w:hAnsi="Arial"/>
          <w:color w:val="000000"/>
        </w:rPr>
      </w:pPr>
      <w:r>
        <w:rPr>
          <w:rFonts w:ascii="Arial" w:hAnsi="Arial"/>
          <w:color w:val="000000"/>
        </w:rPr>
        <w:t>(c)</w:t>
      </w:r>
      <w:r w:rsidRPr="00CE6DC4">
        <w:rPr>
          <w:rFonts w:ascii="Arial" w:hAnsi="Arial"/>
          <w:color w:val="000000"/>
        </w:rPr>
        <w:t xml:space="preserve"> </w:t>
      </w:r>
      <w:r>
        <w:rPr>
          <w:rFonts w:ascii="Arial" w:hAnsi="Arial"/>
          <w:color w:val="000000"/>
        </w:rPr>
        <w:t xml:space="preserve">that </w:t>
      </w:r>
      <w:r w:rsidRPr="00CE6DC4">
        <w:rPr>
          <w:rFonts w:ascii="Arial" w:hAnsi="Arial"/>
          <w:color w:val="000000"/>
        </w:rPr>
        <w:t xml:space="preserve">a transfer of the land cannot be obtained for one of the reasons set out in section 47(c)(i) or (ii). </w:t>
      </w:r>
    </w:p>
    <w:p w14:paraId="2BC7B764" w14:textId="77777777" w:rsidR="000C352B" w:rsidRPr="001F6936" w:rsidRDefault="000C352B" w:rsidP="000C352B">
      <w:pPr>
        <w:pStyle w:val="ListParagraph"/>
        <w:rPr>
          <w:rFonts w:ascii="Arial" w:hAnsi="Arial"/>
          <w:color w:val="000000"/>
        </w:rPr>
      </w:pPr>
    </w:p>
    <w:p w14:paraId="27D33E5D" w14:textId="77777777" w:rsidR="000C352B" w:rsidRPr="001F6936" w:rsidRDefault="000C352B" w:rsidP="000C352B">
      <w:pPr>
        <w:pStyle w:val="ListParagraph"/>
        <w:numPr>
          <w:ilvl w:val="0"/>
          <w:numId w:val="47"/>
        </w:numPr>
        <w:autoSpaceDE w:val="0"/>
        <w:autoSpaceDN w:val="0"/>
        <w:adjustRightInd w:val="0"/>
        <w:spacing w:line="240" w:lineRule="auto"/>
        <w:rPr>
          <w:rFonts w:ascii="Arial" w:hAnsi="Arial"/>
          <w:color w:val="000000"/>
        </w:rPr>
      </w:pPr>
      <w:r>
        <w:rPr>
          <w:rFonts w:ascii="Arial" w:hAnsi="Arial"/>
          <w:color w:val="000000"/>
        </w:rPr>
        <w:t>The Registrar considers that applicants or their conveyancers or lawyers should attempt to contact the registered proprietor(s) or their legal personal representative(s) by completing a name search of the Register and s</w:t>
      </w:r>
      <w:r w:rsidRPr="001F6936">
        <w:rPr>
          <w:rFonts w:ascii="Arial" w:hAnsi="Arial"/>
          <w:color w:val="000000"/>
        </w:rPr>
        <w:t xml:space="preserve">earching relevant </w:t>
      </w:r>
      <w:r>
        <w:rPr>
          <w:rFonts w:ascii="Arial" w:hAnsi="Arial"/>
          <w:color w:val="000000"/>
        </w:rPr>
        <w:t xml:space="preserve">telephone directories, electoral roles and probate indices, together with making enquiries of the vendor’s conveyancers or lawyers, if known. </w:t>
      </w:r>
    </w:p>
    <w:p w14:paraId="6E0C30C0" w14:textId="77777777" w:rsidR="000C352B" w:rsidRPr="00CE6DC4" w:rsidRDefault="000C352B" w:rsidP="000C352B">
      <w:pPr>
        <w:pStyle w:val="ListParagraph"/>
        <w:rPr>
          <w:rFonts w:ascii="Arial" w:hAnsi="Arial"/>
          <w:color w:val="000000"/>
        </w:rPr>
      </w:pPr>
    </w:p>
    <w:p w14:paraId="64B73414" w14:textId="7899B9F3" w:rsidR="000C352B" w:rsidRPr="00CE6DC4" w:rsidRDefault="000C352B" w:rsidP="000C352B">
      <w:pPr>
        <w:pStyle w:val="ListParagraph"/>
        <w:numPr>
          <w:ilvl w:val="0"/>
          <w:numId w:val="47"/>
        </w:numPr>
        <w:autoSpaceDE w:val="0"/>
        <w:autoSpaceDN w:val="0"/>
        <w:adjustRightInd w:val="0"/>
        <w:spacing w:line="240" w:lineRule="auto"/>
        <w:rPr>
          <w:rFonts w:ascii="Arial" w:hAnsi="Arial"/>
          <w:color w:val="000000"/>
        </w:rPr>
      </w:pPr>
      <w:r>
        <w:rPr>
          <w:rFonts w:ascii="Arial" w:hAnsi="Arial"/>
          <w:color w:val="000000"/>
        </w:rPr>
        <w:t xml:space="preserve">An applicant will need to demonstrate the steps they have taken to locate a corporate registered proprietor and the </w:t>
      </w:r>
      <w:r w:rsidR="00DA5E34">
        <w:rPr>
          <w:rFonts w:ascii="Arial" w:hAnsi="Arial"/>
          <w:color w:val="000000"/>
        </w:rPr>
        <w:t xml:space="preserve">corporation’s </w:t>
      </w:r>
      <w:r w:rsidR="00B77572">
        <w:rPr>
          <w:rFonts w:ascii="Arial" w:hAnsi="Arial"/>
          <w:color w:val="000000"/>
        </w:rPr>
        <w:t xml:space="preserve">   </w:t>
      </w:r>
      <w:r>
        <w:rPr>
          <w:rFonts w:ascii="Arial" w:hAnsi="Arial"/>
          <w:color w:val="000000"/>
        </w:rPr>
        <w:t xml:space="preserve">authorised agent (e.g. a director, secretary, administrator or liquidator). In cases where a corporation has been deregistered, an applicant should seek a transfer of the land from the Australian Securities and Investment Commission. </w:t>
      </w:r>
    </w:p>
    <w:p w14:paraId="6355C6B2" w14:textId="77777777" w:rsidR="000C352B" w:rsidRDefault="000C352B" w:rsidP="000C352B"/>
    <w:p w14:paraId="6CB475ED" w14:textId="77777777" w:rsidR="000C352B" w:rsidRPr="00DA5E34" w:rsidRDefault="000C352B" w:rsidP="000C352B">
      <w:pPr>
        <w:rPr>
          <w:rFonts w:ascii="Arial" w:hAnsi="Arial"/>
          <w:color w:val="auto"/>
        </w:rPr>
      </w:pPr>
      <w:r w:rsidRPr="00DA5E34">
        <w:rPr>
          <w:rFonts w:ascii="Arial" w:hAnsi="Arial"/>
          <w:color w:val="auto"/>
        </w:rPr>
        <w:t xml:space="preserve">It may be difficult to provide evidence of these matters. For this reason, applicants are encouraged to seek the advice of their conveyancer or lawyer and to provide as much evidence as possible. </w:t>
      </w:r>
    </w:p>
    <w:p w14:paraId="621CE814" w14:textId="77777777" w:rsidR="000C352B" w:rsidRPr="00DA5E34" w:rsidRDefault="000C352B" w:rsidP="000C352B">
      <w:pPr>
        <w:rPr>
          <w:rFonts w:ascii="Arial" w:hAnsi="Arial"/>
          <w:color w:val="auto"/>
        </w:rPr>
      </w:pPr>
    </w:p>
    <w:p w14:paraId="0A001F29" w14:textId="6625C78D" w:rsidR="000C352B" w:rsidRPr="00DA5E34" w:rsidRDefault="000C352B" w:rsidP="000C352B">
      <w:pPr>
        <w:rPr>
          <w:rFonts w:ascii="Arial" w:hAnsi="Arial"/>
          <w:color w:val="auto"/>
        </w:rPr>
      </w:pPr>
      <w:r w:rsidRPr="00DA5E34">
        <w:rPr>
          <w:rFonts w:ascii="Arial" w:hAnsi="Arial"/>
          <w:color w:val="auto"/>
        </w:rPr>
        <w:t xml:space="preserve">In some circumstances, alternatives to a section 47 application might be available, such as an application under section 60 of the Act. In other cases, applicants may need to seek orders from a Court to vest the land in them. An application could then be made under section 103 of the Act to give effect to the Court order. </w:t>
      </w:r>
    </w:p>
    <w:p w14:paraId="41B81DD8" w14:textId="77777777" w:rsidR="000C352B" w:rsidRDefault="000C352B" w:rsidP="000C352B">
      <w:pPr>
        <w:autoSpaceDE w:val="0"/>
        <w:autoSpaceDN w:val="0"/>
        <w:rPr>
          <w:rFonts w:ascii="Arial" w:hAnsi="Arial"/>
          <w:color w:val="000000"/>
        </w:rPr>
      </w:pPr>
    </w:p>
    <w:p w14:paraId="4F5DB8EA" w14:textId="77777777" w:rsidR="000C352B" w:rsidRDefault="000C352B" w:rsidP="000C352B">
      <w:pPr>
        <w:pStyle w:val="Heading1"/>
        <w:numPr>
          <w:ilvl w:val="0"/>
          <w:numId w:val="43"/>
        </w:numPr>
        <w:spacing w:after="240"/>
      </w:pPr>
      <w:r>
        <w:t>Defining burdened and benefited land in restrictive covenants in transfers and plans</w:t>
      </w:r>
    </w:p>
    <w:p w14:paraId="598BD3DB" w14:textId="77777777" w:rsidR="000C352B" w:rsidRPr="00C0194E" w:rsidRDefault="000C352B" w:rsidP="000C352B">
      <w:pPr>
        <w:rPr>
          <w:rFonts w:ascii="Arial" w:hAnsi="Arial"/>
        </w:rPr>
      </w:pPr>
      <w:r w:rsidRPr="008A25E4">
        <w:rPr>
          <w:rFonts w:ascii="Arial" w:hAnsi="Arial"/>
        </w:rPr>
        <w:t xml:space="preserve">Recently, a number of transfers have been lodged incorporating Memoranda of Common Provisions (MCP) that </w:t>
      </w:r>
      <w:r>
        <w:rPr>
          <w:rFonts w:ascii="Arial" w:hAnsi="Arial"/>
        </w:rPr>
        <w:t>both set out the restrictive</w:t>
      </w:r>
      <w:r w:rsidRPr="008A25E4">
        <w:rPr>
          <w:rFonts w:ascii="Arial" w:hAnsi="Arial"/>
        </w:rPr>
        <w:t xml:space="preserve"> covenants and attempt to define the land burdened and benefited by the </w:t>
      </w:r>
      <w:r w:rsidRPr="00C0194E">
        <w:rPr>
          <w:rFonts w:ascii="Arial" w:hAnsi="Arial"/>
        </w:rPr>
        <w:t>covenants.</w:t>
      </w:r>
      <w:r>
        <w:rPr>
          <w:rFonts w:ascii="Arial" w:hAnsi="Arial"/>
        </w:rPr>
        <w:t xml:space="preserve">  For those </w:t>
      </w:r>
      <w:r w:rsidRPr="00C0194E">
        <w:rPr>
          <w:rFonts w:ascii="Arial" w:hAnsi="Arial"/>
        </w:rPr>
        <w:t>transfers, review of the MCP</w:t>
      </w:r>
      <w:r>
        <w:rPr>
          <w:rFonts w:ascii="Arial" w:hAnsi="Arial"/>
        </w:rPr>
        <w:t>s</w:t>
      </w:r>
      <w:r w:rsidRPr="00C0194E">
        <w:rPr>
          <w:rFonts w:ascii="Arial" w:hAnsi="Arial"/>
        </w:rPr>
        <w:t xml:space="preserve"> has revealed that:</w:t>
      </w:r>
    </w:p>
    <w:p w14:paraId="644B5325" w14:textId="77777777" w:rsidR="000C352B" w:rsidRPr="0003704B" w:rsidRDefault="000C352B" w:rsidP="000C352B">
      <w:pPr>
        <w:rPr>
          <w:rFonts w:ascii="Arial" w:hAnsi="Arial"/>
        </w:rPr>
      </w:pPr>
    </w:p>
    <w:p w14:paraId="38C1A36F" w14:textId="77777777" w:rsidR="000C352B" w:rsidRPr="00C0194E" w:rsidRDefault="000C352B" w:rsidP="000C352B">
      <w:pPr>
        <w:pStyle w:val="ListParagraph"/>
        <w:numPr>
          <w:ilvl w:val="0"/>
          <w:numId w:val="49"/>
        </w:numPr>
        <w:spacing w:after="200" w:line="276" w:lineRule="auto"/>
        <w:rPr>
          <w:rFonts w:ascii="Arial" w:hAnsi="Arial"/>
        </w:rPr>
      </w:pPr>
      <w:r w:rsidRPr="00C0194E">
        <w:rPr>
          <w:rFonts w:ascii="Arial" w:hAnsi="Arial"/>
        </w:rPr>
        <w:t>the burdened and benefited land are the same</w:t>
      </w:r>
      <w:r>
        <w:rPr>
          <w:rFonts w:ascii="Arial" w:hAnsi="Arial"/>
        </w:rPr>
        <w:t>;</w:t>
      </w:r>
      <w:r w:rsidRPr="00C0194E">
        <w:rPr>
          <w:rFonts w:ascii="Arial" w:hAnsi="Arial"/>
        </w:rPr>
        <w:t xml:space="preserve"> or </w:t>
      </w:r>
    </w:p>
    <w:p w14:paraId="77A7AFDD" w14:textId="77777777" w:rsidR="000C352B" w:rsidRPr="00C0194E" w:rsidRDefault="000C352B" w:rsidP="000C352B">
      <w:pPr>
        <w:pStyle w:val="ListParagraph"/>
        <w:numPr>
          <w:ilvl w:val="0"/>
          <w:numId w:val="49"/>
        </w:numPr>
        <w:spacing w:after="200" w:line="276" w:lineRule="auto"/>
        <w:rPr>
          <w:rFonts w:ascii="Arial" w:hAnsi="Arial"/>
        </w:rPr>
      </w:pPr>
      <w:r w:rsidRPr="00C0194E">
        <w:rPr>
          <w:rFonts w:ascii="Arial" w:hAnsi="Arial"/>
        </w:rPr>
        <w:t>the benefited land is incorrectly defined</w:t>
      </w:r>
      <w:r>
        <w:rPr>
          <w:rFonts w:ascii="Arial" w:hAnsi="Arial"/>
        </w:rPr>
        <w:t>;</w:t>
      </w:r>
      <w:r w:rsidRPr="00C0194E">
        <w:rPr>
          <w:rFonts w:ascii="Arial" w:hAnsi="Arial"/>
        </w:rPr>
        <w:t xml:space="preserve"> or </w:t>
      </w:r>
    </w:p>
    <w:p w14:paraId="7712A99E" w14:textId="77777777" w:rsidR="000C352B" w:rsidRPr="00C0194E" w:rsidRDefault="000C352B" w:rsidP="000C352B">
      <w:pPr>
        <w:pStyle w:val="ListParagraph"/>
        <w:numPr>
          <w:ilvl w:val="0"/>
          <w:numId w:val="49"/>
        </w:numPr>
        <w:spacing w:after="200" w:line="276" w:lineRule="auto"/>
        <w:rPr>
          <w:rFonts w:ascii="Arial" w:hAnsi="Arial"/>
        </w:rPr>
      </w:pPr>
      <w:r w:rsidRPr="00C0194E">
        <w:rPr>
          <w:rFonts w:ascii="Arial" w:hAnsi="Arial"/>
        </w:rPr>
        <w:t xml:space="preserve">the benefited land is not defined. </w:t>
      </w:r>
    </w:p>
    <w:p w14:paraId="220207D0" w14:textId="77777777" w:rsidR="000C352B" w:rsidRPr="00C0194E" w:rsidRDefault="000C352B" w:rsidP="000C352B">
      <w:pPr>
        <w:rPr>
          <w:rFonts w:ascii="Arial" w:hAnsi="Arial"/>
        </w:rPr>
      </w:pPr>
      <w:r>
        <w:rPr>
          <w:rFonts w:ascii="Arial" w:hAnsi="Arial"/>
        </w:rPr>
        <w:t xml:space="preserve">To avoid these issues consideration should be given to only including the restrictive covenants in the </w:t>
      </w:r>
      <w:r w:rsidRPr="00C0194E">
        <w:rPr>
          <w:rFonts w:ascii="Arial" w:hAnsi="Arial"/>
        </w:rPr>
        <w:t>MCPs. The burdened and benefitted land can then be defined in the transfer or plan.</w:t>
      </w:r>
      <w:r>
        <w:rPr>
          <w:rFonts w:ascii="Arial" w:hAnsi="Arial"/>
        </w:rPr>
        <w:t xml:space="preserve">  This has the added advantage that the MCPs can then be used in future developments.</w:t>
      </w:r>
    </w:p>
    <w:p w14:paraId="42F28251" w14:textId="77777777" w:rsidR="000C352B" w:rsidRDefault="000C352B" w:rsidP="000C352B">
      <w:pPr>
        <w:pStyle w:val="Heading1"/>
        <w:numPr>
          <w:ilvl w:val="0"/>
          <w:numId w:val="0"/>
        </w:numPr>
        <w:spacing w:after="240"/>
      </w:pPr>
      <w:r>
        <w:t>Subscribe</w:t>
      </w:r>
    </w:p>
    <w:p w14:paraId="6C7E2967" w14:textId="77777777" w:rsidR="000C352B" w:rsidRDefault="000C352B" w:rsidP="000C352B">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3F07354D" w14:textId="77777777" w:rsidR="000C352B" w:rsidRDefault="000C352B" w:rsidP="000C352B">
      <w:pPr>
        <w:pStyle w:val="Heading1"/>
        <w:numPr>
          <w:ilvl w:val="0"/>
          <w:numId w:val="0"/>
        </w:numPr>
        <w:spacing w:after="240"/>
        <w:rPr>
          <w:rFonts w:eastAsiaTheme="minorHAnsi"/>
          <w:lang w:eastAsia="en-US"/>
        </w:rPr>
      </w:pPr>
      <w:r>
        <w:rPr>
          <w:rFonts w:eastAsiaTheme="minorHAnsi"/>
          <w:lang w:eastAsia="en-US"/>
        </w:rPr>
        <w:t>Contact us</w:t>
      </w:r>
    </w:p>
    <w:p w14:paraId="714E3D59" w14:textId="1968FD1C" w:rsidR="00B77572" w:rsidRPr="00573A66" w:rsidRDefault="000C352B" w:rsidP="000C352B">
      <w:pPr>
        <w:pStyle w:val="Body"/>
        <w:rPr>
          <w:rFonts w:eastAsiaTheme="minorHAnsi" w:cs="Calibri"/>
          <w:color w:val="000000"/>
          <w:szCs w:val="22"/>
        </w:rPr>
      </w:pPr>
      <w:r>
        <w:rPr>
          <w:rFonts w:eastAsiaTheme="minorHAnsi" w:cs="Calibri"/>
          <w:color w:val="000000"/>
          <w:szCs w:val="22"/>
        </w:rPr>
        <w:t xml:space="preserve">For </w:t>
      </w:r>
      <w:hyperlink r:id="rId15"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6"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tbl>
      <w:tblPr>
        <w:tblpPr w:leftFromText="181" w:rightFromText="181" w:topFromText="113" w:bottomFromText="160" w:vertAnchor="page" w:horzAnchor="margin" w:tblpY="11941"/>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0C352B" w14:paraId="5B7F158A" w14:textId="77777777" w:rsidTr="00825A21">
        <w:trPr>
          <w:trHeight w:val="2608"/>
        </w:trPr>
        <w:tc>
          <w:tcPr>
            <w:tcW w:w="5213" w:type="dxa"/>
            <w:tcBorders>
              <w:top w:val="single" w:sz="2" w:space="0" w:color="00B2A9"/>
              <w:left w:val="nil"/>
              <w:bottom w:val="nil"/>
              <w:right w:val="nil"/>
            </w:tcBorders>
            <w:hideMark/>
          </w:tcPr>
          <w:bookmarkEnd w:id="3"/>
          <w:p w14:paraId="6ABA5A49" w14:textId="3C91FE29" w:rsidR="000C352B" w:rsidRDefault="000C352B" w:rsidP="00825A21">
            <w:pPr>
              <w:pStyle w:val="SmallBodyText"/>
              <w:rPr>
                <w:lang w:eastAsia="en-US"/>
              </w:rPr>
            </w:pPr>
            <w:r>
              <w:rPr>
                <w:lang w:eastAsia="en-US"/>
              </w:rPr>
              <w:lastRenderedPageBreak/>
              <w:t xml:space="preserve">© The State of Victoria Department of Environment, Land, Water and Planning </w:t>
            </w:r>
            <w:r>
              <w:rPr>
                <w:lang w:eastAsia="en-US"/>
              </w:rPr>
              <w:fldChar w:fldCharType="begin"/>
            </w:r>
            <w:r>
              <w:rPr>
                <w:lang w:eastAsia="en-US"/>
              </w:rPr>
              <w:instrText xml:space="preserve"> DATE  \@ "yyyy" \* MERGEFORMAT </w:instrText>
            </w:r>
            <w:r>
              <w:rPr>
                <w:lang w:eastAsia="en-US"/>
              </w:rPr>
              <w:fldChar w:fldCharType="separate"/>
            </w:r>
            <w:r w:rsidR="002D433C">
              <w:rPr>
                <w:noProof/>
                <w:lang w:eastAsia="en-US"/>
              </w:rPr>
              <w:t>2019</w:t>
            </w:r>
            <w:r>
              <w:rPr>
                <w:lang w:eastAsia="en-US"/>
              </w:rPr>
              <w:fldChar w:fldCharType="end"/>
            </w:r>
          </w:p>
          <w:p w14:paraId="0A268FD8" w14:textId="77777777" w:rsidR="000C352B" w:rsidRDefault="000C352B" w:rsidP="00825A21">
            <w:pPr>
              <w:pStyle w:val="SmallBodyText"/>
              <w:rPr>
                <w:lang w:eastAsia="en-US"/>
              </w:rPr>
            </w:pPr>
            <w:r>
              <w:rPr>
                <w:noProof/>
                <w:lang w:eastAsia="en-US"/>
              </w:rPr>
              <w:drawing>
                <wp:anchor distT="0" distB="0" distL="114300" distR="36195" simplePos="0" relativeHeight="251663360" behindDoc="0" locked="1" layoutInCell="1" allowOverlap="1" wp14:anchorId="09CC051D" wp14:editId="72ECD451">
                  <wp:simplePos x="0" y="0"/>
                  <wp:positionH relativeFrom="column">
                    <wp:posOffset>0</wp:posOffset>
                  </wp:positionH>
                  <wp:positionV relativeFrom="paragraph">
                    <wp:posOffset>28575</wp:posOffset>
                  </wp:positionV>
                  <wp:extent cx="658495" cy="237490"/>
                  <wp:effectExtent l="0" t="0" r="8255" b="0"/>
                  <wp:wrapSquare wrapText="bothSides"/>
                  <wp:docPr id="2" name="Picture 2"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bookmarkStart w:id="4" w:name="_ImprintPageOne"/>
            <w:bookmarkEnd w:id="4"/>
            <w:r>
              <w:rPr>
                <w:lang w:eastAsia="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04690579" w14:textId="77777777" w:rsidR="000C352B" w:rsidRDefault="000C352B" w:rsidP="00825A21">
            <w:pPr>
              <w:pStyle w:val="SmallHeading"/>
              <w:rPr>
                <w:lang w:eastAsia="en-US"/>
              </w:rPr>
            </w:pPr>
            <w:r>
              <w:rPr>
                <w:lang w:eastAsia="en-US"/>
              </w:rPr>
              <w:t>Disclaimer</w:t>
            </w:r>
          </w:p>
          <w:p w14:paraId="4C03A8AE" w14:textId="718D62F0" w:rsidR="000C352B" w:rsidRDefault="000C352B" w:rsidP="00825A21">
            <w:pPr>
              <w:pStyle w:val="SmallBodyText"/>
              <w:rPr>
                <w:lang w:eastAsia="en-US"/>
              </w:rPr>
            </w:pPr>
            <w:r>
              <w:rPr>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her consequence which may arise from you relying on any information in this publication.</w:t>
            </w:r>
          </w:p>
        </w:tc>
        <w:tc>
          <w:tcPr>
            <w:tcW w:w="4987" w:type="dxa"/>
            <w:tcBorders>
              <w:top w:val="single" w:sz="2" w:space="0" w:color="00B2A9"/>
              <w:left w:val="nil"/>
              <w:bottom w:val="nil"/>
              <w:right w:val="nil"/>
            </w:tcBorders>
          </w:tcPr>
          <w:p w14:paraId="436AFE1E" w14:textId="77777777" w:rsidR="000C352B" w:rsidRDefault="000C352B" w:rsidP="00825A21">
            <w:pPr>
              <w:pStyle w:val="xAccessibilityHeading"/>
              <w:rPr>
                <w:lang w:eastAsia="en-US"/>
              </w:rPr>
            </w:pPr>
            <w:bookmarkStart w:id="5" w:name="_Accessibility"/>
            <w:bookmarkEnd w:id="5"/>
            <w:r>
              <w:rPr>
                <w:lang w:eastAsia="en-US"/>
              </w:rPr>
              <w:t>Accessibility</w:t>
            </w:r>
          </w:p>
          <w:p w14:paraId="7AA395BE" w14:textId="3B998C8A" w:rsidR="000C352B" w:rsidRDefault="000C352B" w:rsidP="00825A21">
            <w:pPr>
              <w:pStyle w:val="xAccessibilityText"/>
              <w:rPr>
                <w:lang w:eastAsia="en-US"/>
              </w:rPr>
            </w:pPr>
            <w:r>
              <w:rPr>
                <w:lang w:eastAsia="en-US"/>
              </w:rPr>
              <w:t>If you would like to receive this publication in an alternative format, please telephone the DELWP Customer Service Centre on 136186, email </w:t>
            </w:r>
            <w:hyperlink r:id="rId18" w:history="1">
              <w:r>
                <w:rPr>
                  <w:rStyle w:val="Hyperlink"/>
                  <w:color w:val="363534" w:themeColor="text1"/>
                  <w:lang w:eastAsia="en-US"/>
                </w:rPr>
                <w:t>customer.service@delwp.vic.gov.au</w:t>
              </w:r>
            </w:hyperlink>
            <w:r>
              <w:rPr>
                <w:lang w:eastAsia="en-US"/>
              </w:rPr>
              <w:t xml:space="preserve">, or via the National Relay Service on 133 677 </w:t>
            </w:r>
            <w:hyperlink r:id="rId19" w:history="1">
              <w:r>
                <w:rPr>
                  <w:rStyle w:val="Hyperlink"/>
                  <w:color w:val="363534" w:themeColor="text1"/>
                  <w:lang w:eastAsia="en-US"/>
                </w:rPr>
                <w:t>www.relayservice.com.au</w:t>
              </w:r>
            </w:hyperlink>
            <w:r>
              <w:rPr>
                <w:lang w:eastAsia="en-US"/>
              </w:rPr>
              <w:t xml:space="preserve">. This document is so available on the internet at </w:t>
            </w:r>
            <w:hyperlink r:id="rId20" w:history="1">
              <w:r>
                <w:rPr>
                  <w:rStyle w:val="Hyperlink"/>
                  <w:color w:val="363534" w:themeColor="text1"/>
                  <w:lang w:eastAsia="en-US"/>
                </w:rPr>
                <w:t>www.delwp.vic.gov.au</w:t>
              </w:r>
            </w:hyperlink>
            <w:r>
              <w:rPr>
                <w:lang w:eastAsia="en-US"/>
              </w:rPr>
              <w:t xml:space="preserve">. </w:t>
            </w:r>
          </w:p>
          <w:p w14:paraId="70B499D9" w14:textId="77777777" w:rsidR="000C352B" w:rsidRDefault="000C352B" w:rsidP="00825A21">
            <w:pPr>
              <w:pStyle w:val="SmallBodyText"/>
              <w:rPr>
                <w:lang w:eastAsia="en-US"/>
              </w:rPr>
            </w:pPr>
          </w:p>
        </w:tc>
      </w:tr>
    </w:tbl>
    <w:p w14:paraId="4411B15F" w14:textId="77777777" w:rsidR="00806AB6" w:rsidRDefault="00806AB6" w:rsidP="00806AB6">
      <w:pPr>
        <w:pStyle w:val="BodyText"/>
        <w:sectPr w:rsidR="00806AB6" w:rsidSect="0033793B">
          <w:headerReference w:type="even" r:id="rId21"/>
          <w:headerReference w:type="default" r:id="rId22"/>
          <w:footerReference w:type="even" r:id="rId23"/>
          <w:footerReference w:type="default" r:id="rId24"/>
          <w:headerReference w:type="first" r:id="rId25"/>
          <w:footerReference w:type="first" r:id="rId26"/>
          <w:pgSz w:w="11907" w:h="16840" w:code="9"/>
          <w:pgMar w:top="2211" w:right="737" w:bottom="1758" w:left="851" w:header="284" w:footer="284" w:gutter="0"/>
          <w:cols w:space="284"/>
          <w:titlePg/>
          <w:docGrid w:linePitch="360"/>
        </w:sectPr>
      </w:pPr>
    </w:p>
    <w:p w14:paraId="75CE637F" w14:textId="77777777" w:rsidR="006E1C8D" w:rsidRDefault="006E1C8D" w:rsidP="000C352B">
      <w:pPr>
        <w:pStyle w:val="IntroFeatureText"/>
      </w:pPr>
      <w:bookmarkStart w:id="6" w:name="Here"/>
      <w:bookmarkEnd w:id="6"/>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8DEB" w14:textId="77777777" w:rsidR="000C352B" w:rsidRDefault="000C352B">
      <w:r>
        <w:separator/>
      </w:r>
    </w:p>
    <w:p w14:paraId="00E5559A" w14:textId="77777777" w:rsidR="000C352B" w:rsidRDefault="000C352B"/>
    <w:p w14:paraId="7911B7A1" w14:textId="77777777" w:rsidR="000C352B" w:rsidRDefault="000C352B"/>
  </w:endnote>
  <w:endnote w:type="continuationSeparator" w:id="0">
    <w:p w14:paraId="24738917" w14:textId="77777777" w:rsidR="000C352B" w:rsidRDefault="000C352B">
      <w:r>
        <w:continuationSeparator/>
      </w:r>
    </w:p>
    <w:p w14:paraId="7F5F0AD2" w14:textId="77777777" w:rsidR="000C352B" w:rsidRDefault="000C352B"/>
    <w:p w14:paraId="7C2F27D3" w14:textId="77777777" w:rsidR="000C352B" w:rsidRDefault="000C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D5C7"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342D81EF" wp14:editId="50DE7B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A934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81EF"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11A934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48BC"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02218C4A" wp14:editId="5C0FABD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AE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8C4A"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A99AE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36E8"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0799F257" wp14:editId="37F2AA3B">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73795CDE" wp14:editId="11EC9CC6">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3D470F9A" wp14:editId="6A2E5F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2F582"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70F9A"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CD2F582"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10077369" wp14:editId="08E33FFD">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E807" w14:textId="77777777" w:rsidR="000C352B" w:rsidRPr="008F5280" w:rsidRDefault="000C352B" w:rsidP="008F5280">
      <w:pPr>
        <w:pStyle w:val="FootnoteSeparator"/>
      </w:pPr>
    </w:p>
    <w:p w14:paraId="26166096" w14:textId="77777777" w:rsidR="000C352B" w:rsidRDefault="000C352B"/>
  </w:footnote>
  <w:footnote w:type="continuationSeparator" w:id="0">
    <w:p w14:paraId="3EE7546F" w14:textId="77777777" w:rsidR="000C352B" w:rsidRDefault="000C352B" w:rsidP="008F5280">
      <w:pPr>
        <w:pStyle w:val="FootnoteSeparator"/>
      </w:pPr>
    </w:p>
    <w:p w14:paraId="4B9F0542" w14:textId="77777777" w:rsidR="000C352B" w:rsidRDefault="000C352B"/>
    <w:p w14:paraId="2E999423" w14:textId="77777777" w:rsidR="000C352B" w:rsidRDefault="000C352B"/>
  </w:footnote>
  <w:footnote w:type="continuationNotice" w:id="1">
    <w:p w14:paraId="034C5A36" w14:textId="77777777" w:rsidR="000C352B" w:rsidRDefault="000C352B" w:rsidP="00D55628"/>
    <w:p w14:paraId="232D8C15" w14:textId="77777777" w:rsidR="000C352B" w:rsidRDefault="000C352B"/>
    <w:p w14:paraId="2563B988" w14:textId="77777777" w:rsidR="000C352B" w:rsidRDefault="000C3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6FE3DEB" w14:textId="77777777" w:rsidTr="00B40C2E">
      <w:trPr>
        <w:trHeight w:hRule="exact" w:val="1418"/>
      </w:trPr>
      <w:tc>
        <w:tcPr>
          <w:tcW w:w="7761" w:type="dxa"/>
          <w:vAlign w:val="center"/>
        </w:tcPr>
        <w:p w14:paraId="0459E04B" w14:textId="4AA0A46F"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433C">
            <w:rPr>
              <w:noProof/>
            </w:rPr>
            <w:t>Customer Information Bulletin 191 September 2019</w:t>
          </w:r>
          <w:r>
            <w:rPr>
              <w:noProof/>
            </w:rPr>
            <w:fldChar w:fldCharType="end"/>
          </w:r>
        </w:p>
      </w:tc>
    </w:tr>
  </w:tbl>
  <w:p w14:paraId="629A1B56"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CC6A199" wp14:editId="3B321DA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197D7"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CA997C5" wp14:editId="61302832">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73DB1"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F82F8E2" wp14:editId="2E92AD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2397BB"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D17B092"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748EF2C1" w14:textId="77777777" w:rsidTr="00B40C2E">
      <w:trPr>
        <w:trHeight w:hRule="exact" w:val="1418"/>
      </w:trPr>
      <w:tc>
        <w:tcPr>
          <w:tcW w:w="7761" w:type="dxa"/>
          <w:vAlign w:val="center"/>
        </w:tcPr>
        <w:p w14:paraId="745B7B1D" w14:textId="559F255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433C">
            <w:rPr>
              <w:noProof/>
            </w:rPr>
            <w:t>Customer Information Bulletin 191 September 2019</w:t>
          </w:r>
          <w:r>
            <w:rPr>
              <w:noProof/>
            </w:rPr>
            <w:fldChar w:fldCharType="end"/>
          </w:r>
        </w:p>
      </w:tc>
    </w:tr>
  </w:tbl>
  <w:p w14:paraId="2B03D39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4C077E5C" wp14:editId="568766F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63BAA"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2384E506" wp14:editId="3C52D6D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1BC7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109EB9F" wp14:editId="04A11EF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CECD7"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CDA37D4"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2FFA"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03FBFA7" wp14:editId="08A86022">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E7CB27F" wp14:editId="50D88A2D">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1E39CA99" wp14:editId="2A1E18C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84F4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5FA9C29D" wp14:editId="0E9BFAF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CC27D"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10F6DDB3" wp14:editId="69A3CFF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97F26"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4C6D98C2" wp14:editId="238A318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4FA3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DFA6148"/>
    <w:multiLevelType w:val="hybridMultilevel"/>
    <w:tmpl w:val="8698F306"/>
    <w:lvl w:ilvl="0" w:tplc="BE427A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63C405E"/>
    <w:multiLevelType w:val="hybridMultilevel"/>
    <w:tmpl w:val="25D83E7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0A7908"/>
    <w:multiLevelType w:val="hybridMultilevel"/>
    <w:tmpl w:val="B19C6528"/>
    <w:lvl w:ilvl="0" w:tplc="187A70C6">
      <w:start w:val="1"/>
      <w:numFmt w:val="lowerRoman"/>
      <w:lvlText w:val="(%1)"/>
      <w:lvlJc w:val="left"/>
      <w:pPr>
        <w:ind w:left="1440" w:hanging="72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E73212"/>
    <w:multiLevelType w:val="hybridMultilevel"/>
    <w:tmpl w:val="25F6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45E95"/>
    <w:multiLevelType w:val="hybridMultilevel"/>
    <w:tmpl w:val="67825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545EC4"/>
    <w:multiLevelType w:val="multilevel"/>
    <w:tmpl w:val="4ED6B6D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0BA44FB"/>
    <w:multiLevelType w:val="hybridMultilevel"/>
    <w:tmpl w:val="2EBC2F96"/>
    <w:lvl w:ilvl="0" w:tplc="0C090011">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73737E8"/>
    <w:multiLevelType w:val="hybridMultilevel"/>
    <w:tmpl w:val="06E0FA2A"/>
    <w:lvl w:ilvl="0" w:tplc="803AC6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9C95D46"/>
    <w:multiLevelType w:val="hybridMultilevel"/>
    <w:tmpl w:val="FC36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30"/>
  </w:num>
  <w:num w:numId="4">
    <w:abstractNumId w:val="38"/>
  </w:num>
  <w:num w:numId="5">
    <w:abstractNumId w:val="17"/>
  </w:num>
  <w:num w:numId="6">
    <w:abstractNumId w:val="13"/>
  </w:num>
  <w:num w:numId="7">
    <w:abstractNumId w:val="11"/>
  </w:num>
  <w:num w:numId="8">
    <w:abstractNumId w:val="10"/>
  </w:num>
  <w:num w:numId="9">
    <w:abstractNumId w:val="34"/>
  </w:num>
  <w:num w:numId="10">
    <w:abstractNumId w:val="15"/>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3"/>
  </w:num>
  <w:num w:numId="30">
    <w:abstractNumId w:val="35"/>
  </w:num>
  <w:num w:numId="31">
    <w:abstractNumId w:val="8"/>
  </w:num>
  <w:num w:numId="32">
    <w:abstractNumId w:val="32"/>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2"/>
  </w:num>
  <w:num w:numId="46">
    <w:abstractNumId w:val="20"/>
  </w:num>
  <w:num w:numId="47">
    <w:abstractNumId w:val="37"/>
  </w:num>
  <w:num w:numId="48">
    <w:abstractNumId w:val="39"/>
  </w:num>
  <w:num w:numId="49">
    <w:abstractNumId w:val="14"/>
  </w:num>
  <w:num w:numId="50">
    <w:abstractNumId w:val="12"/>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C352B"/>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52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33C"/>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88"/>
    <w:rsid w:val="004F79B1"/>
    <w:rsid w:val="004F7CC3"/>
    <w:rsid w:val="004F7D83"/>
    <w:rsid w:val="004F7EDF"/>
    <w:rsid w:val="00500110"/>
    <w:rsid w:val="00500799"/>
    <w:rsid w:val="00500DE8"/>
    <w:rsid w:val="00501064"/>
    <w:rsid w:val="005014FC"/>
    <w:rsid w:val="005019B5"/>
    <w:rsid w:val="005019C0"/>
    <w:rsid w:val="00501CBC"/>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66"/>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47B"/>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F49"/>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978"/>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000"/>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65D"/>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A21"/>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CA5"/>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E93"/>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572"/>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05"/>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E1F"/>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5E34"/>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03"/>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FD7"/>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26E63FBE"/>
  <w15:docId w15:val="{238734CD-3149-4351-9827-F78522CE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C352B"/>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0C352B"/>
    <w:pPr>
      <w:spacing w:after="113"/>
    </w:pPr>
    <w:rPr>
      <w:rFonts w:ascii="Calibri" w:hAnsi="Calibri"/>
      <w:color w:val="auto"/>
      <w:sz w:val="22"/>
      <w:szCs w:val="24"/>
      <w:lang w:eastAsia="en-US"/>
    </w:rPr>
  </w:style>
  <w:style w:type="paragraph" w:customStyle="1" w:styleId="paragraph">
    <w:name w:val="paragraph"/>
    <w:basedOn w:val="Normal"/>
    <w:rsid w:val="000C352B"/>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0C352B"/>
  </w:style>
  <w:style w:type="character" w:customStyle="1" w:styleId="eop">
    <w:name w:val="eop"/>
    <w:basedOn w:val="DefaultParagraphFont"/>
    <w:rsid w:val="000C352B"/>
  </w:style>
  <w:style w:type="character" w:customStyle="1" w:styleId="AChar">
    <w:name w:val="A Char"/>
    <w:basedOn w:val="DefaultParagraphFont"/>
    <w:link w:val="A"/>
    <w:locked/>
    <w:rsid w:val="000C352B"/>
    <w:rPr>
      <w:rFonts w:ascii="Arial" w:eastAsia="Tahoma" w:hAnsi="Arial"/>
    </w:rPr>
  </w:style>
  <w:style w:type="paragraph" w:customStyle="1" w:styleId="A">
    <w:name w:val="A"/>
    <w:basedOn w:val="Normal"/>
    <w:link w:val="AChar"/>
    <w:qFormat/>
    <w:rsid w:val="000C352B"/>
    <w:pPr>
      <w:spacing w:after="160" w:line="256" w:lineRule="auto"/>
    </w:pPr>
    <w:rPr>
      <w:rFonts w:ascii="Arial" w:eastAsia="Tahoma" w:hAnsi="Arial"/>
    </w:rPr>
  </w:style>
  <w:style w:type="character" w:customStyle="1" w:styleId="hChar">
    <w:name w:val="h Char"/>
    <w:basedOn w:val="DefaultParagraphFont"/>
    <w:link w:val="h"/>
    <w:locked/>
    <w:rsid w:val="000C352B"/>
    <w:rPr>
      <w:rFonts w:asciiTheme="majorHAnsi" w:hAnsiTheme="majorHAnsi"/>
      <w:b/>
      <w:bCs/>
      <w:color w:val="B3272F" w:themeColor="text2"/>
      <w:kern w:val="32"/>
      <w:sz w:val="40"/>
      <w:szCs w:val="32"/>
    </w:rPr>
  </w:style>
  <w:style w:type="paragraph" w:customStyle="1" w:styleId="h">
    <w:name w:val="h"/>
    <w:basedOn w:val="Heading1"/>
    <w:link w:val="hChar"/>
    <w:qFormat/>
    <w:rsid w:val="000C352B"/>
    <w:pPr>
      <w:numPr>
        <w:numId w:val="0"/>
      </w:numPr>
      <w:spacing w:after="240"/>
    </w:pPr>
    <w:rPr>
      <w:rFonts w:asciiTheme="majorHAnsi" w:hAnsiTheme="majorHAnsi"/>
    </w:rPr>
  </w:style>
  <w:style w:type="character" w:styleId="UnresolvedMention">
    <w:name w:val="Unresolved Mention"/>
    <w:basedOn w:val="DefaultParagraphFont"/>
    <w:uiPriority w:val="99"/>
    <w:semiHidden/>
    <w:unhideWhenUsed/>
    <w:rsid w:val="00B77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r.land.vic.gov.au/spear/pages/lodging-parties/how-do-i-get-started.shtml" TargetMode="External"/><Relationship Id="rId13" Type="http://schemas.openxmlformats.org/officeDocument/2006/relationships/hyperlink" Target="http://www.arnecc.gov.au/publications" TargetMode="External"/><Relationship Id="rId18" Type="http://schemas.openxmlformats.org/officeDocument/2006/relationships/hyperlink" Target="mailto:customer.service@delwp.vic.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rnecc.gov.au/publications/mpr_guidance_notes"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ata.enquiries@victorianlrs.com.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tpli.vic.gov.au/property-and-land-titles/contact-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andata.online/" TargetMode="Externa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mailto:strataenquiries@delwp.vic.gov.au" TargetMode="External"/><Relationship Id="rId14" Type="http://schemas.openxmlformats.org/officeDocument/2006/relationships/hyperlink" Target="https://www.arnecc.gov.au/__data/assets/pdf_file/0017/1448000/subscriber-compliance-common-errors.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57A4-4E6B-4EAF-917D-9E57D533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10554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2016-09-08T07:20:00Z</cp:lastPrinted>
  <dcterms:created xsi:type="dcterms:W3CDTF">2019-09-23T23:41:00Z</dcterms:created>
  <dcterms:modified xsi:type="dcterms:W3CDTF">2019-09-23T23:41:00Z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