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1F50D8" w:rsidP="001F50D8">
            <w:pPr>
              <w:pStyle w:val="Title"/>
            </w:pPr>
            <w:bookmarkStart w:id="0" w:name="_GoBack"/>
            <w:bookmarkEnd w:id="0"/>
            <w:r>
              <w:t xml:space="preserve">Survey Audit Program – </w:t>
            </w:r>
            <w:r>
              <w:br/>
              <w:t xml:space="preserve">Categories of Audit Non-Conformances </w:t>
            </w:r>
          </w:p>
        </w:tc>
      </w:tr>
      <w:tr w:rsidR="00975ED3" w:rsidTr="003F46E9">
        <w:trPr>
          <w:trHeight w:val="1247"/>
        </w:trPr>
        <w:tc>
          <w:tcPr>
            <w:tcW w:w="7761" w:type="dxa"/>
            <w:vAlign w:val="center"/>
          </w:tcPr>
          <w:p w:rsidR="00975ED3" w:rsidRDefault="00975ED3" w:rsidP="003F46E9">
            <w:pPr>
              <w:pStyle w:val="Subtitle"/>
            </w:pPr>
          </w:p>
        </w:tc>
      </w:tr>
    </w:tbl>
    <w:p w:rsidR="00806AB6" w:rsidRDefault="00806AB6" w:rsidP="00307C36"/>
    <w:p w:rsidR="00806AB6" w:rsidRDefault="00806AB6" w:rsidP="00806AB6">
      <w:pPr>
        <w:pStyle w:val="BodyText"/>
        <w:sectPr w:rsidR="00806AB6" w:rsidSect="0033793B">
          <w:footerReference w:type="even" r:id="rId8"/>
          <w:footerReference w:type="default" r:id="rId9"/>
          <w:headerReference w:type="first" r:id="rId10"/>
          <w:footerReference w:type="first" r:id="rId11"/>
          <w:pgSz w:w="11907" w:h="16840" w:code="9"/>
          <w:pgMar w:top="2211" w:right="737" w:bottom="1758" w:left="851" w:header="284" w:footer="284" w:gutter="0"/>
          <w:cols w:space="284"/>
          <w:titlePg/>
          <w:docGrid w:linePitch="360"/>
        </w:sectPr>
      </w:pPr>
    </w:p>
    <w:p w:rsidR="00F17515" w:rsidRPr="00F17515" w:rsidRDefault="000C0782" w:rsidP="00F17515">
      <w:pPr>
        <w:pStyle w:val="IntroFeatureText"/>
      </w:pPr>
      <w:r>
        <w:t xml:space="preserve">The Office of </w:t>
      </w:r>
      <w:r w:rsidR="00F17515" w:rsidRPr="00F17515">
        <w:t xml:space="preserve">Surveyor-General Victoria undertakes a Survey Audit Program to monitor standards of surveys being lodged with Land </w:t>
      </w:r>
      <w:r>
        <w:t xml:space="preserve">Use Victoria </w:t>
      </w:r>
      <w:r w:rsidR="00F17515" w:rsidRPr="00F17515">
        <w:t xml:space="preserve">and to gauge compliance by practitioners with the </w:t>
      </w:r>
      <w:r w:rsidR="00F17515" w:rsidRPr="00F17515">
        <w:rPr>
          <w:i/>
        </w:rPr>
        <w:t>Surveying (Cadastral Surveys) Regulations 20</w:t>
      </w:r>
      <w:r>
        <w:rPr>
          <w:i/>
        </w:rPr>
        <w:t>15</w:t>
      </w:r>
      <w:r w:rsidR="00F17515" w:rsidRPr="00F17515">
        <w:t xml:space="preserve">, </w:t>
      </w:r>
      <w:r w:rsidR="00F17515" w:rsidRPr="00F17515">
        <w:rPr>
          <w:i/>
        </w:rPr>
        <w:t>Survey Co-ordination Regulations 20</w:t>
      </w:r>
      <w:r>
        <w:rPr>
          <w:i/>
        </w:rPr>
        <w:t>1</w:t>
      </w:r>
      <w:r w:rsidR="00F17515" w:rsidRPr="00F17515">
        <w:rPr>
          <w:i/>
        </w:rPr>
        <w:t>4</w:t>
      </w:r>
      <w:r w:rsidR="00F17515" w:rsidRPr="00F17515">
        <w:t xml:space="preserve"> and </w:t>
      </w:r>
      <w:r>
        <w:t xml:space="preserve">the </w:t>
      </w:r>
      <w:r w:rsidR="00F17515" w:rsidRPr="00F17515">
        <w:t xml:space="preserve">Surveyor-General </w:t>
      </w:r>
      <w:r>
        <w:t xml:space="preserve">of Victoria </w:t>
      </w:r>
      <w:r w:rsidR="00F17515" w:rsidRPr="00F17515">
        <w:t xml:space="preserve">Practice Directives.   </w:t>
      </w:r>
    </w:p>
    <w:p w:rsidR="00F17515" w:rsidRPr="00F17515" w:rsidRDefault="00F17515" w:rsidP="00F17515">
      <w:pPr>
        <w:pStyle w:val="Heading2"/>
        <w:numPr>
          <w:ilvl w:val="0"/>
          <w:numId w:val="0"/>
        </w:numPr>
      </w:pPr>
      <w:r w:rsidRPr="00F17515">
        <w:t>Serious Audit Non-Conformances</w:t>
      </w:r>
    </w:p>
    <w:p w:rsidR="00F17515" w:rsidRPr="00F17515" w:rsidRDefault="00F17515" w:rsidP="00F17515">
      <w:pPr>
        <w:rPr>
          <w:rFonts w:ascii="Arial" w:hAnsi="Arial" w:cs="Times New Roman"/>
          <w:color w:val="auto"/>
        </w:rPr>
      </w:pPr>
      <w:r w:rsidRPr="00F17515">
        <w:rPr>
          <w:rFonts w:ascii="Arial" w:hAnsi="Arial" w:cs="Times New Roman"/>
          <w:color w:val="auto"/>
        </w:rPr>
        <w:t xml:space="preserve">A survey found to have one or more serious non-conformances </w:t>
      </w:r>
      <w:r w:rsidR="00C80F9D">
        <w:rPr>
          <w:rFonts w:ascii="Arial" w:hAnsi="Arial" w:cs="Times New Roman"/>
          <w:color w:val="auto"/>
        </w:rPr>
        <w:t>(</w:t>
      </w:r>
      <w:r w:rsidR="000C0782">
        <w:rPr>
          <w:rFonts w:ascii="Arial" w:hAnsi="Arial" w:cs="Times New Roman"/>
          <w:color w:val="auto"/>
        </w:rPr>
        <w:t xml:space="preserve">or </w:t>
      </w:r>
      <w:r w:rsidRPr="00F17515">
        <w:rPr>
          <w:rFonts w:ascii="Arial" w:hAnsi="Arial" w:cs="Times New Roman"/>
          <w:color w:val="auto"/>
        </w:rPr>
        <w:t>requisitions) is given an unsatisfactory audit result. Generally, serious non-conformances are those that have an adverse impact on the cadastre. However, some are related to legislative requirements. The non-conformances considered serious are:</w:t>
      </w:r>
    </w:p>
    <w:p w:rsidR="00F17515" w:rsidRPr="00F17515" w:rsidRDefault="00F17515" w:rsidP="00F17515">
      <w:pPr>
        <w:spacing w:line="240" w:lineRule="auto"/>
        <w:rPr>
          <w:rFonts w:ascii="Arial" w:hAnsi="Arial" w:cs="Times New Roman"/>
          <w:color w:val="auto"/>
        </w:rPr>
      </w:pP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 xml:space="preserve">cadastral datum unsatisfactory </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boundaries and/or alignments adopted unsatisfactory</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boundaries defined by buildings incorrect</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missing or incorrect plan dimensions</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easement information incorrect</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measurements incorrect</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plan and/or abstract mathematically incorrect</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 xml:space="preserve">survey not connected to MGA94 </w:t>
      </w:r>
      <w:r w:rsidR="000C0782">
        <w:rPr>
          <w:rFonts w:ascii="Arial" w:hAnsi="Arial" w:cs="Times New Roman"/>
          <w:color w:val="auto"/>
        </w:rPr>
        <w:t xml:space="preserve">bearing datum </w:t>
      </w:r>
      <w:r w:rsidRPr="00F17515">
        <w:rPr>
          <w:rFonts w:ascii="Arial" w:hAnsi="Arial" w:cs="Times New Roman"/>
          <w:color w:val="auto"/>
        </w:rPr>
        <w:t>where practicable</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 xml:space="preserve">survey not connected to the required number of </w:t>
      </w:r>
      <w:r w:rsidR="000C0782">
        <w:rPr>
          <w:rFonts w:ascii="Arial" w:hAnsi="Arial" w:cs="Times New Roman"/>
          <w:color w:val="auto"/>
        </w:rPr>
        <w:t>permanent and primary cadastral marks (</w:t>
      </w:r>
      <w:r w:rsidRPr="00F17515">
        <w:rPr>
          <w:rFonts w:ascii="Arial" w:hAnsi="Arial" w:cs="Times New Roman"/>
          <w:color w:val="auto"/>
        </w:rPr>
        <w:t>PMs</w:t>
      </w:r>
      <w:r w:rsidR="000C0782">
        <w:rPr>
          <w:rFonts w:ascii="Arial" w:hAnsi="Arial" w:cs="Times New Roman"/>
          <w:color w:val="auto"/>
        </w:rPr>
        <w:t xml:space="preserve"> and </w:t>
      </w:r>
      <w:r w:rsidRPr="00F17515">
        <w:rPr>
          <w:rFonts w:ascii="Arial" w:hAnsi="Arial" w:cs="Times New Roman"/>
          <w:color w:val="auto"/>
        </w:rPr>
        <w:t>PCMs</w:t>
      </w:r>
      <w:r w:rsidR="000C0782">
        <w:rPr>
          <w:rFonts w:ascii="Arial" w:hAnsi="Arial" w:cs="Times New Roman"/>
          <w:color w:val="auto"/>
        </w:rPr>
        <w:t>)</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boundaries not marked on the ground where practicable</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boundaries inaccurately marked on the ground</w:t>
      </w:r>
    </w:p>
    <w:p w:rsidR="00F17515" w:rsidRPr="00F17515" w:rsidRDefault="00F17515" w:rsidP="00F17515">
      <w:pPr>
        <w:numPr>
          <w:ilvl w:val="0"/>
          <w:numId w:val="44"/>
        </w:numPr>
        <w:spacing w:line="240" w:lineRule="auto"/>
        <w:rPr>
          <w:rFonts w:ascii="Arial" w:hAnsi="Arial" w:cs="Times New Roman"/>
          <w:color w:val="auto"/>
        </w:rPr>
      </w:pPr>
      <w:r w:rsidRPr="00F17515">
        <w:rPr>
          <w:rFonts w:ascii="Arial" w:hAnsi="Arial" w:cs="Times New Roman"/>
          <w:color w:val="auto"/>
        </w:rPr>
        <w:t>inadequate explanation of adopted boundaries and alignments in the report</w:t>
      </w:r>
    </w:p>
    <w:p w:rsidR="00F17515" w:rsidRPr="00F17515" w:rsidRDefault="00F17515" w:rsidP="00F17515">
      <w:pPr>
        <w:spacing w:line="240" w:lineRule="auto"/>
        <w:rPr>
          <w:rFonts w:ascii="Arial" w:hAnsi="Arial" w:cs="Times New Roman"/>
          <w:color w:val="auto"/>
        </w:rPr>
      </w:pPr>
    </w:p>
    <w:p w:rsidR="00F17515" w:rsidRPr="00F17515" w:rsidRDefault="00F17515" w:rsidP="00F17515">
      <w:pPr>
        <w:spacing w:line="240" w:lineRule="auto"/>
        <w:rPr>
          <w:rFonts w:ascii="Arial" w:hAnsi="Arial" w:cs="Times New Roman"/>
          <w:color w:val="auto"/>
        </w:rPr>
      </w:pPr>
      <w:r w:rsidRPr="00F17515">
        <w:rPr>
          <w:rFonts w:ascii="Arial" w:hAnsi="Arial" w:cs="Times New Roman"/>
          <w:i/>
          <w:color w:val="auto"/>
        </w:rPr>
        <w:t xml:space="preserve">Note that some </w:t>
      </w:r>
      <w:r w:rsidRPr="00F17515">
        <w:rPr>
          <w:rFonts w:ascii="Arial" w:hAnsi="Arial" w:cs="Times New Roman"/>
          <w:i/>
          <w:snapToGrid w:val="0"/>
          <w:color w:val="000000"/>
          <w:lang w:eastAsia="en-US"/>
        </w:rPr>
        <w:t xml:space="preserve">of the non-conformances listed above can also be classified as non-serious, depending on the individual situation.  For example, an incorrect measurement to a datum point </w:t>
      </w:r>
      <w:r w:rsidR="000C0782">
        <w:rPr>
          <w:rFonts w:ascii="Arial" w:hAnsi="Arial" w:cs="Times New Roman"/>
          <w:i/>
          <w:snapToGrid w:val="0"/>
          <w:color w:val="000000"/>
          <w:lang w:eastAsia="en-US"/>
        </w:rPr>
        <w:t xml:space="preserve">which affects the </w:t>
      </w:r>
      <w:r w:rsidR="009C3CD5">
        <w:rPr>
          <w:rFonts w:ascii="Arial" w:hAnsi="Arial" w:cs="Times New Roman"/>
          <w:i/>
          <w:snapToGrid w:val="0"/>
          <w:color w:val="000000"/>
          <w:lang w:eastAsia="en-US"/>
        </w:rPr>
        <w:t>accuracy</w:t>
      </w:r>
      <w:r w:rsidR="000C0782">
        <w:rPr>
          <w:rFonts w:ascii="Arial" w:hAnsi="Arial" w:cs="Times New Roman"/>
          <w:i/>
          <w:snapToGrid w:val="0"/>
          <w:color w:val="000000"/>
          <w:lang w:eastAsia="en-US"/>
        </w:rPr>
        <w:t xml:space="preserve"> of boundary determination</w:t>
      </w:r>
      <w:r w:rsidR="00AE4A69">
        <w:rPr>
          <w:rFonts w:ascii="Arial" w:hAnsi="Arial" w:cs="Times New Roman"/>
          <w:i/>
          <w:snapToGrid w:val="0"/>
          <w:color w:val="000000"/>
          <w:lang w:eastAsia="en-US"/>
        </w:rPr>
        <w:t>s</w:t>
      </w:r>
      <w:r w:rsidR="000C0782">
        <w:rPr>
          <w:rFonts w:ascii="Arial" w:hAnsi="Arial" w:cs="Times New Roman"/>
          <w:i/>
          <w:snapToGrid w:val="0"/>
          <w:color w:val="000000"/>
          <w:lang w:eastAsia="en-US"/>
        </w:rPr>
        <w:t xml:space="preserve"> </w:t>
      </w:r>
      <w:r w:rsidRPr="00F17515">
        <w:rPr>
          <w:rFonts w:ascii="Arial" w:hAnsi="Arial" w:cs="Times New Roman"/>
          <w:i/>
          <w:snapToGrid w:val="0"/>
          <w:color w:val="000000"/>
          <w:lang w:eastAsia="en-US"/>
        </w:rPr>
        <w:t>is considered serious while an incorrect kerb measurement is not considered serious.</w:t>
      </w:r>
    </w:p>
    <w:p w:rsidR="00F17515" w:rsidRPr="00F17515" w:rsidRDefault="00F17515" w:rsidP="00F17515">
      <w:pPr>
        <w:pStyle w:val="Heading2"/>
        <w:tabs>
          <w:tab w:val="left" w:pos="1036"/>
        </w:tabs>
      </w:pPr>
      <w:r w:rsidRPr="00F17515">
        <w:t>Non-Serious Audit Non-Conformances</w:t>
      </w:r>
    </w:p>
    <w:p w:rsidR="00F17515" w:rsidRPr="00050253" w:rsidRDefault="00F17515" w:rsidP="00F17515">
      <w:pPr>
        <w:pStyle w:val="Heading2"/>
      </w:pPr>
      <w:r w:rsidRPr="000C0782">
        <w:rPr>
          <w:rFonts w:cs="Times New Roman"/>
          <w:b w:val="0"/>
          <w:color w:val="auto"/>
          <w:sz w:val="20"/>
          <w:lang w:eastAsia="en-US"/>
        </w:rPr>
        <w:t xml:space="preserve">A survey found to have </w:t>
      </w:r>
      <w:r w:rsidR="00D91282">
        <w:rPr>
          <w:rFonts w:cs="Times New Roman"/>
          <w:b w:val="0"/>
          <w:color w:val="auto"/>
          <w:sz w:val="20"/>
          <w:lang w:eastAsia="en-US"/>
        </w:rPr>
        <w:t>10</w:t>
      </w:r>
      <w:r w:rsidRPr="000C0782">
        <w:rPr>
          <w:rFonts w:cs="Times New Roman"/>
          <w:b w:val="0"/>
          <w:color w:val="auto"/>
          <w:sz w:val="20"/>
          <w:lang w:eastAsia="en-US"/>
        </w:rPr>
        <w:t xml:space="preserve"> or more non-serious audit non-conformances is generally given an unsatisfactory audit result. The categories of non-serious audit non-conformances are:</w:t>
      </w:r>
      <w:r w:rsidRPr="000C0782">
        <w:rPr>
          <w:color w:val="auto"/>
        </w:rPr>
        <w:t xml:space="preserve"> </w:t>
      </w:r>
      <w:r w:rsidRPr="000C0782">
        <w:rPr>
          <w:color w:val="auto"/>
        </w:rPr>
        <w:br/>
      </w:r>
      <w:r>
        <w:br/>
      </w:r>
      <w:r w:rsidR="00387FDA" w:rsidRPr="00226765">
        <w:rPr>
          <w:sz w:val="20"/>
          <w:szCs w:val="20"/>
        </w:rPr>
        <w:t>Abstract of Field Records</w:t>
      </w:r>
      <w:r w:rsidR="00387FDA">
        <w:t xml:space="preserve"> </w:t>
      </w:r>
    </w:p>
    <w:p w:rsidR="00F17515" w:rsidRPr="00F17515" w:rsidRDefault="00F17515" w:rsidP="00F17515">
      <w:pPr>
        <w:numPr>
          <w:ilvl w:val="0"/>
          <w:numId w:val="45"/>
        </w:numPr>
        <w:rPr>
          <w:rFonts w:cstheme="minorHAnsi"/>
          <w:snapToGrid w:val="0"/>
          <w:color w:val="000000"/>
          <w:lang w:eastAsia="en-US"/>
        </w:rPr>
      </w:pPr>
      <w:r w:rsidRPr="00F17515">
        <w:rPr>
          <w:rFonts w:cstheme="minorHAnsi"/>
          <w:snapToGrid w:val="0"/>
          <w:color w:val="000000"/>
          <w:lang w:eastAsia="en-US"/>
        </w:rPr>
        <w:t>omissions and/or transcription errors</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Crown description, street names, abuttals, notations or north point incorrect</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certification incorrect</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marks placed and located, including boundary marks, not described</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fencing inaccurately described and/or depicted</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 xml:space="preserve">drafting not in accordance with the </w:t>
      </w:r>
      <w:r w:rsidRPr="00F17515">
        <w:rPr>
          <w:rFonts w:cstheme="minorHAnsi"/>
          <w:i/>
          <w:snapToGrid w:val="0"/>
          <w:color w:val="000000"/>
          <w:lang w:eastAsia="en-US"/>
        </w:rPr>
        <w:t>Survey Practice Handbook</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lastRenderedPageBreak/>
        <w:t>PCMs not of an appropriate standard or numbered incorrectly</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registered numbers of PMs missing</w:t>
      </w:r>
    </w:p>
    <w:p w:rsidR="00F17515" w:rsidRPr="00F17515" w:rsidRDefault="00F17515" w:rsidP="00F17515">
      <w:pPr>
        <w:numPr>
          <w:ilvl w:val="0"/>
          <w:numId w:val="45"/>
        </w:numPr>
        <w:spacing w:line="240" w:lineRule="auto"/>
        <w:rPr>
          <w:rFonts w:cstheme="minorHAnsi"/>
          <w:snapToGrid w:val="0"/>
          <w:color w:val="000000"/>
          <w:lang w:eastAsia="en-US"/>
        </w:rPr>
      </w:pPr>
      <w:r w:rsidRPr="00F17515">
        <w:rPr>
          <w:rFonts w:cstheme="minorHAnsi"/>
          <w:snapToGrid w:val="0"/>
          <w:color w:val="000000"/>
          <w:lang w:eastAsia="en-US"/>
        </w:rPr>
        <w:t>extent of survey insufficient.</w:t>
      </w:r>
    </w:p>
    <w:p w:rsidR="00F17515" w:rsidRPr="00226765" w:rsidRDefault="00C80F9D" w:rsidP="00F17515">
      <w:pPr>
        <w:pStyle w:val="Heading2"/>
        <w:rPr>
          <w:rFonts w:cs="Times New Roman"/>
          <w:sz w:val="20"/>
          <w:szCs w:val="20"/>
          <w:lang w:eastAsia="en-US"/>
        </w:rPr>
      </w:pPr>
      <w:r>
        <w:rPr>
          <w:rFonts w:cs="Times New Roman"/>
          <w:sz w:val="20"/>
          <w:szCs w:val="20"/>
          <w:lang w:eastAsia="en-US"/>
        </w:rPr>
        <w:t>Licensed Surveyor’s Report</w:t>
      </w:r>
    </w:p>
    <w:p w:rsidR="00F17515" w:rsidRPr="000C0782" w:rsidRDefault="00F17515" w:rsidP="00F17515">
      <w:pPr>
        <w:pStyle w:val="BodyText"/>
        <w:numPr>
          <w:ilvl w:val="0"/>
          <w:numId w:val="45"/>
        </w:numPr>
        <w:spacing w:before="0" w:after="0" w:line="240" w:lineRule="auto"/>
        <w:ind w:left="357" w:hanging="357"/>
        <w:rPr>
          <w:color w:val="auto"/>
        </w:rPr>
      </w:pPr>
      <w:r w:rsidRPr="000C0782">
        <w:rPr>
          <w:color w:val="auto"/>
        </w:rPr>
        <w:t xml:space="preserve">non-compliance with Regulation 15, </w:t>
      </w:r>
      <w:r w:rsidRPr="000C0782">
        <w:rPr>
          <w:i/>
          <w:color w:val="auto"/>
        </w:rPr>
        <w:t>Surveying (Cadastral Surveys) Regulations 20</w:t>
      </w:r>
      <w:r w:rsidR="000C0782" w:rsidRPr="000C0782">
        <w:rPr>
          <w:i/>
          <w:color w:val="auto"/>
        </w:rPr>
        <w:t>15</w:t>
      </w:r>
      <w:r w:rsidRPr="000C0782">
        <w:rPr>
          <w:color w:val="auto"/>
        </w:rPr>
        <w:t xml:space="preserve"> </w:t>
      </w:r>
    </w:p>
    <w:p w:rsidR="00F17515" w:rsidRPr="000C0782" w:rsidRDefault="00F17515" w:rsidP="00F17515">
      <w:pPr>
        <w:pStyle w:val="BodyText"/>
        <w:numPr>
          <w:ilvl w:val="0"/>
          <w:numId w:val="45"/>
        </w:numPr>
        <w:spacing w:before="0" w:after="0" w:line="240" w:lineRule="auto"/>
        <w:ind w:left="357" w:hanging="357"/>
        <w:rPr>
          <w:color w:val="auto"/>
        </w:rPr>
      </w:pPr>
      <w:r w:rsidRPr="000C0782">
        <w:rPr>
          <w:color w:val="auto"/>
        </w:rPr>
        <w:t>other information incorrect</w:t>
      </w:r>
    </w:p>
    <w:p w:rsidR="00F17515" w:rsidRPr="000C0782" w:rsidRDefault="00F17515" w:rsidP="00F17515">
      <w:pPr>
        <w:pStyle w:val="BodyText"/>
        <w:numPr>
          <w:ilvl w:val="0"/>
          <w:numId w:val="45"/>
        </w:numPr>
        <w:spacing w:before="0" w:after="0" w:line="240" w:lineRule="auto"/>
        <w:ind w:left="357" w:hanging="357"/>
        <w:rPr>
          <w:color w:val="auto"/>
        </w:rPr>
      </w:pPr>
      <w:r w:rsidRPr="000C0782">
        <w:rPr>
          <w:color w:val="auto"/>
        </w:rPr>
        <w:t>omissions and/or transcription errors.</w:t>
      </w:r>
    </w:p>
    <w:p w:rsidR="001F50D8" w:rsidRPr="00226765" w:rsidRDefault="001F50D8" w:rsidP="001F50D8">
      <w:pPr>
        <w:pStyle w:val="Heading2"/>
        <w:rPr>
          <w:rFonts w:cs="Times New Roman"/>
          <w:sz w:val="20"/>
          <w:szCs w:val="20"/>
          <w:lang w:eastAsia="en-US"/>
        </w:rPr>
      </w:pPr>
      <w:r w:rsidRPr="00226765">
        <w:rPr>
          <w:rFonts w:cs="Times New Roman"/>
          <w:sz w:val="20"/>
          <w:szCs w:val="20"/>
          <w:lang w:eastAsia="en-US"/>
        </w:rPr>
        <w:t xml:space="preserve">Plan </w:t>
      </w:r>
    </w:p>
    <w:p w:rsidR="00F17515" w:rsidRPr="00F17515" w:rsidRDefault="00F17515" w:rsidP="00F17515">
      <w:pPr>
        <w:numPr>
          <w:ilvl w:val="0"/>
          <w:numId w:val="43"/>
        </w:numPr>
        <w:spacing w:line="240" w:lineRule="auto"/>
        <w:rPr>
          <w:rFonts w:ascii="Arial" w:hAnsi="Arial" w:cs="Times New Roman"/>
          <w:snapToGrid w:val="0"/>
          <w:color w:val="000000"/>
          <w:lang w:eastAsia="en-US"/>
        </w:rPr>
      </w:pPr>
      <w:r w:rsidRPr="00F17515">
        <w:rPr>
          <w:rFonts w:ascii="Arial" w:hAnsi="Arial" w:cs="Times New Roman"/>
          <w:snapToGrid w:val="0"/>
          <w:color w:val="000000"/>
          <w:lang w:eastAsia="en-US"/>
        </w:rPr>
        <w:t>drafting standard unsatisfactory</w:t>
      </w:r>
    </w:p>
    <w:p w:rsidR="00F17515" w:rsidRPr="00F17515" w:rsidRDefault="00F17515" w:rsidP="00F17515">
      <w:pPr>
        <w:numPr>
          <w:ilvl w:val="0"/>
          <w:numId w:val="43"/>
        </w:numPr>
        <w:spacing w:line="240" w:lineRule="auto"/>
        <w:rPr>
          <w:rFonts w:ascii="Arial" w:hAnsi="Arial" w:cs="Times New Roman"/>
          <w:snapToGrid w:val="0"/>
          <w:color w:val="000000"/>
          <w:lang w:eastAsia="en-US"/>
        </w:rPr>
      </w:pPr>
      <w:r w:rsidRPr="00F17515">
        <w:rPr>
          <w:rFonts w:ascii="Arial" w:hAnsi="Arial" w:cs="Times New Roman"/>
          <w:snapToGrid w:val="0"/>
          <w:color w:val="000000"/>
          <w:lang w:eastAsia="en-US"/>
        </w:rPr>
        <w:t>diagram plotted incorrectly</w:t>
      </w:r>
    </w:p>
    <w:p w:rsidR="00F17515" w:rsidRDefault="00F17515" w:rsidP="00F17515">
      <w:pPr>
        <w:numPr>
          <w:ilvl w:val="0"/>
          <w:numId w:val="43"/>
        </w:numPr>
        <w:spacing w:line="240" w:lineRule="auto"/>
        <w:rPr>
          <w:rFonts w:ascii="Arial" w:hAnsi="Arial" w:cs="Times New Roman"/>
          <w:snapToGrid w:val="0"/>
          <w:color w:val="000000"/>
          <w:lang w:eastAsia="en-US"/>
        </w:rPr>
      </w:pPr>
      <w:r w:rsidRPr="00F17515">
        <w:rPr>
          <w:rFonts w:ascii="Arial" w:hAnsi="Arial" w:cs="Times New Roman"/>
          <w:snapToGrid w:val="0"/>
          <w:color w:val="000000"/>
          <w:lang w:eastAsia="en-US"/>
        </w:rPr>
        <w:t>dimensions incorrectly rounded</w:t>
      </w:r>
    </w:p>
    <w:p w:rsidR="000C0782" w:rsidRPr="00F17515" w:rsidRDefault="000C0782" w:rsidP="00F17515">
      <w:pPr>
        <w:numPr>
          <w:ilvl w:val="0"/>
          <w:numId w:val="43"/>
        </w:numPr>
        <w:spacing w:line="240" w:lineRule="auto"/>
        <w:rPr>
          <w:rFonts w:ascii="Arial" w:hAnsi="Arial" w:cs="Times New Roman"/>
          <w:snapToGrid w:val="0"/>
          <w:color w:val="000000"/>
          <w:lang w:eastAsia="en-US"/>
        </w:rPr>
      </w:pPr>
      <w:r>
        <w:rPr>
          <w:rFonts w:ascii="Arial" w:hAnsi="Arial" w:cs="Times New Roman"/>
          <w:snapToGrid w:val="0"/>
          <w:color w:val="000000"/>
          <w:lang w:eastAsia="en-US"/>
        </w:rPr>
        <w:t>building boundaries described or labelled incorrectly</w:t>
      </w:r>
    </w:p>
    <w:p w:rsidR="00F17515" w:rsidRPr="00F17515" w:rsidRDefault="00F17515" w:rsidP="00F17515">
      <w:pPr>
        <w:numPr>
          <w:ilvl w:val="0"/>
          <w:numId w:val="43"/>
        </w:numPr>
        <w:spacing w:line="240" w:lineRule="auto"/>
        <w:rPr>
          <w:rFonts w:ascii="Arial" w:hAnsi="Arial" w:cs="Times New Roman"/>
          <w:snapToGrid w:val="0"/>
          <w:color w:val="000000"/>
          <w:lang w:eastAsia="en-US"/>
        </w:rPr>
      </w:pPr>
      <w:r w:rsidRPr="00F17515">
        <w:rPr>
          <w:rFonts w:ascii="Arial" w:hAnsi="Arial" w:cs="Times New Roman"/>
          <w:snapToGrid w:val="0"/>
          <w:color w:val="000000"/>
          <w:lang w:eastAsia="en-US"/>
        </w:rPr>
        <w:t>building cross-se</w:t>
      </w:r>
      <w:r w:rsidR="000C0782">
        <w:rPr>
          <w:rFonts w:ascii="Arial" w:hAnsi="Arial" w:cs="Times New Roman"/>
          <w:snapToGrid w:val="0"/>
          <w:color w:val="000000"/>
          <w:lang w:eastAsia="en-US"/>
        </w:rPr>
        <w:t xml:space="preserve">ctions missing or incorrect </w:t>
      </w:r>
    </w:p>
    <w:p w:rsidR="00F17515" w:rsidRPr="00F17515" w:rsidRDefault="00F17515" w:rsidP="00F17515">
      <w:pPr>
        <w:numPr>
          <w:ilvl w:val="0"/>
          <w:numId w:val="43"/>
        </w:numPr>
        <w:spacing w:line="240" w:lineRule="auto"/>
        <w:rPr>
          <w:rFonts w:ascii="Arial" w:hAnsi="Arial" w:cs="Times New Roman"/>
          <w:snapToGrid w:val="0"/>
          <w:color w:val="000000"/>
          <w:lang w:eastAsia="en-US"/>
        </w:rPr>
      </w:pPr>
      <w:r w:rsidRPr="00F17515">
        <w:rPr>
          <w:rFonts w:ascii="Arial" w:hAnsi="Arial" w:cs="Times New Roman"/>
          <w:snapToGrid w:val="0"/>
          <w:color w:val="000000"/>
          <w:lang w:eastAsia="en-US"/>
        </w:rPr>
        <w:t>notations, street names, abuttals, parcel numbering incorrect</w:t>
      </w:r>
    </w:p>
    <w:p w:rsidR="00F17515" w:rsidRPr="00F17515" w:rsidRDefault="00F17515" w:rsidP="00F17515">
      <w:pPr>
        <w:numPr>
          <w:ilvl w:val="0"/>
          <w:numId w:val="43"/>
        </w:numPr>
        <w:spacing w:line="240" w:lineRule="auto"/>
        <w:rPr>
          <w:rFonts w:ascii="Arial" w:hAnsi="Arial" w:cs="Times New Roman"/>
          <w:snapToGrid w:val="0"/>
          <w:color w:val="000000"/>
          <w:lang w:eastAsia="en-US"/>
        </w:rPr>
      </w:pPr>
      <w:r w:rsidRPr="00F17515">
        <w:rPr>
          <w:rFonts w:ascii="Arial" w:hAnsi="Arial" w:cs="Times New Roman"/>
          <w:snapToGrid w:val="0"/>
          <w:color w:val="000000"/>
          <w:lang w:eastAsia="en-US"/>
        </w:rPr>
        <w:t>omissions and/or transcription errors.</w:t>
      </w:r>
    </w:p>
    <w:p w:rsidR="00F17515" w:rsidRDefault="00F17515" w:rsidP="00F17515">
      <w:pPr>
        <w:pStyle w:val="BodyText"/>
        <w:spacing w:line="240" w:lineRule="auto"/>
        <w:ind w:left="360"/>
      </w:pPr>
    </w:p>
    <w:p w:rsidR="006E1C8D" w:rsidRDefault="006E1C8D" w:rsidP="00F12070">
      <w:pPr>
        <w:pStyle w:val="BodyText"/>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33793B">
        <w:trPr>
          <w:trHeight w:val="2608"/>
        </w:trPr>
        <w:tc>
          <w:tcPr>
            <w:tcW w:w="5216" w:type="dxa"/>
            <w:shd w:val="clear" w:color="auto" w:fill="auto"/>
          </w:tcPr>
          <w:p w:rsidR="00001E86" w:rsidRDefault="00001E86" w:rsidP="0033793B">
            <w:pPr>
              <w:pStyle w:val="SmallBodyText"/>
            </w:pPr>
            <w:r>
              <w:t xml:space="preserve">© </w:t>
            </w:r>
            <w:r w:rsidRPr="00405DE3">
              <w:t xml:space="preserve">The State of Victoria Department of Environment, Land, </w:t>
            </w:r>
            <w:r w:rsidRPr="00C255C2">
              <w:t>Water</w:t>
            </w:r>
            <w:r w:rsidRPr="00405DE3">
              <w:t xml:space="preserve"> and Planning </w:t>
            </w:r>
            <w:r w:rsidR="00D91282">
              <w:t>2017</w:t>
            </w:r>
          </w:p>
          <w:p w:rsidR="00001E86" w:rsidRDefault="00001E86" w:rsidP="0033793B">
            <w:pPr>
              <w:pStyle w:val="SmallBodyText"/>
            </w:pPr>
            <w:r>
              <w:rPr>
                <w:noProof/>
              </w:rPr>
              <w:drawing>
                <wp:anchor distT="0" distB="0" distL="114300" distR="36195" simplePos="0" relativeHeight="251656192" behindDoc="0" locked="1" layoutInCell="1" allowOverlap="1" wp14:anchorId="4753A8E2" wp14:editId="6F82C422">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33793B">
            <w:pPr>
              <w:pStyle w:val="SmallHeading"/>
            </w:pPr>
            <w:r w:rsidRPr="00C255C2">
              <w:t>Disclaimer</w:t>
            </w:r>
          </w:p>
          <w:p w:rsidR="00001E86" w:rsidRDefault="00E97294" w:rsidP="0033793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33793B">
            <w:pPr>
              <w:pStyle w:val="xAccessibilityHeading"/>
            </w:pPr>
            <w:bookmarkStart w:id="4" w:name="_Accessibility"/>
            <w:bookmarkEnd w:id="4"/>
            <w:r w:rsidRPr="00E97294">
              <w:t>Accessibility</w:t>
            </w:r>
          </w:p>
          <w:p w:rsidR="00001E86" w:rsidRDefault="00001E86" w:rsidP="0033793B">
            <w:pPr>
              <w:pStyle w:val="xAccessibilityText"/>
            </w:pPr>
            <w:r>
              <w:t>If you would like to receive this publication in an alternative format, please telephone the DELWP Customer Service Centre on 136186, email </w:t>
            </w:r>
            <w:hyperlink r:id="rId13" w:history="1">
              <w:r w:rsidRPr="003C5C56">
                <w:t>customer.service@delwp.vic.gov.au</w:t>
              </w:r>
            </w:hyperlink>
            <w:r>
              <w:t xml:space="preserve">, or via the National Relay Service on 133 677 </w:t>
            </w:r>
            <w:hyperlink r:id="rId14" w:history="1">
              <w:r w:rsidRPr="00AE3298">
                <w:t>www.relayservice.com.au</w:t>
              </w:r>
            </w:hyperlink>
            <w:r>
              <w:t xml:space="preserve">. This document is also available on the internet at </w:t>
            </w:r>
            <w:hyperlink r:id="rId15" w:history="1">
              <w:r w:rsidRPr="00AE3298">
                <w:t>www.delwp.vic.gov.au</w:t>
              </w:r>
            </w:hyperlink>
            <w:r>
              <w:t xml:space="preserve">. </w:t>
            </w:r>
          </w:p>
          <w:p w:rsidR="00001E86" w:rsidRDefault="00001E86" w:rsidP="0033793B">
            <w:pPr>
              <w:pStyle w:val="SmallBodyText"/>
            </w:pPr>
          </w:p>
        </w:tc>
      </w:tr>
    </w:tbl>
    <w:p w:rsidR="004C6213" w:rsidRPr="0033793B" w:rsidRDefault="004C6213" w:rsidP="000C0782">
      <w:pPr>
        <w:pStyle w:val="SmallBodyText"/>
        <w:rPr>
          <w:sz w:val="16"/>
          <w:szCs w:val="16"/>
        </w:rPr>
      </w:pPr>
    </w:p>
    <w:sectPr w:rsidR="004C6213" w:rsidRPr="0033793B" w:rsidSect="000D3992">
      <w:type w:val="continuous"/>
      <w:pgSz w:w="11907" w:h="16840" w:code="9"/>
      <w:pgMar w:top="2211" w:right="851" w:bottom="1758" w:left="851" w:header="284" w:footer="284" w:gutter="0"/>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A52" w:rsidRDefault="00574A52">
      <w:r>
        <w:separator/>
      </w:r>
    </w:p>
    <w:p w:rsidR="00574A52" w:rsidRDefault="00574A52"/>
    <w:p w:rsidR="00574A52" w:rsidRDefault="00574A52"/>
  </w:endnote>
  <w:endnote w:type="continuationSeparator" w:id="0">
    <w:p w:rsidR="00574A52" w:rsidRDefault="00574A52">
      <w:r>
        <w:continuationSeparator/>
      </w:r>
    </w:p>
    <w:p w:rsidR="00574A52" w:rsidRDefault="00574A52"/>
    <w:p w:rsidR="00574A52" w:rsidRDefault="00574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304E258" wp14:editId="5D6C1E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4E258"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17CEF793" wp14:editId="79FC7799">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EF79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13C5EC4" wp14:editId="440C5EF8">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C5EC4"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9A41ACD" wp14:editId="17A4E19F">
          <wp:simplePos x="0" y="0"/>
          <wp:positionH relativeFrom="page">
            <wp:align>right</wp:align>
          </wp:positionH>
          <wp:positionV relativeFrom="page">
            <wp:align>bottom</wp:align>
          </wp:positionV>
          <wp:extent cx="2422800" cy="108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A52" w:rsidRPr="008F5280" w:rsidRDefault="00574A52" w:rsidP="008F5280">
      <w:pPr>
        <w:pStyle w:val="FootnoteSeparator"/>
      </w:pPr>
    </w:p>
    <w:p w:rsidR="00574A52" w:rsidRDefault="00574A52"/>
  </w:footnote>
  <w:footnote w:type="continuationSeparator" w:id="0">
    <w:p w:rsidR="00574A52" w:rsidRDefault="00574A52" w:rsidP="008F5280">
      <w:pPr>
        <w:pStyle w:val="FootnoteSeparator"/>
      </w:pPr>
    </w:p>
    <w:p w:rsidR="00574A52" w:rsidRDefault="00574A52"/>
    <w:p w:rsidR="00574A52" w:rsidRDefault="00574A52"/>
  </w:footnote>
  <w:footnote w:type="continuationNotice" w:id="1">
    <w:p w:rsidR="00574A52" w:rsidRDefault="00574A52" w:rsidP="00D55628"/>
    <w:p w:rsidR="00574A52" w:rsidRDefault="00574A52"/>
    <w:p w:rsidR="00574A52" w:rsidRDefault="00574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6585276F" wp14:editId="4046BB1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A0E4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4846587" wp14:editId="1637D5C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8340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710A56E" wp14:editId="54A7560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510F6"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29B7DE4" wp14:editId="123974A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0A92EC"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AA60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AD85F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D8217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2EC0CC3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0"/>
  </w:num>
  <w:num w:numId="3">
    <w:abstractNumId w:val="27"/>
  </w:num>
  <w:num w:numId="4">
    <w:abstractNumId w:val="34"/>
  </w:num>
  <w:num w:numId="5">
    <w:abstractNumId w:val="17"/>
  </w:num>
  <w:num w:numId="6">
    <w:abstractNumId w:val="12"/>
  </w:num>
  <w:num w:numId="7">
    <w:abstractNumId w:val="11"/>
  </w:num>
  <w:num w:numId="8">
    <w:abstractNumId w:val="10"/>
  </w:num>
  <w:num w:numId="9">
    <w:abstractNumId w:val="31"/>
  </w:num>
  <w:num w:numId="10">
    <w:abstractNumId w:val="13"/>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6"/>
  </w:num>
  <w:num w:numId="44">
    <w:abstractNumId w:val="18"/>
  </w:num>
  <w:num w:numId="4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3B199C"/>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782"/>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99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0D8"/>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765"/>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87FDA"/>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99C"/>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2"/>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43"/>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1D"/>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4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D5"/>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A69"/>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9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282"/>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15"/>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5:docId w15:val="{460393B0-2526-49A5-8AB8-AE85A889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793B"/>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ustomer.service@delwp.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elwp.vic.gov.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03\AppData\Roaming\Microsoft\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7775-624A-422D-A6F7-A81C160D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1pp template.dotm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Marangos</dc:creator>
  <cp:lastModifiedBy>Penelope Vallentine (DELWP)</cp:lastModifiedBy>
  <cp:revision>2</cp:revision>
  <cp:lastPrinted>2017-01-29T21:47:00Z</cp:lastPrinted>
  <dcterms:created xsi:type="dcterms:W3CDTF">2020-10-13T00:57:00Z</dcterms:created>
  <dcterms:modified xsi:type="dcterms:W3CDTF">2020-10-13T00:57:00Z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