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E4" w:rsidRPr="004B25E4" w:rsidRDefault="004B25E4" w:rsidP="00136A62">
      <w:pPr>
        <w:pStyle w:val="HA"/>
        <w:rPr>
          <w:sz w:val="28"/>
          <w:szCs w:val="28"/>
        </w:rPr>
      </w:pPr>
    </w:p>
    <w:p w:rsidR="00644C88" w:rsidRDefault="001F7FE6" w:rsidP="00136A62">
      <w:pPr>
        <w:pStyle w:val="HA"/>
      </w:pPr>
      <w:r w:rsidRPr="001F7FE6">
        <w:t>Lodging fees from 1 July 2016</w:t>
      </w:r>
    </w:p>
    <w:tbl>
      <w:tblPr>
        <w:tblpPr w:leftFromText="181" w:rightFromText="181" w:tblpY="-906"/>
        <w:tblW w:w="9904" w:type="dxa"/>
        <w:tblLook w:val="01E0" w:firstRow="1" w:lastRow="1" w:firstColumn="1" w:lastColumn="1" w:noHBand="0" w:noVBand="0"/>
      </w:tblPr>
      <w:tblGrid>
        <w:gridCol w:w="9904"/>
      </w:tblGrid>
      <w:tr w:rsidR="00F74678" w:rsidRPr="00F74678" w:rsidTr="005123FB">
        <w:trPr>
          <w:trHeight w:hRule="exact" w:val="2410"/>
        </w:trPr>
        <w:tc>
          <w:tcPr>
            <w:tcW w:w="9904" w:type="dxa"/>
            <w:shd w:val="clear" w:color="auto" w:fill="auto"/>
          </w:tcPr>
          <w:p w:rsidR="00F74678" w:rsidRDefault="00A26A7D" w:rsidP="005123FB">
            <w:pPr>
              <w:pStyle w:val="CertHBWhite"/>
            </w:pPr>
            <w:r>
              <w:t>Land Victoria</w:t>
            </w:r>
          </w:p>
          <w:p w:rsidR="00A26A7D" w:rsidRPr="00DE5117" w:rsidRDefault="005123FB" w:rsidP="005123FB">
            <w:pPr>
              <w:pStyle w:val="CertHBWhite"/>
            </w:pPr>
            <w:r>
              <w:rPr>
                <w:noProof/>
                <w:lang w:eastAsia="en-AU"/>
              </w:rPr>
              <mc:AlternateContent>
                <mc:Choice Requires="wps">
                  <w:drawing>
                    <wp:anchor distT="0" distB="0" distL="114300" distR="114300" simplePos="0" relativeHeight="251657728" behindDoc="0" locked="0" layoutInCell="1" allowOverlap="1" wp14:anchorId="00A98498" wp14:editId="02507165">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7D7" w:rsidRPr="00887805" w:rsidRDefault="006A17D7" w:rsidP="00B87CF6">
                                  <w:pPr>
                                    <w:pStyle w:val="CertHDWhite"/>
                                  </w:pPr>
                                  <w:r w:rsidRPr="00A26A7D">
                                    <w:t xml:space="preserve">Edition </w:t>
                                  </w:r>
                                  <w:r w:rsidR="00B0728E">
                                    <w:t>15</w:t>
                                  </w:r>
                                  <w:r w:rsidR="00045CC7">
                                    <w:t>7</w:t>
                                  </w:r>
                                  <w:r w:rsidR="00B0728E">
                                    <w:t xml:space="preserve"> </w:t>
                                  </w:r>
                                  <w:r w:rsidR="001F5F56">
                                    <w:t>Ma</w:t>
                                  </w:r>
                                  <w:r w:rsidR="00045CC7">
                                    <w:t>y</w:t>
                                  </w:r>
                                  <w:r w:rsidRPr="00A26A7D">
                                    <w:t xml:space="preserve"> 201</w:t>
                                  </w:r>
                                  <w:r w:rsidR="00EE5D26">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6A17D7" w:rsidRPr="00887805" w:rsidRDefault="006A17D7" w:rsidP="00B87CF6">
                            <w:pPr>
                              <w:pStyle w:val="CertHDWhite"/>
                            </w:pPr>
                            <w:r w:rsidRPr="00A26A7D">
                              <w:t xml:space="preserve">Edition </w:t>
                            </w:r>
                            <w:r w:rsidR="00B0728E">
                              <w:t>15</w:t>
                            </w:r>
                            <w:r w:rsidR="00045CC7">
                              <w:t>7</w:t>
                            </w:r>
                            <w:r w:rsidR="00B0728E">
                              <w:t xml:space="preserve"> </w:t>
                            </w:r>
                            <w:r w:rsidR="001F5F56">
                              <w:t>Ma</w:t>
                            </w:r>
                            <w:r w:rsidR="00045CC7">
                              <w:t>y</w:t>
                            </w:r>
                            <w:r w:rsidRPr="00A26A7D">
                              <w:t xml:space="preserve"> 201</w:t>
                            </w:r>
                            <w:r w:rsidR="00EE5D26">
                              <w:t>6</w:t>
                            </w:r>
                          </w:p>
                        </w:txbxContent>
                      </v:textbox>
                    </v:shape>
                  </w:pict>
                </mc:Fallback>
              </mc:AlternateContent>
            </w:r>
            <w:r w:rsidR="00A26A7D">
              <w:t>Customer Information Bulletin</w:t>
            </w:r>
          </w:p>
        </w:tc>
      </w:tr>
    </w:tbl>
    <w:p w:rsidR="001F7FE6" w:rsidRPr="001F7FE6" w:rsidRDefault="001F7FE6" w:rsidP="001F7FE6">
      <w:pPr>
        <w:pStyle w:val="Body"/>
        <w:rPr>
          <w:lang w:eastAsia="en-AU"/>
        </w:rPr>
      </w:pPr>
      <w:bookmarkStart w:id="0" w:name="Here"/>
      <w:bookmarkEnd w:id="0"/>
      <w:r w:rsidRPr="001F7FE6">
        <w:rPr>
          <w:lang w:eastAsia="en-AU"/>
        </w:rPr>
        <w:t>From 1 July 2016, fees for lodging transactions at Land Victoria will change. Some search fees will also change.</w:t>
      </w:r>
    </w:p>
    <w:p w:rsidR="001F7FE6" w:rsidRPr="001F7FE6" w:rsidRDefault="001F7FE6" w:rsidP="001F7FE6">
      <w:pPr>
        <w:pStyle w:val="Body"/>
        <w:rPr>
          <w:lang w:eastAsia="en-AU"/>
        </w:rPr>
      </w:pPr>
      <w:r w:rsidRPr="001F7FE6">
        <w:rPr>
          <w:lang w:eastAsia="en-AU"/>
        </w:rPr>
        <w:t>The value of a fee unit, as announced by the Treasurer on 14 April 2016, is $13.94.</w:t>
      </w:r>
    </w:p>
    <w:p w:rsidR="001F7FE6" w:rsidRPr="001F7FE6" w:rsidRDefault="001F7FE6" w:rsidP="001F7FE6">
      <w:pPr>
        <w:pStyle w:val="Body"/>
        <w:rPr>
          <w:lang w:eastAsia="en-AU"/>
        </w:rPr>
      </w:pPr>
      <w:r w:rsidRPr="001F7FE6">
        <w:rPr>
          <w:lang w:eastAsia="en-AU"/>
        </w:rPr>
        <w:t>These fees are the result of the Subdivision (Registrar’s Fees) Regulations 2016 and Transfer of Land (Fees) Regulations 2016, which come into effect on 1 July 2016.</w:t>
      </w:r>
    </w:p>
    <w:p w:rsidR="001F7FE6" w:rsidRPr="001F7FE6" w:rsidRDefault="001F7FE6" w:rsidP="001F7FE6">
      <w:pPr>
        <w:pStyle w:val="Body"/>
        <w:rPr>
          <w:lang w:eastAsia="en-AU"/>
        </w:rPr>
      </w:pPr>
      <w:r w:rsidRPr="001F7FE6">
        <w:rPr>
          <w:lang w:eastAsia="en-AU"/>
        </w:rPr>
        <w:t xml:space="preserve">Comprehensive fees guides will soon be published. </w:t>
      </w:r>
    </w:p>
    <w:p w:rsidR="001F5F56" w:rsidRDefault="001F7FE6" w:rsidP="001F7FE6">
      <w:pPr>
        <w:pStyle w:val="Body"/>
        <w:rPr>
          <w:lang w:eastAsia="en-AU"/>
        </w:rPr>
      </w:pPr>
      <w:r w:rsidRPr="001F7FE6">
        <w:rPr>
          <w:lang w:eastAsia="en-AU"/>
        </w:rPr>
        <w:t>A summary of the most common fees follows:</w:t>
      </w:r>
    </w:p>
    <w:p w:rsidR="001F7FE6" w:rsidRDefault="001F7FE6" w:rsidP="001F7FE6">
      <w:pPr>
        <w:pStyle w:val="HB"/>
        <w:rPr>
          <w:lang w:eastAsia="en-AU"/>
        </w:rPr>
      </w:pPr>
      <w:r>
        <w:rPr>
          <w:lang w:eastAsia="en-AU"/>
        </w:rPr>
        <w:t>Transfer of Land Act 1958</w:t>
      </w:r>
    </w:p>
    <w:p w:rsidR="001F7FE6" w:rsidRDefault="001F7FE6" w:rsidP="001F7FE6">
      <w:pPr>
        <w:pStyle w:val="HC"/>
        <w:rPr>
          <w:lang w:eastAsia="en-AU"/>
        </w:rPr>
      </w:pPr>
      <w:r>
        <w:rPr>
          <w:lang w:eastAsia="en-AU"/>
        </w:rPr>
        <w:t>Paper transactions</w:t>
      </w:r>
    </w:p>
    <w:p w:rsidR="001F7FE6" w:rsidRDefault="001F7FE6" w:rsidP="001F7FE6">
      <w:pPr>
        <w:pStyle w:val="Body"/>
        <w:rPr>
          <w:lang w:eastAsia="en-AU"/>
        </w:rPr>
      </w:pPr>
      <w:r>
        <w:rPr>
          <w:lang w:eastAsia="en-AU"/>
        </w:rPr>
        <w:t>Fees for paper transactions from 1 July 2016 will be:</w:t>
      </w:r>
    </w:p>
    <w:p w:rsidR="001F7FE6" w:rsidRDefault="001F7FE6" w:rsidP="003119DD">
      <w:pPr>
        <w:pStyle w:val="Body"/>
        <w:tabs>
          <w:tab w:val="decimal" w:pos="3402"/>
        </w:tabs>
        <w:rPr>
          <w:lang w:eastAsia="en-AU"/>
        </w:rPr>
      </w:pPr>
      <w:r>
        <w:rPr>
          <w:lang w:eastAsia="en-AU"/>
        </w:rPr>
        <w:t>Discharge of mortgage</w:t>
      </w:r>
      <w:r>
        <w:rPr>
          <w:lang w:eastAsia="en-AU"/>
        </w:rPr>
        <w:tab/>
        <w:t>$112.60</w:t>
      </w:r>
      <w:r w:rsidR="009C051B">
        <w:rPr>
          <w:lang w:eastAsia="en-AU"/>
        </w:rPr>
        <w:br/>
      </w:r>
      <w:r>
        <w:rPr>
          <w:lang w:eastAsia="en-AU"/>
        </w:rPr>
        <w:t xml:space="preserve">Transfer of land </w:t>
      </w:r>
      <w:r>
        <w:rPr>
          <w:lang w:eastAsia="en-AU"/>
        </w:rPr>
        <w:tab/>
        <w:t>$92.70 plus $2.34 per $1000 of consideration (up to a consideration of $1.5m)</w:t>
      </w:r>
      <w:r w:rsidR="009C051B">
        <w:rPr>
          <w:lang w:eastAsia="en-AU"/>
        </w:rPr>
        <w:br/>
      </w:r>
      <w:r>
        <w:rPr>
          <w:lang w:eastAsia="en-AU"/>
        </w:rPr>
        <w:t>Mortgage</w:t>
      </w:r>
      <w:r>
        <w:rPr>
          <w:lang w:eastAsia="en-AU"/>
        </w:rPr>
        <w:tab/>
        <w:t>$112.60</w:t>
      </w:r>
      <w:r w:rsidR="009C051B">
        <w:rPr>
          <w:lang w:eastAsia="en-AU"/>
        </w:rPr>
        <w:br/>
      </w:r>
      <w:r>
        <w:rPr>
          <w:lang w:eastAsia="en-AU"/>
        </w:rPr>
        <w:t>Caveat</w:t>
      </w:r>
      <w:r>
        <w:rPr>
          <w:lang w:eastAsia="en-AU"/>
        </w:rPr>
        <w:tab/>
        <w:t>$46.30</w:t>
      </w:r>
      <w:r w:rsidR="009C051B">
        <w:rPr>
          <w:lang w:eastAsia="en-AU"/>
        </w:rPr>
        <w:br/>
        <w:t>Transfer (non-monetary)</w:t>
      </w:r>
      <w:r w:rsidR="009C051B">
        <w:rPr>
          <w:lang w:eastAsia="en-AU"/>
        </w:rPr>
        <w:tab/>
        <w:t>$92.70</w:t>
      </w:r>
      <w:r w:rsidR="009C051B">
        <w:rPr>
          <w:lang w:eastAsia="en-AU"/>
        </w:rPr>
        <w:br/>
      </w:r>
      <w:r>
        <w:rPr>
          <w:lang w:eastAsia="en-AU"/>
        </w:rPr>
        <w:t>Withdrawal of caveat</w:t>
      </w:r>
      <w:r>
        <w:rPr>
          <w:lang w:eastAsia="en-AU"/>
        </w:rPr>
        <w:tab/>
        <w:t>$46.30</w:t>
      </w:r>
      <w:r w:rsidR="009C051B">
        <w:rPr>
          <w:lang w:eastAsia="en-AU"/>
        </w:rPr>
        <w:br/>
      </w:r>
      <w:r>
        <w:rPr>
          <w:lang w:eastAsia="en-AU"/>
        </w:rPr>
        <w:t xml:space="preserve">Transmission application </w:t>
      </w:r>
      <w:r>
        <w:rPr>
          <w:lang w:eastAsia="en-AU"/>
        </w:rPr>
        <w:tab/>
        <w:t>$46.30</w:t>
      </w:r>
      <w:r w:rsidR="009C051B">
        <w:rPr>
          <w:lang w:eastAsia="en-AU"/>
        </w:rPr>
        <w:br/>
      </w:r>
      <w:r>
        <w:rPr>
          <w:lang w:eastAsia="en-AU"/>
        </w:rPr>
        <w:t xml:space="preserve">Survivorship application </w:t>
      </w:r>
      <w:r>
        <w:rPr>
          <w:lang w:eastAsia="en-AU"/>
        </w:rPr>
        <w:tab/>
        <w:t>$46.30</w:t>
      </w:r>
    </w:p>
    <w:p w:rsidR="001F7FE6" w:rsidRDefault="001F7FE6" w:rsidP="001F7FE6">
      <w:pPr>
        <w:pStyle w:val="HC"/>
        <w:rPr>
          <w:lang w:eastAsia="en-AU"/>
        </w:rPr>
      </w:pPr>
      <w:r>
        <w:rPr>
          <w:lang w:eastAsia="en-AU"/>
        </w:rPr>
        <w:t>Electronic transactions</w:t>
      </w:r>
    </w:p>
    <w:p w:rsidR="001F7FE6" w:rsidRDefault="001F7FE6" w:rsidP="001F7FE6">
      <w:pPr>
        <w:pStyle w:val="Body"/>
        <w:rPr>
          <w:lang w:eastAsia="en-AU"/>
        </w:rPr>
      </w:pPr>
      <w:r>
        <w:rPr>
          <w:lang w:eastAsia="en-AU"/>
        </w:rPr>
        <w:t>Fees for electronic transactions from 1 July 2016 will be:</w:t>
      </w:r>
    </w:p>
    <w:p w:rsidR="001F7FE6" w:rsidRDefault="001F7FE6" w:rsidP="003119DD">
      <w:pPr>
        <w:pStyle w:val="Body"/>
        <w:tabs>
          <w:tab w:val="decimal" w:pos="3402"/>
        </w:tabs>
        <w:rPr>
          <w:lang w:eastAsia="en-AU"/>
        </w:rPr>
      </w:pPr>
      <w:r>
        <w:rPr>
          <w:lang w:eastAsia="en-AU"/>
        </w:rPr>
        <w:t xml:space="preserve">Discharge of mortgage </w:t>
      </w:r>
      <w:r>
        <w:rPr>
          <w:lang w:eastAsia="en-AU"/>
        </w:rPr>
        <w:tab/>
        <w:t>$104.30</w:t>
      </w:r>
      <w:r w:rsidR="009C051B">
        <w:rPr>
          <w:lang w:eastAsia="en-AU"/>
        </w:rPr>
        <w:br/>
      </w:r>
      <w:r>
        <w:rPr>
          <w:lang w:eastAsia="en-AU"/>
        </w:rPr>
        <w:t xml:space="preserve">Transfer of land </w:t>
      </w:r>
      <w:r>
        <w:rPr>
          <w:lang w:eastAsia="en-AU"/>
        </w:rPr>
        <w:tab/>
        <w:t>$84.20 plus $2.34 per $1000 of consideration (up to a consideration of $1.5m)</w:t>
      </w:r>
      <w:r w:rsidR="009C051B">
        <w:rPr>
          <w:lang w:eastAsia="en-AU"/>
        </w:rPr>
        <w:br/>
      </w:r>
      <w:r>
        <w:rPr>
          <w:lang w:eastAsia="en-AU"/>
        </w:rPr>
        <w:t>Mortgage</w:t>
      </w:r>
      <w:r>
        <w:rPr>
          <w:lang w:eastAsia="en-AU"/>
        </w:rPr>
        <w:tab/>
        <w:t>$104.30</w:t>
      </w:r>
      <w:r w:rsidR="009C051B">
        <w:rPr>
          <w:lang w:eastAsia="en-AU"/>
        </w:rPr>
        <w:br/>
      </w:r>
      <w:r>
        <w:rPr>
          <w:lang w:eastAsia="en-AU"/>
        </w:rPr>
        <w:t xml:space="preserve">Caveat </w:t>
      </w:r>
      <w:r>
        <w:rPr>
          <w:lang w:eastAsia="en-AU"/>
        </w:rPr>
        <w:tab/>
        <w:t>$37.80</w:t>
      </w:r>
      <w:r w:rsidR="009C051B">
        <w:rPr>
          <w:lang w:eastAsia="en-AU"/>
        </w:rPr>
        <w:br/>
      </w:r>
      <w:r>
        <w:rPr>
          <w:lang w:eastAsia="en-AU"/>
        </w:rPr>
        <w:t>Transfer (non-monetary)</w:t>
      </w:r>
      <w:r>
        <w:rPr>
          <w:lang w:eastAsia="en-AU"/>
        </w:rPr>
        <w:tab/>
        <w:t>$84.20</w:t>
      </w:r>
      <w:r w:rsidR="009C051B">
        <w:rPr>
          <w:lang w:eastAsia="en-AU"/>
        </w:rPr>
        <w:br/>
      </w:r>
      <w:r>
        <w:rPr>
          <w:lang w:eastAsia="en-AU"/>
        </w:rPr>
        <w:t>Withdrawal of caveat</w:t>
      </w:r>
      <w:r>
        <w:rPr>
          <w:lang w:eastAsia="en-AU"/>
        </w:rPr>
        <w:tab/>
        <w:t>$37.80</w:t>
      </w:r>
    </w:p>
    <w:p w:rsidR="001F7FE6" w:rsidRDefault="001F7FE6" w:rsidP="001F7FE6">
      <w:pPr>
        <w:pStyle w:val="HB"/>
        <w:rPr>
          <w:lang w:eastAsia="en-AU"/>
        </w:rPr>
      </w:pPr>
      <w:r>
        <w:rPr>
          <w:lang w:eastAsia="en-AU"/>
        </w:rPr>
        <w:t>Subdivision Act 1988</w:t>
      </w:r>
    </w:p>
    <w:p w:rsidR="001F7FE6" w:rsidRPr="001F7FE6" w:rsidRDefault="001F7FE6" w:rsidP="001F7FE6">
      <w:pPr>
        <w:pStyle w:val="Body"/>
        <w:rPr>
          <w:i/>
          <w:lang w:eastAsia="en-AU"/>
        </w:rPr>
      </w:pPr>
      <w:r w:rsidRPr="001F7FE6">
        <w:rPr>
          <w:i/>
          <w:lang w:eastAsia="en-AU"/>
        </w:rPr>
        <w:t>From 1 July 2016</w:t>
      </w:r>
    </w:p>
    <w:p w:rsidR="003119DD" w:rsidRDefault="001F7FE6" w:rsidP="003119DD">
      <w:pPr>
        <w:pStyle w:val="Body"/>
        <w:tabs>
          <w:tab w:val="decimal" w:pos="3402"/>
        </w:tabs>
        <w:spacing w:after="0"/>
        <w:rPr>
          <w:lang w:eastAsia="en-AU"/>
        </w:rPr>
      </w:pPr>
      <w:r>
        <w:rPr>
          <w:lang w:eastAsia="en-AU"/>
        </w:rPr>
        <w:t xml:space="preserve">Plan of subdivision </w:t>
      </w:r>
      <w:r>
        <w:rPr>
          <w:lang w:eastAsia="en-AU"/>
        </w:rPr>
        <w:tab/>
        <w:t xml:space="preserve">$583.80 plus $180.50 per parcel (a parcel is each lot, road, reserve and common </w:t>
      </w:r>
    </w:p>
    <w:p w:rsidR="001F7FE6" w:rsidRDefault="003F2FCF" w:rsidP="003119DD">
      <w:pPr>
        <w:pStyle w:val="Body"/>
        <w:tabs>
          <w:tab w:val="left" w:pos="2977"/>
        </w:tabs>
        <w:rPr>
          <w:lang w:eastAsia="en-AU"/>
        </w:rPr>
      </w:pPr>
      <w:r>
        <w:rPr>
          <w:lang w:eastAsia="en-AU"/>
        </w:rPr>
        <w:tab/>
      </w:r>
      <w:r w:rsidR="001F7FE6">
        <w:rPr>
          <w:lang w:eastAsia="en-AU"/>
        </w:rPr>
        <w:t>property created by the plan).</w:t>
      </w:r>
    </w:p>
    <w:p w:rsidR="009C051B" w:rsidRDefault="009C051B">
      <w:pPr>
        <w:rPr>
          <w:rFonts w:cs="Arial"/>
          <w:b/>
          <w:sz w:val="24"/>
          <w:lang w:eastAsia="en-AU"/>
        </w:rPr>
      </w:pPr>
      <w:r>
        <w:rPr>
          <w:lang w:eastAsia="en-AU"/>
        </w:rPr>
        <w:br w:type="page"/>
      </w:r>
    </w:p>
    <w:p w:rsidR="001F7FE6" w:rsidRDefault="001F7FE6" w:rsidP="001F7FE6">
      <w:pPr>
        <w:pStyle w:val="HC"/>
        <w:rPr>
          <w:lang w:eastAsia="en-AU"/>
        </w:rPr>
      </w:pPr>
      <w:r>
        <w:rPr>
          <w:lang w:eastAsia="en-AU"/>
        </w:rPr>
        <w:lastRenderedPageBreak/>
        <w:t>Search products</w:t>
      </w:r>
    </w:p>
    <w:p w:rsidR="001F7FE6" w:rsidRDefault="001F7FE6" w:rsidP="001F7FE6">
      <w:pPr>
        <w:pStyle w:val="Body"/>
        <w:rPr>
          <w:lang w:eastAsia="en-AU"/>
        </w:rPr>
      </w:pPr>
      <w:r>
        <w:rPr>
          <w:lang w:eastAsia="en-AU"/>
        </w:rPr>
        <w:t>Fees for search products and services will be:</w:t>
      </w:r>
    </w:p>
    <w:p w:rsidR="001F7FE6" w:rsidRDefault="003F2FCF" w:rsidP="003119DD">
      <w:pPr>
        <w:pStyle w:val="Body"/>
        <w:tabs>
          <w:tab w:val="center" w:pos="3402"/>
          <w:tab w:val="center" w:pos="6521"/>
        </w:tabs>
        <w:rPr>
          <w:lang w:eastAsia="en-AU"/>
        </w:rPr>
      </w:pPr>
      <w:r>
        <w:rPr>
          <w:lang w:eastAsia="en-AU"/>
        </w:rPr>
        <w:tab/>
      </w:r>
      <w:r w:rsidR="004D7C82">
        <w:rPr>
          <w:lang w:eastAsia="en-AU"/>
        </w:rPr>
        <w:t>Government internet s</w:t>
      </w:r>
      <w:r w:rsidR="001F7FE6">
        <w:rPr>
          <w:lang w:eastAsia="en-AU"/>
        </w:rPr>
        <w:t>ervice</w:t>
      </w:r>
      <w:r w:rsidR="001F7FE6">
        <w:rPr>
          <w:lang w:eastAsia="en-AU"/>
        </w:rPr>
        <w:tab/>
        <w:t>In perso</w:t>
      </w:r>
      <w:r>
        <w:rPr>
          <w:lang w:eastAsia="en-AU"/>
        </w:rPr>
        <w:t>n</w:t>
      </w:r>
      <w:r w:rsidR="009C051B">
        <w:rPr>
          <w:lang w:eastAsia="en-AU"/>
        </w:rPr>
        <w:br/>
      </w:r>
      <w:r>
        <w:rPr>
          <w:lang w:eastAsia="en-AU"/>
        </w:rPr>
        <w:t>Title text</w:t>
      </w:r>
      <w:r>
        <w:rPr>
          <w:lang w:eastAsia="en-AU"/>
        </w:rPr>
        <w:tab/>
      </w:r>
      <w:r w:rsidR="001F7FE6">
        <w:rPr>
          <w:lang w:eastAsia="en-AU"/>
        </w:rPr>
        <w:t>$6.84</w:t>
      </w:r>
      <w:r w:rsidR="001F7FE6">
        <w:rPr>
          <w:lang w:eastAsia="en-AU"/>
        </w:rPr>
        <w:tab/>
        <w:t>$17.00</w:t>
      </w:r>
      <w:r w:rsidR="009C051B">
        <w:rPr>
          <w:lang w:eastAsia="en-AU"/>
        </w:rPr>
        <w:br/>
      </w:r>
      <w:r w:rsidR="001F7FE6">
        <w:rPr>
          <w:lang w:eastAsia="en-AU"/>
        </w:rPr>
        <w:t>Title text and diagram</w:t>
      </w:r>
      <w:r w:rsidR="001F7FE6">
        <w:rPr>
          <w:lang w:eastAsia="en-AU"/>
        </w:rPr>
        <w:tab/>
        <w:t>$13.34</w:t>
      </w:r>
      <w:r w:rsidR="001F7FE6">
        <w:rPr>
          <w:lang w:eastAsia="en-AU"/>
        </w:rPr>
        <w:tab/>
        <w:t>$34.00</w:t>
      </w:r>
      <w:r w:rsidR="009C051B">
        <w:rPr>
          <w:lang w:eastAsia="en-AU"/>
        </w:rPr>
        <w:br/>
      </w:r>
      <w:r w:rsidR="001F7FE6">
        <w:rPr>
          <w:lang w:eastAsia="en-AU"/>
        </w:rPr>
        <w:t>Final search</w:t>
      </w:r>
      <w:r w:rsidR="001F7FE6">
        <w:rPr>
          <w:lang w:eastAsia="en-AU"/>
        </w:rPr>
        <w:tab/>
        <w:t>$3.74</w:t>
      </w:r>
      <w:r w:rsidR="001F7FE6">
        <w:rPr>
          <w:lang w:eastAsia="en-AU"/>
        </w:rPr>
        <w:tab/>
        <w:t>$14.10</w:t>
      </w:r>
      <w:r w:rsidR="009C051B">
        <w:rPr>
          <w:lang w:eastAsia="en-AU"/>
        </w:rPr>
        <w:br/>
      </w:r>
      <w:r w:rsidR="001F7FE6">
        <w:rPr>
          <w:lang w:eastAsia="en-AU"/>
        </w:rPr>
        <w:t>Instrument search</w:t>
      </w:r>
      <w:r w:rsidR="001F7FE6">
        <w:rPr>
          <w:lang w:eastAsia="en-AU"/>
        </w:rPr>
        <w:tab/>
        <w:t>$4.82</w:t>
      </w:r>
      <w:r w:rsidR="001F7FE6">
        <w:rPr>
          <w:lang w:eastAsia="en-AU"/>
        </w:rPr>
        <w:tab/>
        <w:t>$15.20</w:t>
      </w:r>
      <w:r w:rsidR="009C051B">
        <w:rPr>
          <w:lang w:eastAsia="en-AU"/>
        </w:rPr>
        <w:br/>
      </w:r>
      <w:r w:rsidR="001F7FE6">
        <w:rPr>
          <w:lang w:eastAsia="en-AU"/>
        </w:rPr>
        <w:t>Plan search</w:t>
      </w:r>
      <w:r w:rsidR="001F7FE6">
        <w:rPr>
          <w:lang w:eastAsia="en-AU"/>
        </w:rPr>
        <w:tab/>
        <w:t>$6.50</w:t>
      </w:r>
      <w:r w:rsidR="001F7FE6">
        <w:rPr>
          <w:lang w:eastAsia="en-AU"/>
        </w:rPr>
        <w:tab/>
        <w:t>$17.00</w:t>
      </w:r>
      <w:r w:rsidR="009C051B">
        <w:rPr>
          <w:lang w:eastAsia="en-AU"/>
        </w:rPr>
        <w:br/>
      </w:r>
      <w:r w:rsidR="001F7FE6">
        <w:rPr>
          <w:lang w:eastAsia="en-AU"/>
        </w:rPr>
        <w:t>Historical search</w:t>
      </w:r>
      <w:r w:rsidR="001F7FE6">
        <w:rPr>
          <w:lang w:eastAsia="en-AU"/>
        </w:rPr>
        <w:tab/>
        <w:t>$11.67</w:t>
      </w:r>
      <w:r w:rsidR="001F7FE6">
        <w:rPr>
          <w:lang w:eastAsia="en-AU"/>
        </w:rPr>
        <w:tab/>
        <w:t>$32.20</w:t>
      </w:r>
    </w:p>
    <w:p w:rsidR="001F7FE6" w:rsidRDefault="001F7FE6" w:rsidP="001F7FE6">
      <w:pPr>
        <w:pStyle w:val="HB"/>
        <w:rPr>
          <w:lang w:eastAsia="en-AU"/>
        </w:rPr>
      </w:pPr>
      <w:r>
        <w:rPr>
          <w:lang w:eastAsia="en-AU"/>
        </w:rPr>
        <w:t>Fees no longer charged</w:t>
      </w:r>
    </w:p>
    <w:p w:rsidR="001F7FE6" w:rsidRDefault="001F7FE6" w:rsidP="001F7FE6">
      <w:pPr>
        <w:pStyle w:val="Body"/>
        <w:rPr>
          <w:lang w:eastAsia="en-AU"/>
        </w:rPr>
      </w:pPr>
      <w:r>
        <w:rPr>
          <w:lang w:eastAsia="en-AU"/>
        </w:rPr>
        <w:t>The following fees will be abolished, effective 1 July 2016:</w:t>
      </w:r>
    </w:p>
    <w:p w:rsidR="001F7FE6" w:rsidRDefault="001F7FE6" w:rsidP="001F7FE6">
      <w:pPr>
        <w:pStyle w:val="Body"/>
        <w:rPr>
          <w:lang w:eastAsia="en-AU"/>
        </w:rPr>
      </w:pPr>
      <w:r>
        <w:rPr>
          <w:lang w:eastAsia="en-AU"/>
        </w:rPr>
        <w:t>•</w:t>
      </w:r>
      <w:r>
        <w:rPr>
          <w:lang w:eastAsia="en-AU"/>
        </w:rPr>
        <w:tab/>
        <w:t>the fee for each additional title, where there are more than five in a transaction</w:t>
      </w:r>
    </w:p>
    <w:p w:rsidR="001F7FE6" w:rsidRDefault="001F7FE6" w:rsidP="001F7FE6">
      <w:pPr>
        <w:pStyle w:val="Body"/>
        <w:rPr>
          <w:lang w:eastAsia="en-AU"/>
        </w:rPr>
      </w:pPr>
      <w:r>
        <w:rPr>
          <w:lang w:eastAsia="en-AU"/>
        </w:rPr>
        <w:t>•</w:t>
      </w:r>
      <w:r>
        <w:rPr>
          <w:lang w:eastAsia="en-AU"/>
        </w:rPr>
        <w:tab/>
        <w:t>the fee payable when a Certificate of Title has been nominated by another party</w:t>
      </w:r>
    </w:p>
    <w:p w:rsidR="001F7FE6" w:rsidRDefault="001F7FE6" w:rsidP="001F7FE6">
      <w:pPr>
        <w:pStyle w:val="Body"/>
        <w:rPr>
          <w:lang w:eastAsia="en-AU"/>
        </w:rPr>
      </w:pPr>
      <w:r>
        <w:rPr>
          <w:lang w:eastAsia="en-AU"/>
        </w:rPr>
        <w:t>•</w:t>
      </w:r>
      <w:r>
        <w:rPr>
          <w:lang w:eastAsia="en-AU"/>
        </w:rPr>
        <w:tab/>
        <w:t xml:space="preserve">the fee payable for lodging by correspondence. </w:t>
      </w:r>
      <w:bookmarkStart w:id="1" w:name="_GoBack"/>
      <w:bookmarkEnd w:id="1"/>
    </w:p>
    <w:p w:rsidR="001F7FE6" w:rsidRPr="001F7FE6" w:rsidRDefault="001F7FE6" w:rsidP="001F7FE6">
      <w:pPr>
        <w:pStyle w:val="HA"/>
        <w:rPr>
          <w:lang w:eastAsia="en-AU"/>
        </w:rPr>
      </w:pPr>
      <w:r w:rsidRPr="001F7FE6">
        <w:rPr>
          <w:lang w:eastAsia="en-AU"/>
        </w:rPr>
        <w:t>Guides and fees calculators</w:t>
      </w:r>
    </w:p>
    <w:p w:rsidR="001F7FE6" w:rsidRPr="001F7FE6" w:rsidRDefault="001F7FE6" w:rsidP="001F7FE6">
      <w:pPr>
        <w:pStyle w:val="Body"/>
        <w:rPr>
          <w:lang w:eastAsia="en-AU"/>
        </w:rPr>
      </w:pPr>
      <w:r w:rsidRPr="001F7FE6">
        <w:rPr>
          <w:lang w:eastAsia="en-AU"/>
        </w:rPr>
        <w:t xml:space="preserve">The subdivision and consolidation plan fees calculator will be updated for 2016 and available soon on the </w:t>
      </w:r>
      <w:hyperlink r:id="rId8" w:history="1">
        <w:r w:rsidRPr="001F7FE6">
          <w:rPr>
            <w:color w:val="0000FF" w:themeColor="hyperlink"/>
            <w:u w:val="single"/>
            <w:lang w:eastAsia="en-AU"/>
          </w:rPr>
          <w:t>Fees</w:t>
        </w:r>
      </w:hyperlink>
      <w:r w:rsidRPr="001F7FE6">
        <w:rPr>
          <w:lang w:eastAsia="en-AU"/>
        </w:rPr>
        <w:t xml:space="preserve"> page at </w:t>
      </w:r>
      <w:hyperlink r:id="rId9" w:history="1">
        <w:r w:rsidRPr="001F7FE6">
          <w:rPr>
            <w:color w:val="0000FF" w:themeColor="hyperlink"/>
            <w:u w:val="single"/>
            <w:lang w:eastAsia="en-AU"/>
          </w:rPr>
          <w:t>www.delwp.vic.gov.au/property-forms</w:t>
        </w:r>
      </w:hyperlink>
      <w:r w:rsidRPr="001F7FE6">
        <w:rPr>
          <w:lang w:eastAsia="en-AU"/>
        </w:rPr>
        <w:t>&gt;Fees.</w:t>
      </w:r>
    </w:p>
    <w:p w:rsidR="001F7FE6" w:rsidRPr="001F7FE6" w:rsidRDefault="001F7FE6" w:rsidP="001F7FE6">
      <w:pPr>
        <w:pStyle w:val="Body"/>
        <w:rPr>
          <w:lang w:eastAsia="en-AU"/>
        </w:rPr>
      </w:pPr>
      <w:r w:rsidRPr="001F7FE6">
        <w:rPr>
          <w:lang w:eastAsia="en-AU"/>
        </w:rPr>
        <w:t xml:space="preserve">A new Transfer of Land Act fees calculator will also soon be </w:t>
      </w:r>
      <w:r w:rsidRPr="001F7FE6">
        <w:t>available</w:t>
      </w:r>
      <w:r w:rsidRPr="001F7FE6">
        <w:rPr>
          <w:lang w:eastAsia="en-AU"/>
        </w:rPr>
        <w:t xml:space="preserve"> on the same web page. It will replace the ready reckoner found in the </w:t>
      </w:r>
      <w:r w:rsidRPr="001F7FE6">
        <w:rPr>
          <w:i/>
          <w:lang w:eastAsia="en-AU"/>
        </w:rPr>
        <w:t>Guide to Transfer of Land Act lodgement fees</w:t>
      </w:r>
      <w:r w:rsidRPr="001F7FE6">
        <w:rPr>
          <w:lang w:eastAsia="en-AU"/>
        </w:rPr>
        <w:t>.</w:t>
      </w:r>
    </w:p>
    <w:p w:rsidR="001F7FE6" w:rsidRPr="001F7FE6" w:rsidRDefault="001F7FE6" w:rsidP="001F7FE6">
      <w:pPr>
        <w:pStyle w:val="Body"/>
        <w:rPr>
          <w:lang w:eastAsia="en-AU"/>
        </w:rPr>
      </w:pPr>
      <w:r w:rsidRPr="001F7FE6">
        <w:rPr>
          <w:lang w:eastAsia="en-AU"/>
        </w:rPr>
        <w:t>Customers will be notified when the updated fees guides and calculators are available online.</w:t>
      </w:r>
    </w:p>
    <w:p w:rsidR="001F7FE6" w:rsidRPr="001F7FE6" w:rsidRDefault="001F7FE6" w:rsidP="001F7FE6">
      <w:pPr>
        <w:pStyle w:val="HA"/>
        <w:rPr>
          <w:rFonts w:eastAsiaTheme="minorEastAsia"/>
          <w:lang w:eastAsia="en-AU"/>
        </w:rPr>
      </w:pPr>
      <w:r w:rsidRPr="001F7FE6">
        <w:rPr>
          <w:rFonts w:eastAsiaTheme="minorEastAsia"/>
          <w:lang w:eastAsia="en-AU"/>
        </w:rPr>
        <w:t>Survey documents required when lodging a plan of subdivision or consolidation</w:t>
      </w:r>
    </w:p>
    <w:p w:rsidR="001F7FE6" w:rsidRPr="001F7FE6" w:rsidRDefault="001F7FE6" w:rsidP="001F7FE6">
      <w:pPr>
        <w:pStyle w:val="Body"/>
        <w:rPr>
          <w:rFonts w:eastAsiaTheme="minorEastAsia"/>
          <w:lang w:eastAsia="en-AU"/>
        </w:rPr>
      </w:pPr>
      <w:r w:rsidRPr="001F7FE6">
        <w:rPr>
          <w:rFonts w:eastAsiaTheme="minorEastAsia"/>
          <w:lang w:eastAsia="en-AU"/>
        </w:rPr>
        <w:t xml:space="preserve">Land Victoria’s non-survey guidelines will not apply to plans signed from 1 July 2016. </w:t>
      </w:r>
    </w:p>
    <w:p w:rsidR="001F7FE6" w:rsidRPr="001F7FE6" w:rsidRDefault="001F7FE6" w:rsidP="001F7FE6">
      <w:pPr>
        <w:pStyle w:val="Body"/>
        <w:rPr>
          <w:rFonts w:eastAsiaTheme="minorEastAsia"/>
          <w:lang w:eastAsia="en-AU"/>
        </w:rPr>
      </w:pPr>
      <w:r w:rsidRPr="001F7FE6">
        <w:rPr>
          <w:rFonts w:eastAsiaTheme="minorEastAsia"/>
          <w:lang w:eastAsia="en-AU"/>
        </w:rPr>
        <w:t>From 1 July 2016 all plans signed by a licensed surveyor must be supported by an abstract of field records, unless an exemption applies.</w:t>
      </w:r>
    </w:p>
    <w:p w:rsidR="001F7FE6" w:rsidRPr="001F7FE6" w:rsidRDefault="001F7FE6" w:rsidP="001F7FE6">
      <w:pPr>
        <w:pStyle w:val="Body"/>
        <w:rPr>
          <w:rFonts w:eastAsiaTheme="minorEastAsia"/>
          <w:lang w:eastAsia="en-AU"/>
        </w:rPr>
      </w:pPr>
      <w:r w:rsidRPr="001F7FE6">
        <w:rPr>
          <w:rFonts w:eastAsiaTheme="minorHAnsi" w:cstheme="minorBidi"/>
          <w:lang w:eastAsia="en-AU"/>
        </w:rPr>
        <w:t>Plans that satisfy the exemptions must still be lodged with an extensive surveyor's report.</w:t>
      </w:r>
    </w:p>
    <w:p w:rsidR="001F7FE6" w:rsidRPr="001F7FE6" w:rsidRDefault="001F7FE6" w:rsidP="001F7FE6">
      <w:pPr>
        <w:pStyle w:val="Body"/>
        <w:rPr>
          <w:rFonts w:eastAsiaTheme="minorEastAsia"/>
          <w:lang w:eastAsia="en-AU"/>
        </w:rPr>
      </w:pPr>
      <w:r w:rsidRPr="001F7FE6">
        <w:rPr>
          <w:rFonts w:eastAsiaTheme="minorEastAsia" w:cstheme="minorBidi"/>
          <w:lang w:eastAsia="en-AU"/>
        </w:rPr>
        <w:t xml:space="preserve">For more information, go to the </w:t>
      </w:r>
      <w:hyperlink r:id="rId10" w:history="1">
        <w:r w:rsidRPr="001F7FE6">
          <w:rPr>
            <w:rFonts w:eastAsiaTheme="minorEastAsia" w:cstheme="minorBidi"/>
            <w:color w:val="0000FF" w:themeColor="hyperlink"/>
            <w:u w:val="single"/>
            <w:lang w:eastAsia="en-AU"/>
          </w:rPr>
          <w:t>Plans of subdivision and consolidation</w:t>
        </w:r>
      </w:hyperlink>
      <w:r w:rsidRPr="001F7FE6">
        <w:rPr>
          <w:rFonts w:eastAsiaTheme="minorEastAsia" w:cstheme="minorBidi"/>
          <w:lang w:eastAsia="en-AU"/>
        </w:rPr>
        <w:t xml:space="preserve"> page at </w:t>
      </w:r>
      <w:hyperlink r:id="rId11" w:history="1">
        <w:r w:rsidRPr="001F7FE6">
          <w:rPr>
            <w:rFonts w:eastAsiaTheme="minorEastAsia" w:cstheme="minorBidi"/>
            <w:color w:val="0000FF" w:themeColor="hyperlink"/>
            <w:u w:val="single"/>
            <w:lang w:eastAsia="en-AU"/>
          </w:rPr>
          <w:t>www.delwp.vic.gov.au/property</w:t>
        </w:r>
      </w:hyperlink>
      <w:r w:rsidRPr="001F7FE6">
        <w:rPr>
          <w:rFonts w:eastAsiaTheme="minorEastAsia" w:cstheme="minorBidi"/>
          <w:lang w:eastAsia="en-AU"/>
        </w:rPr>
        <w:t xml:space="preserve">&gt;Land titles&gt;Plans of subdivision and consolidation&gt;Useful links and information. See </w:t>
      </w:r>
      <w:r w:rsidRPr="001F7FE6">
        <w:rPr>
          <w:rFonts w:eastAsiaTheme="minorEastAsia" w:cstheme="minorBidi"/>
          <w:i/>
          <w:lang w:eastAsia="en-AU"/>
        </w:rPr>
        <w:t xml:space="preserve">Survey documents required when lodging a plan of subdivision or consolidation </w:t>
      </w:r>
      <w:r w:rsidRPr="0072409C">
        <w:rPr>
          <w:rFonts w:eastAsiaTheme="minorEastAsia" w:cstheme="minorBidi"/>
          <w:bCs/>
          <w:i/>
          <w:lang w:eastAsia="en-AU"/>
        </w:rPr>
        <w:t>for plans signed from 1 July 2016</w:t>
      </w:r>
      <w:r w:rsidRPr="001F7FE6">
        <w:rPr>
          <w:rFonts w:eastAsiaTheme="minorEastAsia" w:cstheme="minorBidi"/>
          <w:lang w:eastAsia="en-AU"/>
        </w:rPr>
        <w:t xml:space="preserve"> (under Useful links and information). </w:t>
      </w:r>
    </w:p>
    <w:p w:rsidR="009C051B" w:rsidRDefault="009C051B" w:rsidP="001F7FE6">
      <w:pPr>
        <w:pStyle w:val="HA"/>
        <w:rPr>
          <w:rFonts w:eastAsiaTheme="minorEastAsia"/>
          <w:lang w:eastAsia="en-AU"/>
        </w:rPr>
      </w:pPr>
      <w:r>
        <w:rPr>
          <w:rFonts w:eastAsiaTheme="minorEastAsia"/>
          <w:lang w:eastAsia="en-AU"/>
        </w:rPr>
        <w:br w:type="page"/>
      </w:r>
    </w:p>
    <w:p w:rsidR="001F7FE6" w:rsidRPr="001F7FE6" w:rsidRDefault="001F7FE6" w:rsidP="001F7FE6">
      <w:pPr>
        <w:pStyle w:val="HA"/>
        <w:rPr>
          <w:rFonts w:eastAsiaTheme="minorEastAsia"/>
          <w:lang w:eastAsia="en-AU"/>
        </w:rPr>
      </w:pPr>
      <w:r w:rsidRPr="001F7FE6">
        <w:rPr>
          <w:rFonts w:eastAsiaTheme="minorEastAsia"/>
          <w:lang w:eastAsia="en-AU"/>
        </w:rPr>
        <w:lastRenderedPageBreak/>
        <w:t>New PEXA tool aids lodging caveats online</w:t>
      </w:r>
    </w:p>
    <w:p w:rsidR="001F7FE6" w:rsidRPr="001F7FE6" w:rsidRDefault="001F7FE6" w:rsidP="001F7FE6">
      <w:pPr>
        <w:pStyle w:val="Body"/>
        <w:rPr>
          <w:rFonts w:eastAsiaTheme="minorEastAsia"/>
          <w:lang w:eastAsia="en-AU"/>
        </w:rPr>
      </w:pPr>
      <w:r w:rsidRPr="001F7FE6">
        <w:rPr>
          <w:rFonts w:eastAsiaTheme="minorEastAsia"/>
          <w:lang w:eastAsia="en-AU"/>
        </w:rPr>
        <w:t>Legal and co</w:t>
      </w:r>
      <w:r w:rsidR="009E24AE">
        <w:rPr>
          <w:rFonts w:eastAsiaTheme="minorEastAsia"/>
          <w:lang w:eastAsia="en-AU"/>
        </w:rPr>
        <w:t>nveyancing firms can now practis</w:t>
      </w:r>
      <w:r w:rsidRPr="001F7FE6">
        <w:rPr>
          <w:rFonts w:eastAsiaTheme="minorEastAsia"/>
          <w:lang w:eastAsia="en-AU"/>
        </w:rPr>
        <w:t xml:space="preserve">e lodging caveats online with a new tool developed </w:t>
      </w:r>
      <w:r w:rsidR="00C05FCA">
        <w:rPr>
          <w:rFonts w:eastAsiaTheme="minorEastAsia"/>
          <w:lang w:eastAsia="en-AU"/>
        </w:rPr>
        <w:t>for</w:t>
      </w:r>
      <w:r w:rsidRPr="001F7FE6">
        <w:rPr>
          <w:rFonts w:eastAsiaTheme="minorEastAsia"/>
          <w:lang w:eastAsia="en-AU"/>
        </w:rPr>
        <w:t xml:space="preserve"> PEXA (Property Exchange Australia). </w:t>
      </w:r>
    </w:p>
    <w:p w:rsidR="001F7FE6" w:rsidRPr="001F7FE6" w:rsidRDefault="001F7FE6" w:rsidP="001F7FE6">
      <w:pPr>
        <w:pStyle w:val="Body"/>
        <w:rPr>
          <w:rFonts w:eastAsiaTheme="minorEastAsia"/>
          <w:lang w:eastAsia="en-AU"/>
        </w:rPr>
      </w:pPr>
      <w:r w:rsidRPr="001F7FE6">
        <w:rPr>
          <w:rFonts w:eastAsiaTheme="minorEastAsia"/>
          <w:lang w:eastAsia="en-AU"/>
        </w:rPr>
        <w:t xml:space="preserve">The training simulator allows you to safely learn how to use PEXA before lodging caveats online. </w:t>
      </w:r>
    </w:p>
    <w:p w:rsidR="001F7FE6" w:rsidRPr="001F7FE6" w:rsidRDefault="001F7FE6" w:rsidP="001F7FE6">
      <w:pPr>
        <w:pStyle w:val="Body"/>
        <w:rPr>
          <w:rFonts w:eastAsiaTheme="minorEastAsia"/>
          <w:lang w:eastAsia="en-AU"/>
        </w:rPr>
      </w:pPr>
      <w:r w:rsidRPr="001F7FE6">
        <w:rPr>
          <w:rFonts w:eastAsiaTheme="minorEastAsia"/>
          <w:lang w:eastAsia="en-AU"/>
        </w:rPr>
        <w:t xml:space="preserve">The simulator is at </w:t>
      </w:r>
      <w:hyperlink r:id="rId12" w:history="1">
        <w:r w:rsidRPr="001F7FE6">
          <w:rPr>
            <w:rFonts w:eastAsiaTheme="minorEastAsia"/>
            <w:color w:val="0000FF" w:themeColor="hyperlink"/>
            <w:u w:val="single"/>
            <w:lang w:eastAsia="en-AU"/>
          </w:rPr>
          <w:t>www.pexa.com.au/caveats</w:t>
        </w:r>
      </w:hyperlink>
      <w:r w:rsidRPr="001F7FE6">
        <w:rPr>
          <w:rFonts w:eastAsiaTheme="minorEastAsia"/>
          <w:lang w:eastAsia="en-AU"/>
        </w:rPr>
        <w:t xml:space="preserve">. </w:t>
      </w:r>
    </w:p>
    <w:p w:rsidR="001F7FE6" w:rsidRPr="001F7FE6" w:rsidRDefault="001F7FE6" w:rsidP="001F7FE6">
      <w:pPr>
        <w:pStyle w:val="Body"/>
        <w:rPr>
          <w:rFonts w:eastAsiaTheme="minorEastAsia" w:cs="MuseoSans-300"/>
          <w:color w:val="000000"/>
          <w:lang w:eastAsia="en-AU"/>
        </w:rPr>
      </w:pPr>
      <w:r w:rsidRPr="001F7FE6">
        <w:rPr>
          <w:rFonts w:eastAsiaTheme="minorEastAsia"/>
          <w:lang w:eastAsia="en-AU"/>
        </w:rPr>
        <w:t xml:space="preserve">When lodging a caveat electronically in PEXA, refer to the </w:t>
      </w:r>
      <w:r w:rsidRPr="001F7FE6">
        <w:rPr>
          <w:rFonts w:eastAsiaTheme="minorEastAsia"/>
          <w:i/>
          <w:lang w:eastAsia="en-AU"/>
        </w:rPr>
        <w:t xml:space="preserve">Guide to grounds of claims for caveat </w:t>
      </w:r>
      <w:r w:rsidRPr="001F7FE6">
        <w:rPr>
          <w:rFonts w:eastAsiaTheme="minorEastAsia" w:cs="MuseoSans-300"/>
          <w:color w:val="000000"/>
          <w:lang w:eastAsia="en-AU"/>
        </w:rPr>
        <w:t xml:space="preserve">available on the </w:t>
      </w:r>
      <w:hyperlink r:id="rId13" w:anchor="caveat" w:history="1">
        <w:r w:rsidRPr="001F7FE6">
          <w:rPr>
            <w:rFonts w:eastAsiaTheme="minorEastAsia" w:cs="MuseoSans-300"/>
            <w:color w:val="0000FF" w:themeColor="hyperlink"/>
            <w:u w:val="single"/>
            <w:lang w:eastAsia="en-AU"/>
          </w:rPr>
          <w:t>Transfer of Land Act</w:t>
        </w:r>
      </w:hyperlink>
      <w:r w:rsidRPr="001F7FE6">
        <w:rPr>
          <w:rFonts w:eastAsiaTheme="minorEastAsia" w:cs="MuseoSans-300"/>
          <w:color w:val="000000"/>
          <w:lang w:eastAsia="en-AU"/>
        </w:rPr>
        <w:t xml:space="preserve"> page at </w:t>
      </w:r>
      <w:hyperlink r:id="rId14" w:history="1">
        <w:r w:rsidRPr="001F7FE6">
          <w:rPr>
            <w:rFonts w:eastAsiaTheme="minorEastAsia" w:cs="MuseoSans-300"/>
            <w:color w:val="0000FF" w:themeColor="hyperlink"/>
            <w:u w:val="single"/>
            <w:lang w:eastAsia="en-AU"/>
          </w:rPr>
          <w:t>www.delwp.vic.gov.au/property-forms</w:t>
        </w:r>
      </w:hyperlink>
      <w:r w:rsidRPr="001F7FE6">
        <w:rPr>
          <w:rFonts w:eastAsiaTheme="minorEastAsia" w:cs="MuseoSans-300"/>
          <w:color w:val="000000"/>
          <w:lang w:eastAsia="en-AU"/>
        </w:rPr>
        <w:t>&gt;Transfer of Land Act&gt;Caveat.</w:t>
      </w:r>
    </w:p>
    <w:p w:rsidR="00201F7B" w:rsidRPr="004F627B" w:rsidRDefault="00201F7B" w:rsidP="00201F7B">
      <w:pPr>
        <w:pStyle w:val="HA"/>
      </w:pPr>
      <w:r w:rsidRPr="004F627B">
        <w:t>Contact us</w:t>
      </w:r>
    </w:p>
    <w:p w:rsidR="00201F7B" w:rsidRDefault="00201F7B" w:rsidP="00201F7B">
      <w:pPr>
        <w:pStyle w:val="Body"/>
        <w:rPr>
          <w:rFonts w:eastAsia="Calibri"/>
        </w:rPr>
      </w:pPr>
      <w:r w:rsidRPr="00BB214C">
        <w:rPr>
          <w:rFonts w:eastAsia="Calibri"/>
        </w:rPr>
        <w:t>For</w:t>
      </w:r>
      <w:r w:rsidRPr="00631645">
        <w:rPr>
          <w:rFonts w:asciiTheme="minorHAnsi" w:eastAsia="Calibri" w:hAnsiTheme="minorHAnsi" w:cs="Tahoma"/>
          <w:szCs w:val="22"/>
        </w:rPr>
        <w:t xml:space="preserve"> </w:t>
      </w:r>
      <w:hyperlink r:id="rId15" w:history="1">
        <w:r w:rsidRPr="00631645">
          <w:rPr>
            <w:rStyle w:val="Hyperlink"/>
            <w:rFonts w:asciiTheme="minorHAnsi" w:eastAsia="Calibri" w:hAnsiTheme="minorHAnsi" w:cs="Tahoma"/>
            <w:szCs w:val="22"/>
          </w:rPr>
          <w:t>location and contact details</w:t>
        </w:r>
      </w:hyperlink>
      <w:r w:rsidRPr="00F16117">
        <w:rPr>
          <w:rFonts w:asciiTheme="minorHAnsi" w:eastAsia="Calibri" w:hAnsiTheme="minorHAnsi"/>
          <w:szCs w:val="22"/>
        </w:rPr>
        <w:t>,</w:t>
      </w:r>
      <w:r w:rsidRPr="00BB214C">
        <w:rPr>
          <w:rFonts w:eastAsia="Calibri"/>
        </w:rPr>
        <w:t xml:space="preserve"> </w:t>
      </w:r>
      <w:r>
        <w:rPr>
          <w:rFonts w:eastAsia="Calibri"/>
        </w:rPr>
        <w:t>go</w:t>
      </w:r>
      <w:r w:rsidRPr="00BB214C">
        <w:rPr>
          <w:rFonts w:eastAsia="Calibri"/>
        </w:rPr>
        <w:t xml:space="preserve"> to </w:t>
      </w:r>
      <w:hyperlink r:id="rId16" w:history="1">
        <w:r w:rsidR="00223A07" w:rsidRPr="005D3450">
          <w:rPr>
            <w:rStyle w:val="Hyperlink"/>
          </w:rPr>
          <w:t>www.delwp.vic.gov.au/property</w:t>
        </w:r>
      </w:hyperlink>
      <w:r w:rsidR="00760421">
        <w:rPr>
          <w:rFonts w:eastAsia="Calibri"/>
        </w:rPr>
        <w:t>&gt;Contact Land Victoria</w:t>
      </w:r>
      <w:r w:rsidRPr="00BB214C">
        <w:rPr>
          <w:rFonts w:eastAsia="Calibri"/>
        </w:rPr>
        <w:t>.</w:t>
      </w:r>
    </w:p>
    <w:p w:rsidR="00201F7B" w:rsidRPr="004F627B" w:rsidRDefault="00201F7B" w:rsidP="00201F7B">
      <w:pPr>
        <w:pStyle w:val="HA"/>
        <w:rPr>
          <w:rFonts w:eastAsia="Calibri"/>
        </w:rPr>
      </w:pPr>
      <w:r w:rsidRPr="004F627B">
        <w:rPr>
          <w:rFonts w:eastAsia="Calibri"/>
        </w:rPr>
        <w:t>Subscribe</w:t>
      </w:r>
    </w:p>
    <w:p w:rsidR="00201F7B" w:rsidRDefault="00201F7B" w:rsidP="00201F7B">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1F7FE6" w:rsidRDefault="001F7FE6" w:rsidP="00201F7B">
      <w:pPr>
        <w:pStyle w:val="Body"/>
        <w:rPr>
          <w:rFonts w:eastAsia="Calibri"/>
        </w:rPr>
      </w:pPr>
    </w:p>
    <w:p w:rsidR="00D12499" w:rsidRPr="00BB214C" w:rsidRDefault="00D12499" w:rsidP="00201F7B">
      <w:pPr>
        <w:pStyle w:val="Body"/>
        <w:rPr>
          <w:rFonts w:eastAsia="Calibri"/>
        </w:rPr>
      </w:pPr>
    </w:p>
    <w:p w:rsidR="001615B5" w:rsidRDefault="001615B5" w:rsidP="00E2414C">
      <w:pPr>
        <w:sectPr w:rsidR="001615B5" w:rsidSect="003F2FCF">
          <w:headerReference w:type="default" r:id="rId17"/>
          <w:footerReference w:type="default" r:id="rId18"/>
          <w:headerReference w:type="first" r:id="rId19"/>
          <w:footerReference w:type="first" r:id="rId20"/>
          <w:pgSz w:w="11907" w:h="16840" w:code="9"/>
          <w:pgMar w:top="2006" w:right="567" w:bottom="851" w:left="1134" w:header="284" w:footer="595" w:gutter="0"/>
          <w:cols w:space="284"/>
          <w:titlePg/>
          <w:docGrid w:linePitch="360"/>
        </w:sectPr>
      </w:pPr>
    </w:p>
    <w:p w:rsidR="00D444E8" w:rsidRPr="0079489C" w:rsidRDefault="00E2414C" w:rsidP="00E2414C">
      <w:r>
        <w:rPr>
          <w:rFonts w:eastAsia="Calibri"/>
          <w:noProof/>
          <w:lang w:eastAsia="en-AU"/>
        </w:rPr>
        <mc:AlternateContent>
          <mc:Choice Requires="wps">
            <w:drawing>
              <wp:anchor distT="0" distB="0" distL="114300" distR="114300" simplePos="0" relativeHeight="251659264" behindDoc="0" locked="0" layoutInCell="1" allowOverlap="1" wp14:anchorId="3C51B06A" wp14:editId="24E9B03F">
                <wp:simplePos x="0" y="0"/>
                <wp:positionH relativeFrom="column">
                  <wp:posOffset>-203200</wp:posOffset>
                </wp:positionH>
                <wp:positionV relativeFrom="paragraph">
                  <wp:posOffset>1819668</wp:posOffset>
                </wp:positionV>
                <wp:extent cx="6682740" cy="2696845"/>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2740" cy="2696845"/>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00FA3655" wp14:editId="1A03013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2"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4" w:history="1">
                                    <w:r w:rsidRPr="00BE2F5F">
                                      <w:rPr>
                                        <w:sz w:val="28"/>
                                        <w:szCs w:val="28"/>
                                      </w:rPr>
                                      <w:t>customer.service@delwp.vic.gov.au</w:t>
                                    </w:r>
                                  </w:hyperlink>
                                  <w:r w:rsidRPr="00BE2F5F">
                                    <w:rPr>
                                      <w:sz w:val="28"/>
                                      <w:szCs w:val="28"/>
                                    </w:rPr>
                                    <w:t xml:space="preserve">, via the National Relay Service on 133 677 </w:t>
                                  </w:r>
                                  <w:hyperlink r:id="rId25" w:history="1">
                                    <w:r w:rsidRPr="00BE2F5F">
                                      <w:rPr>
                                        <w:sz w:val="28"/>
                                        <w:szCs w:val="28"/>
                                      </w:rPr>
                                      <w:t>www.relayservice.com.au</w:t>
                                    </w:r>
                                  </w:hyperlink>
                                  <w:r w:rsidRPr="00BE2F5F">
                                    <w:rPr>
                                      <w:sz w:val="28"/>
                                      <w:szCs w:val="28"/>
                                    </w:rPr>
                                    <w:t xml:space="preserve">. This document is also available on the internet at </w:t>
                                  </w:r>
                                  <w:hyperlink r:id="rId26"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6pt;margin-top:143.3pt;width:526.2pt;height:21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" fillcolor="white [3201]" strokecolor="#bfbfbf [2412]" strokeweight=".5pt">
                <v:textbox>
                  <w:txbxContent>
                    <w:tbl>
                      <w:tblPr>
                        <w:tblW w:w="10456" w:type="dxa"/>
                        <w:tblLook w:val="01E0" w:firstRow="1" w:lastRow="1" w:firstColumn="1" w:lastColumn="1" w:noHBand="0" w:noVBand="0"/>
                      </w:tblPr>
                      <w:tblGrid>
                        <w:gridCol w:w="5228"/>
                        <w:gridCol w:w="5228"/>
                      </w:tblGrid>
                      <w:tr w:rsidR="006A17D7" w:rsidRPr="0072604A" w:rsidTr="007B7013">
                        <w:trPr>
                          <w:trHeight w:val="2241"/>
                        </w:trPr>
                        <w:tc>
                          <w:tcPr>
                            <w:tcW w:w="5228" w:type="dxa"/>
                            <w:shd w:val="clear" w:color="auto" w:fill="auto"/>
                          </w:tcPr>
                          <w:p w:rsidR="006A17D7" w:rsidRPr="00BE2F5F" w:rsidRDefault="006A17D7" w:rsidP="007B7013">
                            <w:pPr>
                              <w:pStyle w:val="ImprintText"/>
                            </w:pPr>
                            <w:r w:rsidRPr="00BE2F5F">
                              <w:t xml:space="preserve">© The State of Victoria Department of Environment, Land, Water and </w:t>
                            </w:r>
                            <w:r w:rsidRPr="00BE2F5F">
                              <w:br/>
                              <w:t>Planning 201</w:t>
                            </w:r>
                            <w:r w:rsidR="00E31373">
                              <w:t>6</w:t>
                            </w:r>
                          </w:p>
                          <w:p w:rsidR="006A17D7" w:rsidRPr="00BE2F5F" w:rsidRDefault="006A17D7" w:rsidP="007B7013">
                            <w:pPr>
                              <w:pStyle w:val="ImprintText"/>
                            </w:pPr>
                            <w:r w:rsidRPr="00BE2F5F">
                              <w:rPr>
                                <w:noProof/>
                                <w:lang w:eastAsia="en-AU"/>
                              </w:rPr>
                              <w:drawing>
                                <wp:inline distT="0" distB="0" distL="0" distR="0" wp14:anchorId="00FA3655" wp14:editId="1A03013F">
                                  <wp:extent cx="762000" cy="266700"/>
                                  <wp:effectExtent l="0" t="0" r="0" b="0"/>
                                  <wp:docPr id="11" name="Picture 1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7"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8" w:history="1">
                              <w:r w:rsidRPr="00697C8D">
                                <w:rPr>
                                  <w:rStyle w:val="Hyperlink"/>
                                </w:rPr>
                                <w:t>http://creativecommons.org/licenses/by/4.0/</w:t>
                              </w:r>
                            </w:hyperlink>
                          </w:p>
                          <w:p w:rsidR="006A17D7" w:rsidRPr="00BE2F5F" w:rsidRDefault="006A17D7" w:rsidP="007B7013">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6A17D7" w:rsidRDefault="006A17D7" w:rsidP="007B7013">
                            <w:pPr>
                              <w:pStyle w:val="ImprintText"/>
                              <w:rPr>
                                <w:sz w:val="28"/>
                                <w:szCs w:val="28"/>
                              </w:rPr>
                            </w:pPr>
                            <w:r w:rsidRPr="00750DFC">
                              <w:rPr>
                                <w:b/>
                                <w:bCs/>
                                <w:sz w:val="28"/>
                                <w:szCs w:val="28"/>
                              </w:rPr>
                              <w:t>Accessibility</w:t>
                            </w:r>
                          </w:p>
                          <w:p w:rsidR="006A17D7" w:rsidRPr="00BE2F5F" w:rsidRDefault="006A17D7" w:rsidP="00237B7D">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9" w:history="1">
                              <w:r w:rsidRPr="00BE2F5F">
                                <w:rPr>
                                  <w:sz w:val="28"/>
                                  <w:szCs w:val="28"/>
                                </w:rPr>
                                <w:t>customer.service@delwp.vic.gov.au</w:t>
                              </w:r>
                            </w:hyperlink>
                            <w:r w:rsidRPr="00BE2F5F">
                              <w:rPr>
                                <w:sz w:val="28"/>
                                <w:szCs w:val="28"/>
                              </w:rPr>
                              <w:t xml:space="preserve">, via the National Relay Service on 133 677 </w:t>
                            </w:r>
                            <w:hyperlink r:id="rId30" w:history="1">
                              <w:r w:rsidRPr="00BE2F5F">
                                <w:rPr>
                                  <w:sz w:val="28"/>
                                  <w:szCs w:val="28"/>
                                </w:rPr>
                                <w:t>www.relayservice.com.au</w:t>
                              </w:r>
                            </w:hyperlink>
                            <w:r w:rsidRPr="00BE2F5F">
                              <w:rPr>
                                <w:sz w:val="28"/>
                                <w:szCs w:val="28"/>
                              </w:rPr>
                              <w:t xml:space="preserve">. This document is also available on the internet at </w:t>
                            </w:r>
                            <w:hyperlink r:id="rId31" w:history="1">
                              <w:r w:rsidRPr="00A04B2B">
                                <w:rPr>
                                  <w:rStyle w:val="Hyperlink"/>
                                  <w:sz w:val="28"/>
                                  <w:szCs w:val="28"/>
                                </w:rPr>
                                <w:t>www.delwp.vic.gov.au</w:t>
                              </w:r>
                            </w:hyperlink>
                            <w:r w:rsidRPr="00BE2F5F">
                              <w:rPr>
                                <w:sz w:val="28"/>
                                <w:szCs w:val="28"/>
                              </w:rPr>
                              <w:br/>
                            </w:r>
                            <w:r w:rsidRPr="00BE2F5F">
                              <w:rPr>
                                <w:b/>
                                <w:bCs/>
                                <w:sz w:val="28"/>
                                <w:szCs w:val="28"/>
                              </w:rPr>
                              <w:br/>
                            </w:r>
                          </w:p>
                        </w:tc>
                      </w:tr>
                    </w:tbl>
                    <w:p w:rsidR="006A17D7" w:rsidRDefault="006A17D7"/>
                  </w:txbxContent>
                </v:textbox>
              </v:shape>
            </w:pict>
          </mc:Fallback>
        </mc:AlternateContent>
      </w:r>
    </w:p>
    <w:sectPr w:rsidR="00D444E8" w:rsidRPr="0079489C" w:rsidSect="001615B5">
      <w:type w:val="continuous"/>
      <w:pgSz w:w="11907" w:h="16840" w:code="9"/>
      <w:pgMar w:top="2006" w:right="567" w:bottom="851" w:left="1134" w:header="284" w:footer="595"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D7" w:rsidRDefault="006A17D7">
      <w:r>
        <w:separator/>
      </w:r>
    </w:p>
  </w:endnote>
  <w:endnote w:type="continuationSeparator" w:id="0">
    <w:p w:rsidR="006A17D7" w:rsidRDefault="006A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useoSans-3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Pr="0072604A" w:rsidRDefault="006A17D7" w:rsidP="0072604A">
    <w:pPr>
      <w:spacing w:before="480"/>
      <w:rPr>
        <w:rFonts w:cs="Calibri"/>
        <w:color w:val="636466"/>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2015AD">
    <w:pPr>
      <w:pStyle w:val="Footer"/>
    </w:pPr>
    <w:r>
      <w:rPr>
        <w:noProof/>
        <w:lang w:eastAsia="en-AU"/>
      </w:rPr>
      <w:drawing>
        <wp:anchor distT="0" distB="0" distL="114300" distR="114300" simplePos="0" relativeHeight="251660288" behindDoc="0" locked="0" layoutInCell="1" allowOverlap="1" wp14:anchorId="0C260DE9" wp14:editId="2AF06968">
          <wp:simplePos x="0" y="0"/>
          <wp:positionH relativeFrom="column">
            <wp:posOffset>4328160</wp:posOffset>
          </wp:positionH>
          <wp:positionV relativeFrom="paragraph">
            <wp:posOffset>-86277</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r w:rsidRPr="0072604A">
      <w:rPr>
        <w:rFonts w:cs="Calibri"/>
        <w:color w:val="636466"/>
        <w:sz w:val="26"/>
      </w:rPr>
      <w:t>www.delwp.vic.gov.au</w:t>
    </w:r>
    <w:r>
      <w:rPr>
        <w:noProof/>
        <w:lang w:eastAsia="en-A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D7" w:rsidRDefault="006A17D7">
      <w:r>
        <w:separator/>
      </w:r>
    </w:p>
  </w:footnote>
  <w:footnote w:type="continuationSeparator" w:id="0">
    <w:p w:rsidR="006A17D7" w:rsidRDefault="006A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F83A6F">
    <w:pPr>
      <w:rPr>
        <w:lang w:val="en-US"/>
      </w:rPr>
    </w:pPr>
  </w:p>
  <w:tbl>
    <w:tblPr>
      <w:tblW w:w="0" w:type="auto"/>
      <w:tblInd w:w="108" w:type="dxa"/>
      <w:tblLook w:val="01E0" w:firstRow="1" w:lastRow="1" w:firstColumn="1" w:lastColumn="1" w:noHBand="0" w:noVBand="0"/>
    </w:tblPr>
    <w:tblGrid>
      <w:gridCol w:w="9747"/>
    </w:tblGrid>
    <w:tr w:rsidR="006A17D7" w:rsidRPr="00F83A6F" w:rsidTr="00B87CF6">
      <w:trPr>
        <w:trHeight w:val="1289"/>
      </w:trPr>
      <w:tc>
        <w:tcPr>
          <w:tcW w:w="9747" w:type="dxa"/>
          <w:shd w:val="clear" w:color="auto" w:fill="auto"/>
          <w:vAlign w:val="center"/>
        </w:tcPr>
        <w:p w:rsidR="006A17D7" w:rsidRDefault="006A17D7" w:rsidP="00B87CF6">
          <w:r>
            <w:rPr>
              <w:noProof/>
              <w:lang w:eastAsia="en-AU"/>
            </w:rPr>
            <w:drawing>
              <wp:anchor distT="0" distB="0" distL="114300" distR="114300" simplePos="0" relativeHeight="251657216" behindDoc="1" locked="0" layoutInCell="1" allowOverlap="1" wp14:anchorId="29B45E28" wp14:editId="078CFCBA">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7D7" w:rsidRPr="00F83A6F" w:rsidRDefault="006A17D7" w:rsidP="003F2FCF">
          <w:pPr>
            <w:pStyle w:val="CertHDWhite"/>
            <w:tabs>
              <w:tab w:val="right" w:pos="9248"/>
            </w:tabs>
          </w:pPr>
          <w:r>
            <w:t xml:space="preserve">Customer Information Bulletin </w:t>
          </w:r>
          <w:r w:rsidR="00B0728E">
            <w:t>15</w:t>
          </w:r>
          <w:r w:rsidR="003F2FCF">
            <w:t>7</w:t>
          </w:r>
          <w:r w:rsidR="0078049D">
            <w:tab/>
          </w:r>
          <w:r w:rsidR="0078049D">
            <w:fldChar w:fldCharType="begin"/>
          </w:r>
          <w:r w:rsidR="0078049D">
            <w:instrText xml:space="preserve"> PAGE   \* MERGEFORMAT </w:instrText>
          </w:r>
          <w:r w:rsidR="0078049D">
            <w:fldChar w:fldCharType="separate"/>
          </w:r>
          <w:r w:rsidR="00211C9F">
            <w:rPr>
              <w:noProof/>
            </w:rPr>
            <w:t>2</w:t>
          </w:r>
          <w:r w:rsidR="0078049D">
            <w:rPr>
              <w:noProof/>
            </w:rPr>
            <w:fldChar w:fldCharType="end"/>
          </w:r>
        </w:p>
      </w:tc>
    </w:tr>
  </w:tbl>
  <w:p w:rsidR="006A17D7" w:rsidRDefault="006A17D7"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D7" w:rsidRDefault="006A17D7" w:rsidP="0003050C">
    <w:pPr>
      <w:pStyle w:val="Header"/>
    </w:pPr>
    <w:r>
      <w:rPr>
        <w:noProof/>
        <w:lang w:eastAsia="en-AU"/>
      </w:rPr>
      <w:drawing>
        <wp:anchor distT="0" distB="0" distL="114300" distR="114300" simplePos="0" relativeHeight="251656192" behindDoc="1" locked="0" layoutInCell="1" allowOverlap="1" wp14:anchorId="2572D811" wp14:editId="41D7BACC">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60BCA20A"/>
    <w:lvl w:ilvl="0" w:tplc="F3DE0C98">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2E4DE4"/>
    <w:multiLevelType w:val="hybridMultilevel"/>
    <w:tmpl w:val="D7EE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271ED2"/>
    <w:multiLevelType w:val="hybridMultilevel"/>
    <w:tmpl w:val="0D88567C"/>
    <w:lvl w:ilvl="0" w:tplc="D56AD4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B44273"/>
    <w:multiLevelType w:val="hybridMultilevel"/>
    <w:tmpl w:val="0674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0"/>
  </w:num>
  <w:num w:numId="14">
    <w:abstractNumId w:val="14"/>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2"/>
  </w:num>
  <w:num w:numId="22">
    <w:abstractNumId w:val="15"/>
  </w:num>
  <w:num w:numId="23">
    <w:abstractNumId w:val="18"/>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5CC7"/>
    <w:rsid w:val="0004692B"/>
    <w:rsid w:val="00055FEF"/>
    <w:rsid w:val="00063E31"/>
    <w:rsid w:val="0008754B"/>
    <w:rsid w:val="00091E87"/>
    <w:rsid w:val="0009699E"/>
    <w:rsid w:val="000A2823"/>
    <w:rsid w:val="000C3259"/>
    <w:rsid w:val="000C39E4"/>
    <w:rsid w:val="00120C40"/>
    <w:rsid w:val="00120F3F"/>
    <w:rsid w:val="00124D70"/>
    <w:rsid w:val="00125376"/>
    <w:rsid w:val="00135491"/>
    <w:rsid w:val="00136A62"/>
    <w:rsid w:val="00154577"/>
    <w:rsid w:val="001615B5"/>
    <w:rsid w:val="00177115"/>
    <w:rsid w:val="00181FBC"/>
    <w:rsid w:val="001A243B"/>
    <w:rsid w:val="001C3014"/>
    <w:rsid w:val="001E2024"/>
    <w:rsid w:val="001F59EF"/>
    <w:rsid w:val="001F5F56"/>
    <w:rsid w:val="001F7FE6"/>
    <w:rsid w:val="002015AD"/>
    <w:rsid w:val="00201F7B"/>
    <w:rsid w:val="0020255B"/>
    <w:rsid w:val="00211C9F"/>
    <w:rsid w:val="002122D2"/>
    <w:rsid w:val="00217D52"/>
    <w:rsid w:val="00223A07"/>
    <w:rsid w:val="002359EC"/>
    <w:rsid w:val="00236DA4"/>
    <w:rsid w:val="00237B7D"/>
    <w:rsid w:val="00246D68"/>
    <w:rsid w:val="002526EA"/>
    <w:rsid w:val="00261DCB"/>
    <w:rsid w:val="002670E9"/>
    <w:rsid w:val="00271B91"/>
    <w:rsid w:val="00285925"/>
    <w:rsid w:val="00292D84"/>
    <w:rsid w:val="002B696E"/>
    <w:rsid w:val="002C12E4"/>
    <w:rsid w:val="002C4BC3"/>
    <w:rsid w:val="002C5BA2"/>
    <w:rsid w:val="002D3CC8"/>
    <w:rsid w:val="002D680B"/>
    <w:rsid w:val="002E22D6"/>
    <w:rsid w:val="002E2EC1"/>
    <w:rsid w:val="003119DD"/>
    <w:rsid w:val="00315D75"/>
    <w:rsid w:val="00321F9E"/>
    <w:rsid w:val="00330679"/>
    <w:rsid w:val="003C2962"/>
    <w:rsid w:val="003D42F1"/>
    <w:rsid w:val="003E0B9A"/>
    <w:rsid w:val="003F2FCF"/>
    <w:rsid w:val="003F437F"/>
    <w:rsid w:val="003F5A5C"/>
    <w:rsid w:val="00404EF3"/>
    <w:rsid w:val="0043348E"/>
    <w:rsid w:val="004426E1"/>
    <w:rsid w:val="00455AC0"/>
    <w:rsid w:val="0047538B"/>
    <w:rsid w:val="004969C1"/>
    <w:rsid w:val="004B25E4"/>
    <w:rsid w:val="004D7C82"/>
    <w:rsid w:val="004E4BDF"/>
    <w:rsid w:val="004E6888"/>
    <w:rsid w:val="0050769F"/>
    <w:rsid w:val="00512102"/>
    <w:rsid w:val="005123FB"/>
    <w:rsid w:val="005229C6"/>
    <w:rsid w:val="00524C52"/>
    <w:rsid w:val="005304F7"/>
    <w:rsid w:val="00534B38"/>
    <w:rsid w:val="00540762"/>
    <w:rsid w:val="00544B68"/>
    <w:rsid w:val="00557AFB"/>
    <w:rsid w:val="00557B17"/>
    <w:rsid w:val="00560758"/>
    <w:rsid w:val="00573E23"/>
    <w:rsid w:val="00575F3A"/>
    <w:rsid w:val="00582724"/>
    <w:rsid w:val="005B3CE8"/>
    <w:rsid w:val="005D0A99"/>
    <w:rsid w:val="005E3342"/>
    <w:rsid w:val="00603134"/>
    <w:rsid w:val="00606451"/>
    <w:rsid w:val="00616077"/>
    <w:rsid w:val="00617B14"/>
    <w:rsid w:val="00623482"/>
    <w:rsid w:val="00631645"/>
    <w:rsid w:val="006322A4"/>
    <w:rsid w:val="00644C88"/>
    <w:rsid w:val="00653D2B"/>
    <w:rsid w:val="00656186"/>
    <w:rsid w:val="006741C5"/>
    <w:rsid w:val="006750E0"/>
    <w:rsid w:val="00675636"/>
    <w:rsid w:val="00697C8D"/>
    <w:rsid w:val="006A17D7"/>
    <w:rsid w:val="006B4688"/>
    <w:rsid w:val="006F53DB"/>
    <w:rsid w:val="006F707D"/>
    <w:rsid w:val="006F7091"/>
    <w:rsid w:val="0070362A"/>
    <w:rsid w:val="0072409C"/>
    <w:rsid w:val="0072604A"/>
    <w:rsid w:val="00731631"/>
    <w:rsid w:val="007349C1"/>
    <w:rsid w:val="007429A1"/>
    <w:rsid w:val="00752E36"/>
    <w:rsid w:val="00756A07"/>
    <w:rsid w:val="00760421"/>
    <w:rsid w:val="007702BD"/>
    <w:rsid w:val="0078049D"/>
    <w:rsid w:val="0079021A"/>
    <w:rsid w:val="0079489C"/>
    <w:rsid w:val="007A39EE"/>
    <w:rsid w:val="007B0E45"/>
    <w:rsid w:val="007B1469"/>
    <w:rsid w:val="007B62F8"/>
    <w:rsid w:val="007B6E26"/>
    <w:rsid w:val="007B7013"/>
    <w:rsid w:val="007E3E33"/>
    <w:rsid w:val="007F5211"/>
    <w:rsid w:val="00824C60"/>
    <w:rsid w:val="0083541B"/>
    <w:rsid w:val="00865A63"/>
    <w:rsid w:val="00872BAF"/>
    <w:rsid w:val="008732EE"/>
    <w:rsid w:val="008832F9"/>
    <w:rsid w:val="008A3B87"/>
    <w:rsid w:val="008A6BBA"/>
    <w:rsid w:val="008B61B5"/>
    <w:rsid w:val="008C1B1D"/>
    <w:rsid w:val="008D1885"/>
    <w:rsid w:val="008E3EA8"/>
    <w:rsid w:val="008F4932"/>
    <w:rsid w:val="00902AB6"/>
    <w:rsid w:val="009256BC"/>
    <w:rsid w:val="00926BDE"/>
    <w:rsid w:val="00927E6A"/>
    <w:rsid w:val="00953344"/>
    <w:rsid w:val="00962D3B"/>
    <w:rsid w:val="00972191"/>
    <w:rsid w:val="0097585D"/>
    <w:rsid w:val="00977DD4"/>
    <w:rsid w:val="00981EA2"/>
    <w:rsid w:val="009872FB"/>
    <w:rsid w:val="009914C5"/>
    <w:rsid w:val="00996578"/>
    <w:rsid w:val="009A2885"/>
    <w:rsid w:val="009C051B"/>
    <w:rsid w:val="009C3B5A"/>
    <w:rsid w:val="009E24AE"/>
    <w:rsid w:val="009E666D"/>
    <w:rsid w:val="009E66AE"/>
    <w:rsid w:val="009F2D92"/>
    <w:rsid w:val="00A0021E"/>
    <w:rsid w:val="00A03F08"/>
    <w:rsid w:val="00A04614"/>
    <w:rsid w:val="00A04B2B"/>
    <w:rsid w:val="00A05234"/>
    <w:rsid w:val="00A11FE6"/>
    <w:rsid w:val="00A26A7D"/>
    <w:rsid w:val="00A32045"/>
    <w:rsid w:val="00A332BE"/>
    <w:rsid w:val="00A357C2"/>
    <w:rsid w:val="00A36BC9"/>
    <w:rsid w:val="00A37BFA"/>
    <w:rsid w:val="00A4593C"/>
    <w:rsid w:val="00A56B2A"/>
    <w:rsid w:val="00A56C4D"/>
    <w:rsid w:val="00A6450E"/>
    <w:rsid w:val="00A67D11"/>
    <w:rsid w:val="00A730A4"/>
    <w:rsid w:val="00A8355F"/>
    <w:rsid w:val="00A83A7C"/>
    <w:rsid w:val="00A85593"/>
    <w:rsid w:val="00A876BC"/>
    <w:rsid w:val="00AA6401"/>
    <w:rsid w:val="00AC0ECF"/>
    <w:rsid w:val="00AF4DB4"/>
    <w:rsid w:val="00B068DA"/>
    <w:rsid w:val="00B0728E"/>
    <w:rsid w:val="00B077CF"/>
    <w:rsid w:val="00B137B4"/>
    <w:rsid w:val="00B16E6D"/>
    <w:rsid w:val="00B24A07"/>
    <w:rsid w:val="00B475BF"/>
    <w:rsid w:val="00B87CF6"/>
    <w:rsid w:val="00B95745"/>
    <w:rsid w:val="00BB37E4"/>
    <w:rsid w:val="00BC0B9F"/>
    <w:rsid w:val="00BC17E8"/>
    <w:rsid w:val="00BD4BC3"/>
    <w:rsid w:val="00BE2F5F"/>
    <w:rsid w:val="00BE762A"/>
    <w:rsid w:val="00BF62F9"/>
    <w:rsid w:val="00C05FCA"/>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2499"/>
    <w:rsid w:val="00D13102"/>
    <w:rsid w:val="00D25DD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2414C"/>
    <w:rsid w:val="00E24DCF"/>
    <w:rsid w:val="00E265E2"/>
    <w:rsid w:val="00E30FFD"/>
    <w:rsid w:val="00E31373"/>
    <w:rsid w:val="00E325A1"/>
    <w:rsid w:val="00E35BD2"/>
    <w:rsid w:val="00E464E4"/>
    <w:rsid w:val="00E5019C"/>
    <w:rsid w:val="00E51072"/>
    <w:rsid w:val="00E56D27"/>
    <w:rsid w:val="00E6278D"/>
    <w:rsid w:val="00E72BB3"/>
    <w:rsid w:val="00E81796"/>
    <w:rsid w:val="00E8448C"/>
    <w:rsid w:val="00E9178F"/>
    <w:rsid w:val="00EA31C2"/>
    <w:rsid w:val="00EB2BB2"/>
    <w:rsid w:val="00EB75EA"/>
    <w:rsid w:val="00EC446A"/>
    <w:rsid w:val="00EC4DCD"/>
    <w:rsid w:val="00EC6F19"/>
    <w:rsid w:val="00EE5D26"/>
    <w:rsid w:val="00EF66FB"/>
    <w:rsid w:val="00F0013D"/>
    <w:rsid w:val="00F00244"/>
    <w:rsid w:val="00F13B95"/>
    <w:rsid w:val="00F15CF7"/>
    <w:rsid w:val="00F16117"/>
    <w:rsid w:val="00F27E16"/>
    <w:rsid w:val="00F46148"/>
    <w:rsid w:val="00F54B4B"/>
    <w:rsid w:val="00F54CCE"/>
    <w:rsid w:val="00F67782"/>
    <w:rsid w:val="00F708A6"/>
    <w:rsid w:val="00F74678"/>
    <w:rsid w:val="00F83A6F"/>
    <w:rsid w:val="00F845F4"/>
    <w:rsid w:val="00F910D5"/>
    <w:rsid w:val="00F930FD"/>
    <w:rsid w:val="00FA2BC8"/>
    <w:rsid w:val="00FC01F8"/>
    <w:rsid w:val="00FD34FA"/>
    <w:rsid w:val="00FD674C"/>
    <w:rsid w:val="00FE229F"/>
    <w:rsid w:val="00FE4EB7"/>
    <w:rsid w:val="00FF0FE0"/>
    <w:rsid w:val="00FF2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6A6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indentnodot">
    <w:name w:val="_Bullet indent no dot"/>
    <w:basedOn w:val="Bullet"/>
    <w:uiPriority w:val="99"/>
    <w:qFormat/>
    <w:rsid w:val="00E265E2"/>
    <w:pPr>
      <w:numPr>
        <w:numId w:val="0"/>
      </w:numPr>
      <w:ind w:left="426"/>
    </w:pPr>
  </w:style>
  <w:style w:type="paragraph" w:customStyle="1" w:styleId="Bulletabc">
    <w:name w:val="_Bullet abc"/>
    <w:basedOn w:val="Body"/>
    <w:uiPriority w:val="99"/>
    <w:qFormat/>
    <w:rsid w:val="00E265E2"/>
    <w:pPr>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property-and-land-titles/forms,-guides-and-fees/fees" TargetMode="External"/><Relationship Id="rId13" Type="http://schemas.openxmlformats.org/officeDocument/2006/relationships/hyperlink" Target="http://www.delwp.vic.gov.au/property-and-land-titles/forms,-guides-and-fees/transfer-of-land-act" TargetMode="External"/><Relationship Id="rId18" Type="http://schemas.openxmlformats.org/officeDocument/2006/relationships/footer" Target="footer1.xml"/><Relationship Id="rId26" Type="http://schemas.openxmlformats.org/officeDocument/2006/relationships/hyperlink" Target="http://www.delwp.vic.gov.au" TargetMode="External"/><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pexa.com.au/caveats" TargetMode="External"/><Relationship Id="rId17" Type="http://schemas.openxmlformats.org/officeDocument/2006/relationships/header" Target="header1.xml"/><Relationship Id="rId25" Type="http://schemas.openxmlformats.org/officeDocument/2006/relationships/hyperlink" Target="http://www.relayservice.com.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elwp.vic.gov.au/property" TargetMode="External"/><Relationship Id="rId20" Type="http://schemas.openxmlformats.org/officeDocument/2006/relationships/footer" Target="footer2.xml"/><Relationship Id="rId29" Type="http://schemas.openxmlformats.org/officeDocument/2006/relationships/hyperlink" Target="mailto:customer.service@delwp.vic.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lwp.vic.gov.au/property" TargetMode="External"/><Relationship Id="rId24" Type="http://schemas.openxmlformats.org/officeDocument/2006/relationships/hyperlink" Target="mailto:customer.service@delwp.vic.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tpli.vic.gov.au/property-and-land-titles/contact-us" TargetMode="External"/><Relationship Id="rId23" Type="http://schemas.openxmlformats.org/officeDocument/2006/relationships/hyperlink" Target="http://creativecommons.org/licenses/by/4.0/" TargetMode="External"/><Relationship Id="rId28" Type="http://schemas.openxmlformats.org/officeDocument/2006/relationships/hyperlink" Target="http://creativecommons.org/licenses/by/4.0/" TargetMode="External"/><Relationship Id="rId10" Type="http://schemas.openxmlformats.org/officeDocument/2006/relationships/hyperlink" Target="http://www.dtpli.vic.gov.au/property-and-land-titles/land-titles/plans-of-subdivision-and-consolidation" TargetMode="External"/><Relationship Id="rId19" Type="http://schemas.openxmlformats.org/officeDocument/2006/relationships/header" Target="header2.xml"/><Relationship Id="rId31"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delwp.vic.gov.au/property-forms" TargetMode="External"/><Relationship Id="rId14" Type="http://schemas.openxmlformats.org/officeDocument/2006/relationships/hyperlink" Target="http://www.delwp.vic.gov.au/property-forms" TargetMode="External"/><Relationship Id="rId22" Type="http://schemas.openxmlformats.org/officeDocument/2006/relationships/hyperlink" Target="http://creativecommons.org/licenses/by/4.0/" TargetMode="External"/><Relationship Id="rId27" Type="http://schemas.openxmlformats.org/officeDocument/2006/relationships/hyperlink" Target="http://creativecommons.org/licenses/by/4.0/" TargetMode="External"/><Relationship Id="rId30" Type="http://schemas.openxmlformats.org/officeDocument/2006/relationships/hyperlink" Target="http://www.relayservice.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611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2016-05-04T02:11:00Z</dcterms:created>
  <dcterms:modified xsi:type="dcterms:W3CDTF">2016-05-04T05:21:00Z</dcterms:modified>
</cp:coreProperties>
</file>