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BA4D69" w:rsidP="009B1003">
            <w:pPr>
              <w:pStyle w:val="Title"/>
            </w:pPr>
            <w:r>
              <w:t>Land Use Victoria</w:t>
            </w:r>
            <w:r>
              <w:br/>
              <w:t>Customer Information Bulletin 174</w:t>
            </w:r>
            <w:r>
              <w:br/>
              <w:t>January 2018</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BA4D69" w:rsidRPr="00652B53" w:rsidRDefault="00BA4D69" w:rsidP="00BA4D69">
      <w:pPr>
        <w:pStyle w:val="Heading1"/>
        <w:spacing w:after="240"/>
      </w:pPr>
      <w:bookmarkStart w:id="0" w:name="Here"/>
      <w:bookmarkEnd w:id="0"/>
      <w:r w:rsidRPr="00652B53">
        <w:t>Bulk conversion of paper Certificates of Title to electronic Certificates of Title</w:t>
      </w:r>
    </w:p>
    <w:p w:rsidR="00BA4D69" w:rsidRPr="00D56375" w:rsidRDefault="00BA4D69" w:rsidP="00E05743">
      <w:pPr>
        <w:pStyle w:val="Body"/>
      </w:pPr>
      <w:r w:rsidRPr="00D56375">
        <w:t>On 23 February 2018, Land Use Victoria will facilitate a bulk conversion of paper C</w:t>
      </w:r>
      <w:r w:rsidR="001C58C1">
        <w:t xml:space="preserve">ertificates of </w:t>
      </w:r>
      <w:r w:rsidRPr="00D56375">
        <w:t>T</w:t>
      </w:r>
      <w:r w:rsidR="001C58C1">
        <w:t>itle</w:t>
      </w:r>
      <w:r w:rsidRPr="00D56375">
        <w:t xml:space="preserve"> (pCTs)</w:t>
      </w:r>
      <w:r w:rsidR="00FF1B9A">
        <w:t xml:space="preserve"> to electronic Certificates of Titles (eCTs)</w:t>
      </w:r>
      <w:r w:rsidRPr="00D56375">
        <w:t xml:space="preserve"> </w:t>
      </w:r>
      <w:r w:rsidR="00FF1B9A">
        <w:t>when</w:t>
      </w:r>
      <w:r w:rsidRPr="00D56375">
        <w:t xml:space="preserve"> any of the following banks are recorded as the first mortgagee:</w:t>
      </w:r>
    </w:p>
    <w:p w:rsidR="00BA4D69" w:rsidRPr="00D56375" w:rsidRDefault="00BA4D69" w:rsidP="00BA4D69">
      <w:pPr>
        <w:pStyle w:val="Bullet"/>
      </w:pPr>
      <w:r w:rsidRPr="00D56375">
        <w:t>Gateway Credit Union Ltd</w:t>
      </w:r>
    </w:p>
    <w:p w:rsidR="00BA4D69" w:rsidRPr="00D56375" w:rsidRDefault="00BA4D69" w:rsidP="00BA4D69">
      <w:pPr>
        <w:pStyle w:val="Bullet"/>
      </w:pPr>
      <w:r w:rsidRPr="00D56375">
        <w:t xml:space="preserve">Community CPS Australia Ltd </w:t>
      </w:r>
    </w:p>
    <w:p w:rsidR="00BA4D69" w:rsidRPr="00D56375" w:rsidRDefault="00BA4D69" w:rsidP="00BA4D69">
      <w:pPr>
        <w:pStyle w:val="Bullet"/>
      </w:pPr>
      <w:r w:rsidRPr="00D56375">
        <w:t>Credit Union Australia Ltd</w:t>
      </w:r>
    </w:p>
    <w:p w:rsidR="00BA4D69" w:rsidRPr="00D56375" w:rsidRDefault="00BA4D69" w:rsidP="00BA4D69">
      <w:pPr>
        <w:pStyle w:val="Bullet"/>
      </w:pPr>
      <w:r w:rsidRPr="00D56375">
        <w:t>Bank of Queensland</w:t>
      </w:r>
    </w:p>
    <w:p w:rsidR="00BA4D69" w:rsidRPr="00D56375" w:rsidRDefault="00BA4D69" w:rsidP="00BA4D69">
      <w:pPr>
        <w:pStyle w:val="Bullet"/>
      </w:pPr>
      <w:r w:rsidRPr="00D56375">
        <w:t>Macquarie Bank Ltd</w:t>
      </w:r>
    </w:p>
    <w:p w:rsidR="00BA4D69" w:rsidRPr="00D56375" w:rsidRDefault="00BA4D69" w:rsidP="00BA4D69">
      <w:pPr>
        <w:pStyle w:val="Bullet"/>
      </w:pPr>
      <w:r w:rsidRPr="00D56375">
        <w:t>Suncorp-Metway Ltd</w:t>
      </w:r>
      <w:r w:rsidR="001C58C1">
        <w:t>.</w:t>
      </w:r>
    </w:p>
    <w:p w:rsidR="00BA4D69" w:rsidRPr="00D56375" w:rsidRDefault="00BA4D69" w:rsidP="00E05743">
      <w:pPr>
        <w:pStyle w:val="Body"/>
      </w:pPr>
      <w:r w:rsidRPr="00D56375">
        <w:t xml:space="preserve">Under section 27BAA of the </w:t>
      </w:r>
      <w:r w:rsidRPr="003C2384">
        <w:rPr>
          <w:i/>
        </w:rPr>
        <w:t>Transfer of Land Act 1958</w:t>
      </w:r>
      <w:r w:rsidRPr="00D56375">
        <w:t xml:space="preserve">, the Registrar of Titles will declare by notice in the </w:t>
      </w:r>
      <w:r w:rsidRPr="003C2384">
        <w:rPr>
          <w:i/>
        </w:rPr>
        <w:t>Victoria Government</w:t>
      </w:r>
      <w:r w:rsidRPr="00D56375">
        <w:t xml:space="preserve"> </w:t>
      </w:r>
      <w:r w:rsidRPr="003C2384">
        <w:rPr>
          <w:i/>
        </w:rPr>
        <w:t>Gazette</w:t>
      </w:r>
      <w:r w:rsidRPr="00D56375">
        <w:t xml:space="preserve"> that these pCTs will be void and of no effect after 2</w:t>
      </w:r>
      <w:r>
        <w:t xml:space="preserve">4 February </w:t>
      </w:r>
      <w:r w:rsidRPr="00D56375">
        <w:t>201</w:t>
      </w:r>
      <w:r>
        <w:t>8</w:t>
      </w:r>
      <w:r w:rsidRPr="00D56375">
        <w:t>.  From then on, the C</w:t>
      </w:r>
      <w:r w:rsidR="001C58C1">
        <w:t xml:space="preserve">ertificates of </w:t>
      </w:r>
      <w:r w:rsidRPr="00D56375">
        <w:t>T</w:t>
      </w:r>
      <w:r w:rsidR="001C58C1">
        <w:t>itle</w:t>
      </w:r>
      <w:r w:rsidRPr="00D56375">
        <w:t xml:space="preserve"> held by these banks will be eCTs and the relevant bank will be recorded as the eCT Control </w:t>
      </w:r>
      <w:r w:rsidR="001C58C1">
        <w:t>–</w:t>
      </w:r>
      <w:r w:rsidR="001C58C1" w:rsidRPr="00D56375">
        <w:t xml:space="preserve"> </w:t>
      </w:r>
      <w:r w:rsidRPr="00D56375">
        <w:t>the party entitled to control the eCT.</w:t>
      </w:r>
    </w:p>
    <w:p w:rsidR="00BA4D69" w:rsidRPr="00FF4197" w:rsidRDefault="00BA4D69" w:rsidP="00E05743">
      <w:pPr>
        <w:pStyle w:val="Body"/>
      </w:pPr>
      <w:r w:rsidRPr="00D56375">
        <w:t>Transactions lodged on or after 2</w:t>
      </w:r>
      <w:r>
        <w:t>4</w:t>
      </w:r>
      <w:r w:rsidRPr="00D56375">
        <w:t xml:space="preserve"> </w:t>
      </w:r>
      <w:r>
        <w:t xml:space="preserve">February </w:t>
      </w:r>
      <w:r w:rsidRPr="00D56375">
        <w:t>201</w:t>
      </w:r>
      <w:r>
        <w:t>8</w:t>
      </w:r>
      <w:r w:rsidRPr="00D56375">
        <w:t xml:space="preserve"> involving a folio of the Register, where these banks are first mortgagee, will be supported by an eCT. Only an eCT will issue after a transaction is registered if one of these banks is the incoming first mortgagee.</w:t>
      </w:r>
    </w:p>
    <w:p w:rsidR="00BA4D69" w:rsidRDefault="007D47A9" w:rsidP="00BA4D69">
      <w:pPr>
        <w:pStyle w:val="Heading1"/>
        <w:spacing w:after="240"/>
        <w:rPr>
          <w:rFonts w:eastAsia="Calibri"/>
        </w:rPr>
      </w:pPr>
      <w:r>
        <w:rPr>
          <w:rFonts w:eastAsia="Calibri"/>
        </w:rPr>
        <w:t>New</w:t>
      </w:r>
      <w:r w:rsidR="00BA4D69">
        <w:rPr>
          <w:rFonts w:eastAsia="Calibri"/>
        </w:rPr>
        <w:t xml:space="preserve"> forms</w:t>
      </w:r>
      <w:r w:rsidR="00BA4D69" w:rsidRPr="00210596">
        <w:rPr>
          <w:rFonts w:eastAsia="Calibri"/>
        </w:rPr>
        <w:t xml:space="preserve"> </w:t>
      </w:r>
      <w:r w:rsidR="00BA4D69">
        <w:rPr>
          <w:rFonts w:eastAsia="Calibri"/>
        </w:rPr>
        <w:t xml:space="preserve">must be used </w:t>
      </w:r>
      <w:r w:rsidR="00BA4D69" w:rsidRPr="00210596">
        <w:rPr>
          <w:rFonts w:eastAsia="Calibri"/>
        </w:rPr>
        <w:t>when signed</w:t>
      </w:r>
      <w:r w:rsidR="00BA4D69" w:rsidRPr="00210596">
        <w:rPr>
          <w:rFonts w:eastAsia="Calibri"/>
          <w:i/>
        </w:rPr>
        <w:t xml:space="preserve"> </w:t>
      </w:r>
      <w:r w:rsidR="00BA4D69" w:rsidRPr="002B7BEB">
        <w:rPr>
          <w:rFonts w:eastAsia="Calibri"/>
        </w:rPr>
        <w:t>on or</w:t>
      </w:r>
      <w:r w:rsidR="00BA4D69" w:rsidRPr="00210596">
        <w:rPr>
          <w:rFonts w:eastAsia="Calibri"/>
          <w:i/>
        </w:rPr>
        <w:t xml:space="preserve"> </w:t>
      </w:r>
      <w:r w:rsidR="00BA4D69" w:rsidRPr="00210596">
        <w:rPr>
          <w:rFonts w:eastAsia="Calibri"/>
        </w:rPr>
        <w:t>after 1</w:t>
      </w:r>
      <w:r w:rsidR="00BA4D69">
        <w:rPr>
          <w:rFonts w:eastAsia="Calibri"/>
        </w:rPr>
        <w:t xml:space="preserve"> January 2018</w:t>
      </w:r>
    </w:p>
    <w:p w:rsidR="00BA4D69" w:rsidRDefault="00BA4D69" w:rsidP="003C2384">
      <w:pPr>
        <w:pStyle w:val="Body"/>
      </w:pPr>
      <w:r w:rsidRPr="00736192">
        <w:t>The transition period for accepting forms not containing certifications end</w:t>
      </w:r>
      <w:r>
        <w:t>ed</w:t>
      </w:r>
      <w:r w:rsidRPr="00736192">
        <w:t xml:space="preserve"> on 31 December 2017.  All forms </w:t>
      </w:r>
      <w:r>
        <w:t xml:space="preserve">in paper </w:t>
      </w:r>
      <w:r w:rsidRPr="00736192">
        <w:t xml:space="preserve">signed on or after 1 January 2018 lodged for registration must </w:t>
      </w:r>
      <w:r w:rsidR="007D47A9">
        <w:t xml:space="preserve">use </w:t>
      </w:r>
      <w:r w:rsidRPr="00736192">
        <w:t xml:space="preserve">the new form.  </w:t>
      </w:r>
    </w:p>
    <w:p w:rsidR="00BA4D69" w:rsidRPr="00736192" w:rsidRDefault="007D47A9" w:rsidP="003C2384">
      <w:pPr>
        <w:pStyle w:val="Body"/>
      </w:pPr>
      <w:r>
        <w:t>If</w:t>
      </w:r>
      <w:r w:rsidRPr="00736192">
        <w:t xml:space="preserve"> </w:t>
      </w:r>
      <w:r w:rsidR="00BA4D69" w:rsidRPr="00736192">
        <w:t>a conveyancer or lawyer represents a party in the transaction, the form must</w:t>
      </w:r>
      <w:r w:rsidR="00BA4D69">
        <w:t>:</w:t>
      </w:r>
    </w:p>
    <w:p w:rsidR="00BA4D69" w:rsidRPr="00736192" w:rsidRDefault="00BA4D69" w:rsidP="00E05743">
      <w:pPr>
        <w:pStyle w:val="Bullet"/>
      </w:pPr>
      <w:r w:rsidRPr="00736192">
        <w:t>be signed on behalf of the party by the conveyancer or lawyer</w:t>
      </w:r>
    </w:p>
    <w:p w:rsidR="00BA4D69" w:rsidRDefault="00BA4D69" w:rsidP="00E05743">
      <w:pPr>
        <w:pStyle w:val="Bullet"/>
      </w:pPr>
      <w:r w:rsidRPr="00736192">
        <w:t>contain the certifications required by the Registrar’s requirements for paper conveyancing transactions.</w:t>
      </w:r>
    </w:p>
    <w:p w:rsidR="00BA4D69" w:rsidRPr="003E29C6" w:rsidRDefault="00BA4D69" w:rsidP="00E05743">
      <w:pPr>
        <w:pStyle w:val="Body"/>
      </w:pPr>
      <w:r w:rsidRPr="00036BC3">
        <w:t>When a PEXA Subscriber is signing the form, it must contain the relevant certifications</w:t>
      </w:r>
      <w:r w:rsidR="007D47A9">
        <w:t>.</w:t>
      </w:r>
    </w:p>
    <w:p w:rsidR="00BA4D69" w:rsidRDefault="00BA4D69" w:rsidP="00E05743">
      <w:pPr>
        <w:pStyle w:val="Body"/>
      </w:pPr>
      <w:r w:rsidRPr="00736192">
        <w:t xml:space="preserve">Non-compliant forms will not be accepted. </w:t>
      </w:r>
    </w:p>
    <w:p w:rsidR="00BA4D69" w:rsidRDefault="00BA4D69" w:rsidP="00E05743">
      <w:pPr>
        <w:pStyle w:val="Body"/>
      </w:pPr>
      <w:r>
        <w:t xml:space="preserve">Detailed information regarding the Registrar’s requirements for </w:t>
      </w:r>
      <w:r w:rsidR="007D47A9">
        <w:t xml:space="preserve">client authorisations </w:t>
      </w:r>
      <w:r>
        <w:t xml:space="preserve">and certifications is in </w:t>
      </w:r>
      <w:r w:rsidRPr="00B51388">
        <w:rPr>
          <w:i/>
        </w:rPr>
        <w:t>Customer Information Bulletin 163</w:t>
      </w:r>
      <w:r>
        <w:t xml:space="preserve">. </w:t>
      </w:r>
    </w:p>
    <w:p w:rsidR="00BA4D69" w:rsidRPr="003E29C6" w:rsidRDefault="00BA4D69" w:rsidP="00BA4D69">
      <w:pPr>
        <w:pStyle w:val="Heading1"/>
        <w:spacing w:after="240"/>
        <w:rPr>
          <w:rFonts w:eastAsia="Calibri"/>
        </w:rPr>
      </w:pPr>
      <w:r w:rsidRPr="00D932F8">
        <w:rPr>
          <w:rFonts w:eastAsia="Calibri"/>
        </w:rPr>
        <w:lastRenderedPageBreak/>
        <w:t>Registrar’s requirements for paper conveyancing transactions</w:t>
      </w:r>
      <w:r>
        <w:rPr>
          <w:rFonts w:eastAsia="Calibri"/>
        </w:rPr>
        <w:t xml:space="preserve"> </w:t>
      </w:r>
      <w:r>
        <w:t>and dates for transition to 100% digital</w:t>
      </w:r>
    </w:p>
    <w:p w:rsidR="00BA4D69" w:rsidRDefault="00BA4D69" w:rsidP="00E05743">
      <w:pPr>
        <w:pStyle w:val="Body"/>
        <w:rPr>
          <w:rStyle w:val="Hyperlink"/>
          <w:rFonts w:cs="Tahoma"/>
        </w:rPr>
      </w:pPr>
      <w:r>
        <w:t xml:space="preserve">The </w:t>
      </w:r>
      <w:r w:rsidRPr="00690119">
        <w:t>Registrar’s</w:t>
      </w:r>
      <w:r w:rsidRPr="00690119">
        <w:rPr>
          <w:i/>
        </w:rPr>
        <w:t xml:space="preserve"> Requirements for Paper Conveyancing </w:t>
      </w:r>
      <w:r>
        <w:rPr>
          <w:i/>
        </w:rPr>
        <w:t xml:space="preserve">Transactions </w:t>
      </w:r>
      <w:r>
        <w:t xml:space="preserve">– </w:t>
      </w:r>
      <w:r w:rsidRPr="006314D4">
        <w:rPr>
          <w:i/>
        </w:rPr>
        <w:t>V</w:t>
      </w:r>
      <w:r w:rsidRPr="00E27D40">
        <w:rPr>
          <w:i/>
        </w:rPr>
        <w:t xml:space="preserve">ersion </w:t>
      </w:r>
      <w:r>
        <w:rPr>
          <w:i/>
        </w:rPr>
        <w:t>4</w:t>
      </w:r>
      <w:r w:rsidRPr="00690119">
        <w:t xml:space="preserve"> </w:t>
      </w:r>
      <w:r>
        <w:t>is</w:t>
      </w:r>
      <w:r w:rsidRPr="00690119">
        <w:t xml:space="preserve"> available at </w:t>
      </w:r>
      <w:r w:rsidR="007D47A9">
        <w:rPr>
          <w:rStyle w:val="Hyperlink"/>
          <w:rFonts w:cs="Tahoma"/>
        </w:rPr>
        <w:t>www.propertyandlandtitles.vic.gov.au/publications.</w:t>
      </w:r>
    </w:p>
    <w:p w:rsidR="00BA4D69" w:rsidRDefault="007D47A9" w:rsidP="00E05743">
      <w:pPr>
        <w:pStyle w:val="Body"/>
        <w:rPr>
          <w:rStyle w:val="Hyperlink"/>
          <w:rFonts w:cs="Tahoma"/>
        </w:rPr>
      </w:pPr>
      <w:r>
        <w:rPr>
          <w:rFonts w:eastAsiaTheme="minorEastAsia"/>
        </w:rPr>
        <w:t>Upcoming</w:t>
      </w:r>
      <w:r w:rsidR="00BA4D69">
        <w:rPr>
          <w:rFonts w:eastAsiaTheme="minorEastAsia"/>
        </w:rPr>
        <w:t xml:space="preserve"> dates and requirements for </w:t>
      </w:r>
      <w:r w:rsidR="00BA4D69" w:rsidRPr="0081473C">
        <w:rPr>
          <w:rFonts w:eastAsiaTheme="minorEastAsia"/>
        </w:rPr>
        <w:t xml:space="preserve">transitioning to 100% digital </w:t>
      </w:r>
      <w:r>
        <w:rPr>
          <w:rFonts w:eastAsiaTheme="minorEastAsia"/>
        </w:rPr>
        <w:t>lodgment are as follows</w:t>
      </w:r>
      <w:r w:rsidR="00BA4D69" w:rsidRPr="0081473C">
        <w:rPr>
          <w:rFonts w:eastAsiaTheme="minorEastAsia"/>
        </w:rPr>
        <w:t>.</w:t>
      </w:r>
    </w:p>
    <w:p w:rsidR="00BA4D69" w:rsidRPr="003E29C6" w:rsidRDefault="00BA4D69" w:rsidP="00BA4D69">
      <w:pPr>
        <w:pStyle w:val="Heading2"/>
        <w:numPr>
          <w:ilvl w:val="1"/>
          <w:numId w:val="0"/>
        </w:numPr>
        <w:rPr>
          <w:color w:val="FF0000"/>
        </w:rPr>
      </w:pPr>
      <w:r w:rsidRPr="003E29C6">
        <w:rPr>
          <w:color w:val="FF0000"/>
        </w:rPr>
        <w:t>2018</w:t>
      </w:r>
    </w:p>
    <w:p w:rsidR="00BA4D69" w:rsidRPr="00736192" w:rsidRDefault="00BA4D69" w:rsidP="00E05743">
      <w:pPr>
        <w:pStyle w:val="Heading3"/>
        <w:rPr>
          <w:rFonts w:eastAsia="Calibri"/>
        </w:rPr>
      </w:pPr>
      <w:r w:rsidRPr="00736192">
        <w:rPr>
          <w:rFonts w:eastAsia="Calibri"/>
        </w:rPr>
        <w:t>February</w:t>
      </w:r>
    </w:p>
    <w:p w:rsidR="00BA4D69" w:rsidRDefault="00BA4D69" w:rsidP="00E05743">
      <w:pPr>
        <w:pStyle w:val="Body"/>
        <w:rPr>
          <w:rFonts w:eastAsia="Calibri"/>
        </w:rPr>
      </w:pPr>
      <w:r w:rsidRPr="00736192">
        <w:rPr>
          <w:rFonts w:eastAsia="Calibri"/>
        </w:rPr>
        <w:t>Transmission application functionality will be available in PEXA.</w:t>
      </w:r>
    </w:p>
    <w:p w:rsidR="00BA4D69" w:rsidRPr="00736192" w:rsidRDefault="00BA4D69" w:rsidP="00E05743">
      <w:pPr>
        <w:pStyle w:val="Body"/>
        <w:rPr>
          <w:rFonts w:eastAsia="Calibri"/>
        </w:rPr>
      </w:pPr>
      <w:r>
        <w:rPr>
          <w:rFonts w:eastAsia="Calibri"/>
        </w:rPr>
        <w:t>Bulk conversion of pCt to eCT.</w:t>
      </w:r>
    </w:p>
    <w:p w:rsidR="00BA4D69" w:rsidRPr="00736192" w:rsidRDefault="00BA4D69" w:rsidP="00E05743">
      <w:pPr>
        <w:pStyle w:val="Heading3"/>
        <w:rPr>
          <w:rFonts w:eastAsia="Calibri"/>
        </w:rPr>
      </w:pPr>
      <w:r w:rsidRPr="00736192">
        <w:rPr>
          <w:rFonts w:eastAsia="Calibri"/>
        </w:rPr>
        <w:t>1 March</w:t>
      </w:r>
    </w:p>
    <w:p w:rsidR="00BA4D69" w:rsidRDefault="00BA4D69" w:rsidP="00E05743">
      <w:pPr>
        <w:pStyle w:val="Body"/>
        <w:rPr>
          <w:rFonts w:eastAsia="Calibri"/>
        </w:rPr>
      </w:pPr>
      <w:r>
        <w:rPr>
          <w:rFonts w:eastAsia="Calibri"/>
        </w:rPr>
        <w:t xml:space="preserve">Transfers of land and </w:t>
      </w:r>
      <w:r w:rsidR="007D47A9">
        <w:rPr>
          <w:rFonts w:eastAsia="Calibri"/>
        </w:rPr>
        <w:t>s</w:t>
      </w:r>
      <w:r w:rsidR="007D47A9" w:rsidRPr="00736192">
        <w:rPr>
          <w:rFonts w:eastAsia="Calibri"/>
        </w:rPr>
        <w:t xml:space="preserve">urvivorship </w:t>
      </w:r>
      <w:r w:rsidRPr="00736192">
        <w:rPr>
          <w:rFonts w:eastAsia="Calibri"/>
        </w:rPr>
        <w:t>applications</w:t>
      </w:r>
      <w:r>
        <w:rPr>
          <w:rFonts w:eastAsia="Calibri"/>
        </w:rPr>
        <w:t xml:space="preserve">, except when lodged with any other instrument for the same folio, </w:t>
      </w:r>
      <w:r w:rsidRPr="00736192">
        <w:rPr>
          <w:rFonts w:eastAsia="Calibri"/>
        </w:rPr>
        <w:t>must be lodged electronically. This requirement applies to conveyancers and lawyers acting for a party or themselves</w:t>
      </w:r>
      <w:r w:rsidR="007D47A9">
        <w:rPr>
          <w:rFonts w:eastAsia="Calibri"/>
        </w:rPr>
        <w:t>,</w:t>
      </w:r>
      <w:r w:rsidRPr="00736192">
        <w:rPr>
          <w:rFonts w:eastAsia="Calibri"/>
        </w:rPr>
        <w:t xml:space="preserve"> and PEXA </w:t>
      </w:r>
      <w:r>
        <w:rPr>
          <w:rFonts w:eastAsia="Calibri"/>
        </w:rPr>
        <w:t>s</w:t>
      </w:r>
      <w:r w:rsidRPr="00736192">
        <w:rPr>
          <w:rFonts w:eastAsia="Calibri"/>
        </w:rPr>
        <w:t>ubscribers.</w:t>
      </w:r>
    </w:p>
    <w:p w:rsidR="0093249F" w:rsidRDefault="00BA4D69" w:rsidP="00E05743">
      <w:pPr>
        <w:pStyle w:val="Body"/>
        <w:rPr>
          <w:rFonts w:eastAsia="Calibri"/>
        </w:rPr>
      </w:pPr>
      <w:r w:rsidRPr="003C2384">
        <w:rPr>
          <w:rFonts w:eastAsia="Calibri"/>
          <w:b/>
        </w:rPr>
        <w:t>Note:</w:t>
      </w:r>
      <w:r>
        <w:rPr>
          <w:rFonts w:eastAsia="Calibri"/>
        </w:rPr>
        <w:t xml:space="preserve"> The requirement does not include transfer types that as at 1 March 2018 are not available in PEXA</w:t>
      </w:r>
      <w:r w:rsidR="00C95103">
        <w:rPr>
          <w:rFonts w:eastAsia="Calibri"/>
        </w:rPr>
        <w:t>,</w:t>
      </w:r>
      <w:r>
        <w:rPr>
          <w:rFonts w:eastAsia="Calibri"/>
        </w:rPr>
        <w:t xml:space="preserve"> such as transfers: </w:t>
      </w:r>
    </w:p>
    <w:p w:rsidR="0093249F" w:rsidRDefault="00BA4D69" w:rsidP="003C2384">
      <w:pPr>
        <w:pStyle w:val="Bullet"/>
        <w:rPr>
          <w:rFonts w:eastAsia="Calibri"/>
        </w:rPr>
      </w:pPr>
      <w:r>
        <w:rPr>
          <w:rFonts w:eastAsia="Calibri"/>
        </w:rPr>
        <w:t>by mortgagees</w:t>
      </w:r>
    </w:p>
    <w:p w:rsidR="0093249F" w:rsidRDefault="00BA4D69" w:rsidP="003C2384">
      <w:pPr>
        <w:pStyle w:val="Bullet"/>
        <w:rPr>
          <w:rFonts w:eastAsia="Calibri"/>
        </w:rPr>
      </w:pPr>
      <w:r>
        <w:rPr>
          <w:rFonts w:eastAsia="Calibri"/>
        </w:rPr>
        <w:t>by a minor</w:t>
      </w:r>
    </w:p>
    <w:p w:rsidR="0093249F" w:rsidRDefault="00BA4D69" w:rsidP="003C2384">
      <w:pPr>
        <w:pStyle w:val="Bullet"/>
        <w:rPr>
          <w:rFonts w:eastAsia="Calibri"/>
        </w:rPr>
      </w:pPr>
      <w:r>
        <w:rPr>
          <w:rFonts w:eastAsia="Calibri"/>
        </w:rPr>
        <w:t>creating an easement</w:t>
      </w:r>
    </w:p>
    <w:p w:rsidR="0093249F" w:rsidRDefault="00BA4D69" w:rsidP="003C2384">
      <w:pPr>
        <w:pStyle w:val="Bullet"/>
        <w:rPr>
          <w:rFonts w:eastAsia="Calibri"/>
        </w:rPr>
      </w:pPr>
      <w:r>
        <w:rPr>
          <w:rFonts w:eastAsia="Calibri"/>
        </w:rPr>
        <w:t>of an interest</w:t>
      </w:r>
      <w:r w:rsidR="0093249F">
        <w:rPr>
          <w:rFonts w:eastAsia="Calibri"/>
        </w:rPr>
        <w:t xml:space="preserve">, </w:t>
      </w:r>
      <w:r>
        <w:rPr>
          <w:rFonts w:eastAsia="Calibri"/>
        </w:rPr>
        <w:t>e.g. a lease or mortgage</w:t>
      </w:r>
    </w:p>
    <w:p w:rsidR="0093249F" w:rsidRDefault="00BA4D69" w:rsidP="003C2384">
      <w:pPr>
        <w:pStyle w:val="Bullet"/>
        <w:rPr>
          <w:rFonts w:eastAsia="Calibri"/>
        </w:rPr>
      </w:pPr>
      <w:r>
        <w:rPr>
          <w:rFonts w:eastAsia="Calibri"/>
        </w:rPr>
        <w:t xml:space="preserve">of part of land in a folio of the Register </w:t>
      </w:r>
    </w:p>
    <w:p w:rsidR="0093249F" w:rsidRDefault="00BA4D69" w:rsidP="003C2384">
      <w:pPr>
        <w:pStyle w:val="Bullet"/>
        <w:rPr>
          <w:rFonts w:eastAsia="Calibri"/>
        </w:rPr>
      </w:pPr>
      <w:r>
        <w:rPr>
          <w:rFonts w:eastAsia="Calibri"/>
        </w:rPr>
        <w:t>of a tenant in common’s share</w:t>
      </w:r>
    </w:p>
    <w:p w:rsidR="00BA4D69" w:rsidRDefault="00BA4D69" w:rsidP="003C2384">
      <w:pPr>
        <w:pStyle w:val="Bullet"/>
        <w:rPr>
          <w:rFonts w:eastAsia="Calibri"/>
        </w:rPr>
      </w:pPr>
      <w:r>
        <w:rPr>
          <w:rFonts w:eastAsia="Calibri"/>
        </w:rPr>
        <w:t xml:space="preserve">that cannot be assessed in </w:t>
      </w:r>
      <w:hyperlink r:id="rId14" w:history="1">
        <w:r w:rsidRPr="00EC3071">
          <w:rPr>
            <w:rStyle w:val="Hyperlink"/>
            <w:rFonts w:eastAsia="Calibri"/>
            <w:szCs w:val="22"/>
          </w:rPr>
          <w:t>Duties Online</w:t>
        </w:r>
      </w:hyperlink>
      <w:r w:rsidR="0093249F">
        <w:rPr>
          <w:rStyle w:val="Hyperlink"/>
          <w:rFonts w:eastAsia="Calibri"/>
          <w:szCs w:val="22"/>
        </w:rPr>
        <w:t xml:space="preserve"> (</w:t>
      </w:r>
      <w:r w:rsidR="0093249F" w:rsidRPr="0093249F">
        <w:rPr>
          <w:rStyle w:val="Hyperlink"/>
          <w:rFonts w:eastAsia="Calibri"/>
          <w:szCs w:val="22"/>
        </w:rPr>
        <w:t>www.sro.vic.gov.au/dutiesonline</w:t>
      </w:r>
      <w:r w:rsidR="0093249F">
        <w:rPr>
          <w:rStyle w:val="Hyperlink"/>
          <w:rFonts w:eastAsia="Calibri"/>
          <w:szCs w:val="22"/>
        </w:rPr>
        <w:t>)</w:t>
      </w:r>
      <w:r>
        <w:rPr>
          <w:rFonts w:eastAsia="Calibri"/>
        </w:rPr>
        <w:t>.</w:t>
      </w:r>
    </w:p>
    <w:p w:rsidR="00BA4D69" w:rsidRDefault="00BA4D69" w:rsidP="00E05743">
      <w:pPr>
        <w:pStyle w:val="Heading3"/>
        <w:rPr>
          <w:rFonts w:eastAsia="Calibri"/>
        </w:rPr>
      </w:pPr>
      <w:r>
        <w:rPr>
          <w:rFonts w:eastAsia="Calibri"/>
        </w:rPr>
        <w:t>1 July</w:t>
      </w:r>
    </w:p>
    <w:p w:rsidR="00B83837" w:rsidRDefault="00BA4D69" w:rsidP="00E05743">
      <w:pPr>
        <w:pStyle w:val="Body"/>
        <w:rPr>
          <w:rFonts w:eastAsia="Calibri"/>
        </w:rPr>
      </w:pPr>
      <w:r>
        <w:rPr>
          <w:rFonts w:eastAsia="Calibri"/>
        </w:rPr>
        <w:t>N</w:t>
      </w:r>
      <w:r w:rsidRPr="00D56375">
        <w:rPr>
          <w:rFonts w:eastAsia="Calibri"/>
        </w:rPr>
        <w:t>ew requirements for creating restrictive covenants in transfers and restrictions in plans</w:t>
      </w:r>
      <w:r>
        <w:rPr>
          <w:rFonts w:eastAsia="Calibri"/>
        </w:rPr>
        <w:t>.</w:t>
      </w:r>
    </w:p>
    <w:p w:rsidR="00B83837" w:rsidRDefault="00B358D9" w:rsidP="00E774EB">
      <w:pPr>
        <w:pStyle w:val="Bullet"/>
        <w:rPr>
          <w:rFonts w:eastAsia="Calibri"/>
        </w:rPr>
      </w:pPr>
      <w:r>
        <w:rPr>
          <w:rFonts w:eastAsia="Calibri"/>
        </w:rPr>
        <w:t>Transfers</w:t>
      </w:r>
      <w:r w:rsidR="00322B0E">
        <w:rPr>
          <w:rFonts w:eastAsia="Calibri"/>
        </w:rPr>
        <w:t xml:space="preserve"> – the</w:t>
      </w:r>
      <w:r w:rsidR="0047015E">
        <w:rPr>
          <w:rFonts w:eastAsia="Calibri"/>
        </w:rPr>
        <w:t xml:space="preserve"> details of any restrictive covenants to be created must be contained in a Memorandum of Common Provisions (MCP) and referred to in the transfer by the MCP number.</w:t>
      </w:r>
    </w:p>
    <w:p w:rsidR="0047015E" w:rsidRDefault="00B358D9" w:rsidP="00E774EB">
      <w:pPr>
        <w:pStyle w:val="Bullet"/>
        <w:rPr>
          <w:rFonts w:eastAsia="Calibri"/>
        </w:rPr>
      </w:pPr>
      <w:r>
        <w:rPr>
          <w:rFonts w:eastAsia="Calibri"/>
        </w:rPr>
        <w:t>Plans</w:t>
      </w:r>
      <w:r w:rsidR="00A62C2A">
        <w:rPr>
          <w:rFonts w:eastAsia="Calibri"/>
        </w:rPr>
        <w:t xml:space="preserve"> – there</w:t>
      </w:r>
      <w:r>
        <w:rPr>
          <w:rFonts w:eastAsia="Calibri"/>
        </w:rPr>
        <w:t xml:space="preserve"> will be three options</w:t>
      </w:r>
      <w:r w:rsidR="00A62C2A">
        <w:rPr>
          <w:rFonts w:eastAsia="Calibri"/>
        </w:rPr>
        <w:t>. T</w:t>
      </w:r>
      <w:r>
        <w:rPr>
          <w:rFonts w:eastAsia="Calibri"/>
        </w:rPr>
        <w:t>he restriction can</w:t>
      </w:r>
      <w:r w:rsidR="00A62C2A">
        <w:rPr>
          <w:rFonts w:eastAsia="Calibri"/>
        </w:rPr>
        <w:t xml:space="preserve"> be one of the following</w:t>
      </w:r>
      <w:r>
        <w:rPr>
          <w:rFonts w:eastAsia="Calibri"/>
        </w:rPr>
        <w:t>:</w:t>
      </w:r>
    </w:p>
    <w:p w:rsidR="00B358D9" w:rsidRDefault="00B358D9" w:rsidP="00E774EB">
      <w:pPr>
        <w:pStyle w:val="Bullet"/>
        <w:numPr>
          <w:ilvl w:val="1"/>
          <w:numId w:val="43"/>
        </w:numPr>
        <w:rPr>
          <w:rFonts w:eastAsia="Calibri"/>
        </w:rPr>
      </w:pPr>
      <w:r>
        <w:rPr>
          <w:rFonts w:eastAsia="Calibri"/>
        </w:rPr>
        <w:t xml:space="preserve">in one or more MCP (recorded under the </w:t>
      </w:r>
      <w:r w:rsidRPr="00A62C2A">
        <w:rPr>
          <w:rFonts w:eastAsia="Calibri"/>
          <w:i/>
        </w:rPr>
        <w:t>Transfer of Land Act 1958</w:t>
      </w:r>
      <w:r>
        <w:rPr>
          <w:rFonts w:eastAsia="Calibri"/>
        </w:rPr>
        <w:t xml:space="preserve">) </w:t>
      </w:r>
    </w:p>
    <w:p w:rsidR="00B358D9" w:rsidRDefault="00B358D9" w:rsidP="00E774EB">
      <w:pPr>
        <w:pStyle w:val="Bullet"/>
        <w:numPr>
          <w:ilvl w:val="1"/>
          <w:numId w:val="43"/>
        </w:numPr>
        <w:rPr>
          <w:rFonts w:eastAsia="Calibri"/>
        </w:rPr>
      </w:pPr>
      <w:r>
        <w:rPr>
          <w:rFonts w:eastAsia="Calibri"/>
        </w:rPr>
        <w:t>be a short-form restriction</w:t>
      </w:r>
    </w:p>
    <w:p w:rsidR="00B358D9" w:rsidRPr="00736192" w:rsidRDefault="00B358D9" w:rsidP="00E774EB">
      <w:pPr>
        <w:pStyle w:val="Bullet"/>
        <w:numPr>
          <w:ilvl w:val="1"/>
          <w:numId w:val="43"/>
        </w:numPr>
        <w:rPr>
          <w:rFonts w:eastAsia="Calibri"/>
        </w:rPr>
      </w:pPr>
      <w:r>
        <w:rPr>
          <w:rFonts w:eastAsia="Calibri"/>
        </w:rPr>
        <w:t xml:space="preserve">contain a reference to a planning permit. </w:t>
      </w:r>
    </w:p>
    <w:p w:rsidR="00BA4D69" w:rsidRPr="00736192" w:rsidRDefault="00BA4D69" w:rsidP="00E05743">
      <w:pPr>
        <w:pStyle w:val="Heading3"/>
        <w:rPr>
          <w:rFonts w:eastAsia="Calibri"/>
        </w:rPr>
      </w:pPr>
      <w:r w:rsidRPr="00736192">
        <w:rPr>
          <w:rFonts w:eastAsia="Calibri"/>
        </w:rPr>
        <w:t>1 October</w:t>
      </w:r>
    </w:p>
    <w:p w:rsidR="00BA4D69" w:rsidRPr="004C766F" w:rsidRDefault="00BA4D69" w:rsidP="00E05743">
      <w:pPr>
        <w:pStyle w:val="Body"/>
        <w:rPr>
          <w:rFonts w:eastAsia="Calibri"/>
        </w:rPr>
      </w:pPr>
      <w:r w:rsidRPr="004C766F">
        <w:rPr>
          <w:rFonts w:eastAsia="Calibri"/>
        </w:rPr>
        <w:t>All instruments or a combination of instruments available in PEXA are to be lodged electronically when signed on or after 1 October 2018. This requirement applies to conveyancers and lawyers acting for a party or themselves</w:t>
      </w:r>
      <w:r w:rsidR="0093249F">
        <w:rPr>
          <w:rFonts w:eastAsia="Calibri"/>
        </w:rPr>
        <w:t>,</w:t>
      </w:r>
      <w:r w:rsidRPr="004C766F">
        <w:rPr>
          <w:rFonts w:eastAsia="Calibri"/>
        </w:rPr>
        <w:t xml:space="preserve"> and PEXA subscribers</w:t>
      </w:r>
      <w:r w:rsidR="00E774EB">
        <w:rPr>
          <w:rFonts w:eastAsia="Calibri"/>
        </w:rPr>
        <w:t>.</w:t>
      </w:r>
    </w:p>
    <w:p w:rsidR="00A62C2A" w:rsidRDefault="00FF1B9A" w:rsidP="00E05743">
      <w:pPr>
        <w:pStyle w:val="Body"/>
      </w:pPr>
      <w:r w:rsidRPr="003C2384">
        <w:rPr>
          <w:rFonts w:eastAsia="Calibri"/>
        </w:rPr>
        <w:lastRenderedPageBreak/>
        <w:t>That means</w:t>
      </w:r>
      <w:r w:rsidR="00BA4D69" w:rsidRPr="00FF1B9A">
        <w:t xml:space="preserve"> </w:t>
      </w:r>
      <w:r w:rsidR="00E774EB">
        <w:t xml:space="preserve">if </w:t>
      </w:r>
      <w:r w:rsidR="00BA4D69" w:rsidRPr="00E05743">
        <w:t>any instrument in a case is signed prior to the requirement date, then the requirement to lodge electronically will not apply</w:t>
      </w:r>
      <w:r w:rsidR="009A2485" w:rsidRPr="00E05743">
        <w:t xml:space="preserve">. </w:t>
      </w:r>
    </w:p>
    <w:p w:rsidR="00BA4D69" w:rsidRPr="00E05743" w:rsidRDefault="0042286A" w:rsidP="00E05743">
      <w:pPr>
        <w:pStyle w:val="Body"/>
      </w:pPr>
      <w:r>
        <w:t xml:space="preserve">An example of a combination of instruments might include a </w:t>
      </w:r>
      <w:r w:rsidR="00BA4D69" w:rsidRPr="00E05743">
        <w:t>Withdrawal of Caveat</w:t>
      </w:r>
      <w:r>
        <w:t xml:space="preserve"> signed on</w:t>
      </w:r>
      <w:r w:rsidR="00BA4D69" w:rsidRPr="00E05743">
        <w:t xml:space="preserve"> 10 October 2018, </w:t>
      </w:r>
      <w:r>
        <w:t xml:space="preserve">a </w:t>
      </w:r>
      <w:r w:rsidR="00BA4D69" w:rsidRPr="00E05743">
        <w:t>Discharge of Mortgage</w:t>
      </w:r>
      <w:r>
        <w:t xml:space="preserve"> signed on </w:t>
      </w:r>
      <w:r w:rsidR="00BA4D69" w:rsidRPr="00E05743">
        <w:t xml:space="preserve">25 September 2018, </w:t>
      </w:r>
      <w:r>
        <w:t xml:space="preserve">a </w:t>
      </w:r>
      <w:r w:rsidR="00BA4D69" w:rsidRPr="00E05743">
        <w:t>Transfer of land</w:t>
      </w:r>
      <w:r>
        <w:t xml:space="preserve"> signed on</w:t>
      </w:r>
      <w:r w:rsidR="00BA4D69" w:rsidRPr="00E05743">
        <w:t xml:space="preserve"> 10 October 2018 and </w:t>
      </w:r>
      <w:r>
        <w:t xml:space="preserve">a </w:t>
      </w:r>
      <w:r w:rsidR="00BA4D69" w:rsidRPr="00E05743">
        <w:t>Mortgage</w:t>
      </w:r>
      <w:r>
        <w:t xml:space="preserve"> signed on</w:t>
      </w:r>
      <w:r w:rsidR="00BA4D69" w:rsidRPr="00E05743">
        <w:t xml:space="preserve"> 10 October 2018</w:t>
      </w:r>
      <w:r>
        <w:t xml:space="preserve"> – because</w:t>
      </w:r>
      <w:r w:rsidR="00BA4D69" w:rsidRPr="00E05743">
        <w:t xml:space="preserve"> the discharge of mortgage was signed prior to the 1 October 2018, the requirement to lodge electronically would not apply and the case could be lodged in paper.</w:t>
      </w:r>
    </w:p>
    <w:p w:rsidR="00BA4D69" w:rsidRPr="003E29C6" w:rsidRDefault="00BA4D69" w:rsidP="00BA4D69">
      <w:pPr>
        <w:pStyle w:val="Heading2"/>
        <w:numPr>
          <w:ilvl w:val="1"/>
          <w:numId w:val="0"/>
        </w:numPr>
        <w:rPr>
          <w:color w:val="FF0000"/>
        </w:rPr>
      </w:pPr>
      <w:r w:rsidRPr="003E29C6">
        <w:rPr>
          <w:color w:val="FF0000"/>
        </w:rPr>
        <w:t>2019</w:t>
      </w:r>
    </w:p>
    <w:p w:rsidR="00BA4D69" w:rsidRPr="00E05743" w:rsidRDefault="00BA4D69" w:rsidP="00E05743">
      <w:pPr>
        <w:pStyle w:val="Heading3"/>
        <w:rPr>
          <w:rFonts w:eastAsia="Calibri"/>
        </w:rPr>
      </w:pPr>
      <w:r w:rsidRPr="00E05743">
        <w:rPr>
          <w:rFonts w:eastAsia="Calibri"/>
        </w:rPr>
        <w:t>1 August</w:t>
      </w:r>
    </w:p>
    <w:p w:rsidR="00BA4D69" w:rsidRPr="00736192" w:rsidRDefault="00BA4D69" w:rsidP="00E05743">
      <w:pPr>
        <w:pStyle w:val="Body"/>
        <w:rPr>
          <w:rFonts w:eastAsia="Calibri"/>
        </w:rPr>
      </w:pPr>
      <w:r w:rsidRPr="00736192">
        <w:rPr>
          <w:rFonts w:eastAsia="Calibri"/>
        </w:rPr>
        <w:t xml:space="preserve">All </w:t>
      </w:r>
      <w:r>
        <w:rPr>
          <w:rFonts w:eastAsia="Calibri"/>
        </w:rPr>
        <w:t>instruments</w:t>
      </w:r>
      <w:r w:rsidRPr="00736192">
        <w:rPr>
          <w:rFonts w:eastAsia="Calibri"/>
        </w:rPr>
        <w:t xml:space="preserve"> to be lodged electronically. </w:t>
      </w:r>
      <w:r>
        <w:rPr>
          <w:rFonts w:eastAsia="Calibri"/>
        </w:rPr>
        <w:t xml:space="preserve"> </w:t>
      </w:r>
      <w:r w:rsidRPr="00736192">
        <w:rPr>
          <w:rFonts w:eastAsia="Calibri"/>
        </w:rPr>
        <w:t>This requirement applies to conveyancers and lawyers acting for a party or themselves</w:t>
      </w:r>
      <w:r w:rsidR="0042286A">
        <w:rPr>
          <w:rFonts w:eastAsia="Calibri"/>
        </w:rPr>
        <w:t>,</w:t>
      </w:r>
      <w:r w:rsidRPr="00736192">
        <w:rPr>
          <w:rFonts w:eastAsia="Calibri"/>
        </w:rPr>
        <w:t xml:space="preserve"> and PEXA </w:t>
      </w:r>
      <w:r>
        <w:rPr>
          <w:rFonts w:eastAsia="Calibri"/>
        </w:rPr>
        <w:t>s</w:t>
      </w:r>
      <w:r w:rsidRPr="00736192">
        <w:rPr>
          <w:rFonts w:eastAsia="Calibri"/>
        </w:rPr>
        <w:t>ubscribers.</w:t>
      </w:r>
    </w:p>
    <w:p w:rsidR="00BA4D69" w:rsidRDefault="00BA4D69" w:rsidP="00E05743">
      <w:pPr>
        <w:pStyle w:val="Body"/>
        <w:rPr>
          <w:rFonts w:eastAsiaTheme="minorEastAsia"/>
        </w:rPr>
      </w:pPr>
      <w:r w:rsidRPr="00736192">
        <w:rPr>
          <w:rFonts w:eastAsiaTheme="minorEastAsia"/>
        </w:rPr>
        <w:t>The exception will be when there is an existing paper instrument signed prior to the date when electronic lodgment of that instrument or transaction is required.</w:t>
      </w:r>
    </w:p>
    <w:p w:rsidR="00BA4D69" w:rsidRPr="00167E67" w:rsidRDefault="00BA4D69" w:rsidP="00BA4D69">
      <w:pPr>
        <w:pStyle w:val="Heading1"/>
      </w:pPr>
      <w:r w:rsidRPr="00167E67">
        <w:t>SP</w:t>
      </w:r>
      <w:r>
        <w:t>EAR Electronic Lodgment Network</w:t>
      </w:r>
    </w:p>
    <w:p w:rsidR="00BA4D69" w:rsidRDefault="00BA4D69" w:rsidP="00E05743">
      <w:pPr>
        <w:pStyle w:val="Body"/>
      </w:pPr>
      <w:r>
        <w:t xml:space="preserve">The </w:t>
      </w:r>
      <w:r w:rsidRPr="000C3275">
        <w:t xml:space="preserve">SPEAR Electronic Lodgment Network </w:t>
      </w:r>
      <w:r>
        <w:t xml:space="preserve">(ELN) </w:t>
      </w:r>
      <w:r w:rsidR="00855E40">
        <w:t>e</w:t>
      </w:r>
      <w:r w:rsidR="00FF1B9A">
        <w:t>nables</w:t>
      </w:r>
      <w:r w:rsidR="00855E40">
        <w:t xml:space="preserve"> </w:t>
      </w:r>
      <w:r>
        <w:t xml:space="preserve">electronic </w:t>
      </w:r>
      <w:r w:rsidR="0042286A">
        <w:t xml:space="preserve">lodgement of </w:t>
      </w:r>
      <w:r>
        <w:t xml:space="preserve">applications under the </w:t>
      </w:r>
      <w:r w:rsidRPr="00DE78A4">
        <w:rPr>
          <w:i/>
        </w:rPr>
        <w:t>Subdivision Act 1988</w:t>
      </w:r>
      <w:r>
        <w:t>. Solicitors and conveyancers are encouraged to register to become SPEAR ELN Subscriber</w:t>
      </w:r>
      <w:r w:rsidR="0042286A">
        <w:t>s,</w:t>
      </w:r>
      <w:r>
        <w:t xml:space="preserve"> in line with Land Use Victoria’s 100% digital lodgment strategy.</w:t>
      </w:r>
    </w:p>
    <w:p w:rsidR="00BA4D69" w:rsidRPr="000C3275" w:rsidRDefault="00BA4D69" w:rsidP="00E05743">
      <w:pPr>
        <w:pStyle w:val="Body"/>
      </w:pPr>
      <w:r w:rsidRPr="000C3275">
        <w:t xml:space="preserve">The benefits </w:t>
      </w:r>
      <w:r>
        <w:t>to</w:t>
      </w:r>
      <w:r w:rsidRPr="000C3275">
        <w:t xml:space="preserve"> lodging parties using the SPEAR ELN include:</w:t>
      </w:r>
    </w:p>
    <w:p w:rsidR="00BA4D69" w:rsidRPr="00E05743" w:rsidRDefault="00BA4D69" w:rsidP="00E05743">
      <w:pPr>
        <w:pStyle w:val="Bullet"/>
      </w:pPr>
      <w:r w:rsidRPr="00E05743">
        <w:t>the ability to electronically complete, validate and lodge application forms</w:t>
      </w:r>
    </w:p>
    <w:p w:rsidR="00BA4D69" w:rsidRPr="00E05743" w:rsidRDefault="00BA4D69" w:rsidP="00E05743">
      <w:pPr>
        <w:pStyle w:val="Bullet"/>
      </w:pPr>
      <w:r w:rsidRPr="00E05743">
        <w:t>no need to attend Land Use Victoria (LUV) in person to lodge applications</w:t>
      </w:r>
    </w:p>
    <w:p w:rsidR="00BA4D69" w:rsidRPr="00E05743" w:rsidRDefault="00BA4D69" w:rsidP="00E05743">
      <w:pPr>
        <w:pStyle w:val="Bullet"/>
      </w:pPr>
      <w:r w:rsidRPr="00E05743">
        <w:t>improved access to application documents and details of LUV requisitions</w:t>
      </w:r>
    </w:p>
    <w:p w:rsidR="00BA4D69" w:rsidRPr="00E05743" w:rsidRDefault="00BA4D69" w:rsidP="00E05743">
      <w:pPr>
        <w:pStyle w:val="Bullet"/>
      </w:pPr>
      <w:r w:rsidRPr="00E05743">
        <w:t xml:space="preserve">instant notification of new title allocations upon registration. </w:t>
      </w:r>
    </w:p>
    <w:p w:rsidR="00BA4D69" w:rsidRPr="00DE78A4" w:rsidRDefault="00BA4D69" w:rsidP="00E05743">
      <w:pPr>
        <w:pStyle w:val="Body"/>
        <w:rPr>
          <w:b/>
        </w:rPr>
      </w:pPr>
      <w:r>
        <w:t xml:space="preserve">LUV will enhance SPEAR in 2018 to allow surveyors to provide plans and survey information for the remaining plan-based transactions under the </w:t>
      </w:r>
      <w:r w:rsidRPr="00111A76">
        <w:rPr>
          <w:i/>
        </w:rPr>
        <w:t>Transfer of Land Act 1958</w:t>
      </w:r>
      <w:r>
        <w:t xml:space="preserve"> and </w:t>
      </w:r>
      <w:r w:rsidRPr="00111A76">
        <w:rPr>
          <w:i/>
        </w:rPr>
        <w:t>Local Government Act 1989</w:t>
      </w:r>
      <w:r>
        <w:t>. Functionality for lodging parties to support the electronic lodgment of these applications will follow in 2019.</w:t>
      </w:r>
    </w:p>
    <w:p w:rsidR="00BA4D69" w:rsidRDefault="00BA4D69" w:rsidP="00E05743">
      <w:pPr>
        <w:pStyle w:val="Body"/>
      </w:pPr>
      <w:r>
        <w:t>LUV does not charge lodging parties to join or use SPEAR</w:t>
      </w:r>
      <w:r w:rsidR="0042286A">
        <w:t xml:space="preserve">; </w:t>
      </w:r>
      <w:r>
        <w:t>however</w:t>
      </w:r>
      <w:r w:rsidR="0042286A">
        <w:t>,</w:t>
      </w:r>
      <w:r>
        <w:t xml:space="preserve"> lodging parties will need to purchase at least one digital certificate from Symantec to </w:t>
      </w:r>
      <w:r w:rsidR="00855E40">
        <w:t xml:space="preserve">be able to </w:t>
      </w:r>
      <w:r>
        <w:t>digitally sign documents in SPEAR. User training and support is provided free-of-charge by the SPEAR Service Desk.</w:t>
      </w:r>
    </w:p>
    <w:p w:rsidR="00855E40" w:rsidRDefault="00BA4D69" w:rsidP="00B358D9">
      <w:pPr>
        <w:pStyle w:val="Body"/>
        <w:rPr>
          <w:rFonts w:eastAsia="Calibri"/>
          <w:b/>
          <w:bCs/>
          <w:color w:val="B3272F" w:themeColor="text2"/>
          <w:kern w:val="32"/>
          <w:sz w:val="40"/>
          <w:szCs w:val="32"/>
        </w:rPr>
      </w:pPr>
      <w:r>
        <w:t>Information about how to register to become a SPEAR ELN Subscriber</w:t>
      </w:r>
      <w:r w:rsidR="00FF1B9A">
        <w:t>,</w:t>
      </w:r>
      <w:r>
        <w:t xml:space="preserve"> obtain a digital certificate</w:t>
      </w:r>
      <w:r w:rsidR="00FF1B9A">
        <w:t xml:space="preserve"> or contact the SPEAR Service Desk</w:t>
      </w:r>
      <w:r>
        <w:t xml:space="preserve"> is available on the </w:t>
      </w:r>
      <w:hyperlink r:id="rId15" w:history="1">
        <w:r w:rsidRPr="00FF1B9A">
          <w:rPr>
            <w:rStyle w:val="Hyperlink"/>
          </w:rPr>
          <w:t>SPEAR</w:t>
        </w:r>
      </w:hyperlink>
      <w:r>
        <w:t xml:space="preserve"> website (</w:t>
      </w:r>
      <w:hyperlink r:id="rId16" w:history="1">
        <w:r w:rsidRPr="00026EE8">
          <w:rPr>
            <w:rStyle w:val="Hyperlink"/>
          </w:rPr>
          <w:t>www.spear.land.vic.gov.au</w:t>
        </w:r>
      </w:hyperlink>
      <w:r>
        <w:t>).</w:t>
      </w:r>
    </w:p>
    <w:p w:rsidR="00A62C2A" w:rsidRDefault="00A62C2A">
      <w:pPr>
        <w:rPr>
          <w:rFonts w:eastAsia="Calibri"/>
          <w:b/>
          <w:bCs/>
          <w:color w:val="B3272F" w:themeColor="text2"/>
          <w:kern w:val="32"/>
          <w:sz w:val="40"/>
          <w:szCs w:val="32"/>
        </w:rPr>
      </w:pPr>
      <w:r>
        <w:rPr>
          <w:rFonts w:eastAsia="Calibri"/>
        </w:rPr>
        <w:br w:type="page"/>
      </w:r>
    </w:p>
    <w:p w:rsidR="002F24B0" w:rsidRDefault="00BA4D69" w:rsidP="00A62C2A">
      <w:pPr>
        <w:pStyle w:val="Heading1"/>
        <w:numPr>
          <w:ilvl w:val="0"/>
          <w:numId w:val="0"/>
        </w:numPr>
        <w:rPr>
          <w:rFonts w:eastAsia="Calibri"/>
        </w:rPr>
      </w:pPr>
      <w:r w:rsidRPr="001622A4">
        <w:rPr>
          <w:rFonts w:eastAsia="Calibri"/>
        </w:rPr>
        <w:lastRenderedPageBreak/>
        <w:t xml:space="preserve">Minor registered proprietors </w:t>
      </w:r>
    </w:p>
    <w:p w:rsidR="00BA4D69" w:rsidRPr="002F24B0" w:rsidRDefault="00FF1B9A" w:rsidP="002F24B0">
      <w:pPr>
        <w:pStyle w:val="Body"/>
        <w:rPr>
          <w:rFonts w:eastAsia="Calibri"/>
        </w:rPr>
      </w:pPr>
      <w:r>
        <w:t>LUV has specific requirements for transacting land when a minor (an individual under 18 years old) is the registered proprietor</w:t>
      </w:r>
      <w:r w:rsidR="007F6C62">
        <w:t>.</w:t>
      </w:r>
      <w:r>
        <w:t xml:space="preserve"> </w:t>
      </w:r>
      <w:r w:rsidR="007F6C62">
        <w:t xml:space="preserve">Provisions </w:t>
      </w:r>
      <w:r w:rsidR="00BA4D69">
        <w:t xml:space="preserve">of the </w:t>
      </w:r>
      <w:r w:rsidR="00BA4D69" w:rsidRPr="00B358D9">
        <w:rPr>
          <w:i/>
        </w:rPr>
        <w:t>Settled Land Act 1958</w:t>
      </w:r>
      <w:r w:rsidR="00BA4D69" w:rsidRPr="004C766F">
        <w:t xml:space="preserve"> (</w:t>
      </w:r>
      <w:r w:rsidR="00BA4D69">
        <w:t>the Act) apply when dealing with</w:t>
      </w:r>
      <w:r>
        <w:t xml:space="preserve"> that</w:t>
      </w:r>
      <w:r w:rsidR="00BA4D69">
        <w:t xml:space="preserve"> land</w:t>
      </w:r>
      <w:r>
        <w:t>.</w:t>
      </w:r>
      <w:r w:rsidR="00BA4D69">
        <w:t xml:space="preserve"> </w:t>
      </w:r>
      <w:r w:rsidR="00855E40">
        <w:t xml:space="preserve"> </w:t>
      </w:r>
    </w:p>
    <w:p w:rsidR="00BA4D69" w:rsidRDefault="00BA4D69" w:rsidP="00E05743">
      <w:pPr>
        <w:pStyle w:val="Body"/>
      </w:pPr>
      <w:r>
        <w:t xml:space="preserve">The Act governs settled land. Settled land is land subject to a ‘settlement’ under the Act. Under section 8 of the Act, settlement takes place when a less than absolute interest in land is created by deed, will or </w:t>
      </w:r>
      <w:r w:rsidR="00855E40">
        <w:t>another</w:t>
      </w:r>
      <w:r>
        <w:t xml:space="preserve"> instrument. Section 8 of the Act provides that land vested in a minor is deemed to be settled land. In other words, land becomes settled land when transferred to a minor.</w:t>
      </w:r>
    </w:p>
    <w:p w:rsidR="00BA4D69" w:rsidRDefault="00BA4D69" w:rsidP="00E05743">
      <w:pPr>
        <w:pStyle w:val="Body"/>
      </w:pPr>
      <w:r>
        <w:t>When there is a minor registered proprietor, the land can be dealt with by:</w:t>
      </w:r>
    </w:p>
    <w:p w:rsidR="00BA4D69" w:rsidRDefault="00BA4D69" w:rsidP="00E05743">
      <w:pPr>
        <w:pStyle w:val="Bullet"/>
      </w:pPr>
      <w:r>
        <w:t>the trustees of the settlement, in accordance with section 26 of the Act</w:t>
      </w:r>
    </w:p>
    <w:p w:rsidR="00BA4D69" w:rsidRDefault="00BA4D69" w:rsidP="00E05743">
      <w:pPr>
        <w:pStyle w:val="Bullet"/>
      </w:pPr>
      <w:r>
        <w:t xml:space="preserve">the tenant for life (which includes a minor registered proprietor due to the operation of section 26), with consent </w:t>
      </w:r>
      <w:r w:rsidR="00855E40">
        <w:t xml:space="preserve">from </w:t>
      </w:r>
      <w:r>
        <w:t xml:space="preserve">the trustees, in accordance with section 38 of the Act. </w:t>
      </w:r>
    </w:p>
    <w:p w:rsidR="00BA4D69" w:rsidRPr="00E05743" w:rsidRDefault="00BA4D69" w:rsidP="00E05743">
      <w:pPr>
        <w:pStyle w:val="Body"/>
      </w:pPr>
      <w:r w:rsidRPr="00E05743">
        <w:t xml:space="preserve">Section 30 defines who are trustees of a settlement. There must be a minimum of two trustees, or a trustee company. When there are no trustees, the Supreme Court and the County Court have the power to appoint trustees under section 36 of the Act. </w:t>
      </w:r>
    </w:p>
    <w:p w:rsidR="00BA4D69" w:rsidRPr="00E05743" w:rsidRDefault="00BA4D69" w:rsidP="00E05743">
      <w:pPr>
        <w:pStyle w:val="Body"/>
      </w:pPr>
      <w:r w:rsidRPr="00E05743">
        <w:t>LUV requires instruments to be signed by the trustee(s) under section 26. Please note the following requirements for electronic and paper conveyancing transactions.</w:t>
      </w:r>
    </w:p>
    <w:p w:rsidR="00BA4D69" w:rsidRPr="00E05743" w:rsidRDefault="00BA4D69" w:rsidP="002F24B0">
      <w:pPr>
        <w:pStyle w:val="Heading2"/>
      </w:pPr>
      <w:r w:rsidRPr="00E05743">
        <w:t>For elect</w:t>
      </w:r>
      <w:r w:rsidR="002F24B0">
        <w:t>ronic conveyancing transactions</w:t>
      </w:r>
      <w:r w:rsidRPr="00E05743">
        <w:t xml:space="preserve">  </w:t>
      </w:r>
    </w:p>
    <w:p w:rsidR="00BA4D69" w:rsidRPr="00705019" w:rsidRDefault="00BA4D69" w:rsidP="00E05743">
      <w:pPr>
        <w:pStyle w:val="Bullet"/>
      </w:pPr>
      <w:r w:rsidRPr="00705019">
        <w:t xml:space="preserve">If the trustee </w:t>
      </w:r>
      <w:r w:rsidR="00B358D9">
        <w:t>is</w:t>
      </w:r>
      <w:r w:rsidRPr="00705019">
        <w:t xml:space="preserve"> a subscriber</w:t>
      </w:r>
      <w:r>
        <w:t xml:space="preserve"> to an electronic lodgment network</w:t>
      </w:r>
      <w:r w:rsidRPr="00705019">
        <w:t>, the trustee</w:t>
      </w:r>
      <w:r w:rsidR="00081AE7">
        <w:t xml:space="preserve"> </w:t>
      </w:r>
      <w:r w:rsidRPr="00705019">
        <w:t>will sign</w:t>
      </w:r>
      <w:r>
        <w:t xml:space="preserve"> an instrument.</w:t>
      </w:r>
    </w:p>
    <w:p w:rsidR="00BA4D69" w:rsidRDefault="00BA4D69" w:rsidP="00E05743">
      <w:pPr>
        <w:pStyle w:val="Bullet"/>
      </w:pPr>
      <w:r w:rsidRPr="00705019">
        <w:t xml:space="preserve">If the trustee </w:t>
      </w:r>
      <w:r w:rsidR="00B358D9">
        <w:t>is</w:t>
      </w:r>
      <w:r w:rsidRPr="00705019">
        <w:t xml:space="preserve"> not a subscriber, their </w:t>
      </w:r>
      <w:r>
        <w:t>conveyancer or lawyer</w:t>
      </w:r>
      <w:r w:rsidRPr="00705019">
        <w:t xml:space="preserve"> </w:t>
      </w:r>
      <w:r>
        <w:t xml:space="preserve">will sign an instrument on their behalf. </w:t>
      </w:r>
    </w:p>
    <w:p w:rsidR="00BA4D69" w:rsidRDefault="00BA4D69" w:rsidP="002F24B0">
      <w:pPr>
        <w:pStyle w:val="Body"/>
      </w:pPr>
      <w:r w:rsidRPr="00E05743">
        <w:t xml:space="preserve">The dealing </w:t>
      </w:r>
      <w:r w:rsidRPr="002F24B0">
        <w:t>requirement</w:t>
      </w:r>
      <w:r w:rsidRPr="00E05743">
        <w:t xml:space="preserve"> of ‘Evidence of compliance with </w:t>
      </w:r>
      <w:r w:rsidRPr="002F24B0">
        <w:rPr>
          <w:i/>
        </w:rPr>
        <w:t>Settled Land Act 1958</w:t>
      </w:r>
      <w:r w:rsidRPr="00E05743">
        <w:t>' must be provided. The</w:t>
      </w:r>
      <w:r w:rsidRPr="00AC3BE9">
        <w:t xml:space="preserve"> supporting evidence need not be provided to the Registrar but does need to be retained for </w:t>
      </w:r>
      <w:r w:rsidR="002F24B0">
        <w:t>seven</w:t>
      </w:r>
      <w:r w:rsidRPr="00AC3BE9">
        <w:t xml:space="preserve"> years.</w:t>
      </w:r>
    </w:p>
    <w:p w:rsidR="00BA4D69" w:rsidRPr="002A1697" w:rsidRDefault="00BA4D69" w:rsidP="002F24B0">
      <w:pPr>
        <w:pStyle w:val="Heading2"/>
      </w:pPr>
      <w:r>
        <w:t>F</w:t>
      </w:r>
      <w:r w:rsidRPr="00DA77B5">
        <w:t xml:space="preserve">or </w:t>
      </w:r>
      <w:r w:rsidR="002F24B0">
        <w:t>paper conveyancing transactions</w:t>
      </w:r>
    </w:p>
    <w:p w:rsidR="00BA4D69" w:rsidRPr="002A1697" w:rsidRDefault="00BA4D69" w:rsidP="00E05743">
      <w:pPr>
        <w:pStyle w:val="Bullet"/>
      </w:pPr>
      <w:r>
        <w:t>If the</w:t>
      </w:r>
      <w:r w:rsidRPr="002A1697">
        <w:t xml:space="preserve"> trustee</w:t>
      </w:r>
      <w:r>
        <w:t>(s)</w:t>
      </w:r>
      <w:r w:rsidRPr="002A1697">
        <w:t xml:space="preserve"> </w:t>
      </w:r>
      <w:r w:rsidR="002F24B0">
        <w:t>is/</w:t>
      </w:r>
      <w:r w:rsidRPr="002A1697">
        <w:t>are</w:t>
      </w:r>
      <w:r w:rsidRPr="00EB707C">
        <w:t xml:space="preserve"> unrepresented, the trustee</w:t>
      </w:r>
      <w:r>
        <w:t>(</w:t>
      </w:r>
      <w:r w:rsidRPr="00EB707C">
        <w:t>s</w:t>
      </w:r>
      <w:r>
        <w:t>)</w:t>
      </w:r>
      <w:r w:rsidRPr="00EB707C">
        <w:t xml:space="preserve"> will sign</w:t>
      </w:r>
      <w:r w:rsidRPr="002A1697">
        <w:t xml:space="preserve"> the </w:t>
      </w:r>
      <w:r>
        <w:t>instrument</w:t>
      </w:r>
      <w:r w:rsidRPr="002A1697">
        <w:t>.</w:t>
      </w:r>
      <w:r>
        <w:t xml:space="preserve"> A copy of the trust deed or court order must accompany the instrument, evidencing the appointment of the trustee(s). </w:t>
      </w:r>
    </w:p>
    <w:p w:rsidR="00BA4D69" w:rsidRDefault="00BA4D69" w:rsidP="00E05743">
      <w:pPr>
        <w:pStyle w:val="Bullet"/>
      </w:pPr>
      <w:r>
        <w:t>If</w:t>
      </w:r>
      <w:r w:rsidRPr="002A1697">
        <w:t xml:space="preserve"> the trustee</w:t>
      </w:r>
      <w:r>
        <w:t>(s)</w:t>
      </w:r>
      <w:r w:rsidRPr="002A1697">
        <w:t xml:space="preserve"> </w:t>
      </w:r>
      <w:r w:rsidR="002F24B0">
        <w:t>is/</w:t>
      </w:r>
      <w:r>
        <w:t>are</w:t>
      </w:r>
      <w:r w:rsidRPr="002A1697">
        <w:t xml:space="preserve"> represented by a conveyancer or </w:t>
      </w:r>
      <w:r>
        <w:t>lawyer</w:t>
      </w:r>
      <w:r w:rsidRPr="002932FD">
        <w:t xml:space="preserve">, </w:t>
      </w:r>
      <w:r>
        <w:t xml:space="preserve">the conveyancer or lawyer must sign the instrument on behalf of the trustee(s). A copy of the trust deed or court order need not be provided but must be retained for </w:t>
      </w:r>
      <w:r w:rsidR="00081AE7">
        <w:t>seven</w:t>
      </w:r>
      <w:r>
        <w:t xml:space="preserve"> years. </w:t>
      </w:r>
    </w:p>
    <w:p w:rsidR="00BA4D69" w:rsidRPr="00E05743" w:rsidRDefault="00BA4D69" w:rsidP="00E05743">
      <w:pPr>
        <w:pStyle w:val="Body"/>
      </w:pPr>
      <w:r w:rsidRPr="00E05743">
        <w:t xml:space="preserve">The minor registered proprietor should not sign the instrument in a paper conveyancing transaction and will be unable to sign an electronic instrument. </w:t>
      </w:r>
    </w:p>
    <w:p w:rsidR="00BA4D69" w:rsidRPr="00E05743" w:rsidRDefault="00BA4D69" w:rsidP="00E05743">
      <w:pPr>
        <w:pStyle w:val="Body"/>
      </w:pPr>
      <w:r w:rsidRPr="00E05743">
        <w:t xml:space="preserve">The transferee on the instrument in both an electronic and paper conveyancing transaction will be the minor registered proprietor. </w:t>
      </w:r>
    </w:p>
    <w:p w:rsidR="00BA4D69" w:rsidRDefault="00BA4D69" w:rsidP="002F24B0">
      <w:pPr>
        <w:pStyle w:val="Body"/>
      </w:pPr>
      <w:r w:rsidRPr="00E05743">
        <w:t xml:space="preserve">If, when appointing the trustee(s), the Court vests land in the trustee(s), the trustee(s) can make an application under section 58 of the </w:t>
      </w:r>
      <w:r w:rsidRPr="00B358D9">
        <w:rPr>
          <w:i/>
        </w:rPr>
        <w:t>Transfer of Land Act 1958</w:t>
      </w:r>
      <w:r w:rsidRPr="00E05743">
        <w:t>. However, this is not a pre-requisite to any other dealing with the land.</w:t>
      </w:r>
    </w:p>
    <w:p w:rsidR="00A62C2A" w:rsidRDefault="00A62C2A">
      <w:pPr>
        <w:rPr>
          <w:b/>
          <w:bCs/>
          <w:color w:val="B3272F" w:themeColor="text2"/>
          <w:kern w:val="32"/>
          <w:sz w:val="40"/>
          <w:szCs w:val="32"/>
        </w:rPr>
      </w:pPr>
      <w:r>
        <w:rPr>
          <w:b/>
          <w:bCs/>
          <w:color w:val="B3272F" w:themeColor="text2"/>
          <w:kern w:val="32"/>
          <w:sz w:val="40"/>
          <w:szCs w:val="32"/>
        </w:rPr>
        <w:br w:type="page"/>
      </w:r>
    </w:p>
    <w:p w:rsidR="00BA4D69" w:rsidRPr="00D56375" w:rsidRDefault="00BA4D69" w:rsidP="00BA4D69">
      <w:pPr>
        <w:pStyle w:val="BodyText"/>
        <w:rPr>
          <w:rFonts w:cs="Arial"/>
          <w:b/>
          <w:bCs/>
          <w:color w:val="B3272F" w:themeColor="text2"/>
          <w:kern w:val="32"/>
          <w:sz w:val="40"/>
          <w:szCs w:val="32"/>
          <w:lang w:eastAsia="en-AU"/>
        </w:rPr>
      </w:pPr>
      <w:r w:rsidRPr="00D56375">
        <w:rPr>
          <w:rFonts w:cs="Arial"/>
          <w:b/>
          <w:bCs/>
          <w:color w:val="B3272F" w:themeColor="text2"/>
          <w:kern w:val="32"/>
          <w:sz w:val="40"/>
          <w:szCs w:val="32"/>
          <w:lang w:eastAsia="en-AU"/>
        </w:rPr>
        <w:lastRenderedPageBreak/>
        <w:t>Caveat</w:t>
      </w:r>
      <w:r w:rsidR="00354CBD">
        <w:rPr>
          <w:rFonts w:cs="Arial"/>
          <w:b/>
          <w:bCs/>
          <w:color w:val="B3272F" w:themeColor="text2"/>
          <w:kern w:val="32"/>
          <w:sz w:val="40"/>
          <w:szCs w:val="32"/>
          <w:lang w:eastAsia="en-AU"/>
        </w:rPr>
        <w:t>s</w:t>
      </w:r>
      <w:r w:rsidRPr="00D56375">
        <w:rPr>
          <w:rFonts w:cs="Arial"/>
          <w:b/>
          <w:bCs/>
          <w:color w:val="B3272F" w:themeColor="text2"/>
          <w:kern w:val="32"/>
          <w:sz w:val="40"/>
          <w:szCs w:val="32"/>
          <w:lang w:eastAsia="en-AU"/>
        </w:rPr>
        <w:t xml:space="preserve"> </w:t>
      </w:r>
      <w:r>
        <w:rPr>
          <w:rFonts w:cs="Arial"/>
          <w:b/>
          <w:bCs/>
          <w:color w:val="B3272F" w:themeColor="text2"/>
          <w:kern w:val="32"/>
          <w:sz w:val="40"/>
          <w:szCs w:val="32"/>
          <w:lang w:eastAsia="en-AU"/>
        </w:rPr>
        <w:t>requiring a</w:t>
      </w:r>
      <w:r w:rsidR="00354CBD">
        <w:rPr>
          <w:rFonts w:cs="Arial"/>
          <w:b/>
          <w:bCs/>
          <w:color w:val="B3272F" w:themeColor="text2"/>
          <w:kern w:val="32"/>
          <w:sz w:val="40"/>
          <w:szCs w:val="32"/>
          <w:lang w:eastAsia="en-AU"/>
        </w:rPr>
        <w:t>n</w:t>
      </w:r>
      <w:r>
        <w:rPr>
          <w:rFonts w:cs="Arial"/>
          <w:b/>
          <w:bCs/>
          <w:color w:val="B3272F" w:themeColor="text2"/>
          <w:kern w:val="32"/>
          <w:sz w:val="40"/>
          <w:szCs w:val="32"/>
          <w:lang w:eastAsia="en-AU"/>
        </w:rPr>
        <w:t xml:space="preserve"> attached</w:t>
      </w:r>
      <w:r w:rsidR="00354CBD">
        <w:rPr>
          <w:rFonts w:cs="Arial"/>
          <w:b/>
          <w:bCs/>
          <w:color w:val="B3272F" w:themeColor="text2"/>
          <w:kern w:val="32"/>
          <w:sz w:val="40"/>
          <w:szCs w:val="32"/>
          <w:lang w:eastAsia="en-AU"/>
        </w:rPr>
        <w:t xml:space="preserve"> </w:t>
      </w:r>
      <w:r w:rsidR="00354CBD">
        <w:rPr>
          <w:rFonts w:cs="Arial"/>
          <w:b/>
          <w:bCs/>
          <w:color w:val="B3272F" w:themeColor="text2"/>
          <w:kern w:val="32"/>
          <w:sz w:val="40"/>
          <w:szCs w:val="32"/>
          <w:lang w:eastAsia="en-AU"/>
        </w:rPr>
        <w:t>plan</w:t>
      </w:r>
      <w:bookmarkStart w:id="1" w:name="_GoBack"/>
      <w:bookmarkEnd w:id="1"/>
    </w:p>
    <w:p w:rsidR="00BA4D69" w:rsidRDefault="00BA4D69" w:rsidP="00BA4D69">
      <w:pPr>
        <w:pStyle w:val="Body"/>
      </w:pPr>
      <w:r w:rsidRPr="00E05743">
        <w:t xml:space="preserve">From 1 December 2017, </w:t>
      </w:r>
      <w:r w:rsidR="002F24B0" w:rsidRPr="00E05743">
        <w:t>whe</w:t>
      </w:r>
      <w:r w:rsidR="002F24B0">
        <w:t>n</w:t>
      </w:r>
      <w:r w:rsidR="002F24B0" w:rsidRPr="00E05743">
        <w:t xml:space="preserve"> </w:t>
      </w:r>
      <w:r w:rsidRPr="00E05743">
        <w:t>a caveator is a PEXA subscriber or is represented by lawyer or conveyancer, any caveat not lodged with any other instrument must be lodged using an electronic lodgment network. If a caveat affects part of the land in a folio and it is necessary to attach a plan or diagram to define the part of land affected, the caveat can continue to be lodged as a paper instrument.</w:t>
      </w:r>
    </w:p>
    <w:p w:rsidR="00BA4D69" w:rsidRDefault="00BA4D69" w:rsidP="00BA4D69">
      <w:pPr>
        <w:pStyle w:val="BodyText"/>
        <w:rPr>
          <w:rFonts w:cs="Arial"/>
          <w:b/>
          <w:bCs/>
          <w:color w:val="B3272F" w:themeColor="text2"/>
          <w:kern w:val="32"/>
          <w:sz w:val="40"/>
          <w:szCs w:val="32"/>
          <w:lang w:eastAsia="en-AU"/>
        </w:rPr>
      </w:pPr>
      <w:r w:rsidRPr="00315439">
        <w:rPr>
          <w:rFonts w:cs="Arial"/>
          <w:b/>
          <w:bCs/>
          <w:color w:val="B3272F" w:themeColor="text2"/>
          <w:kern w:val="32"/>
          <w:sz w:val="40"/>
          <w:szCs w:val="32"/>
          <w:lang w:eastAsia="en-AU"/>
        </w:rPr>
        <w:t>Subscribe</w:t>
      </w:r>
    </w:p>
    <w:p w:rsidR="00BA4D69" w:rsidRPr="00E05743" w:rsidRDefault="00BA4D69" w:rsidP="00E05743">
      <w:pPr>
        <w:pStyle w:val="Body"/>
        <w:rPr>
          <w:rFonts w:eastAsia="Calibri"/>
        </w:rPr>
      </w:pPr>
      <w:r w:rsidRPr="00E05743">
        <w:rPr>
          <w:rFonts w:eastAsia="Calibri"/>
        </w:rPr>
        <w:t xml:space="preserve">To receive notification when a </w:t>
      </w:r>
      <w:r w:rsidRPr="005A1A94">
        <w:rPr>
          <w:rFonts w:eastAsia="Calibri"/>
          <w:i/>
        </w:rPr>
        <w:t>Customer Information Bulletin</w:t>
      </w:r>
      <w:r w:rsidRPr="00E05743">
        <w:rPr>
          <w:rFonts w:eastAsia="Calibri"/>
        </w:rPr>
        <w:t xml:space="preserve"> is published</w:t>
      </w:r>
      <w:r w:rsidR="00081AE7">
        <w:rPr>
          <w:rFonts w:eastAsia="Calibri"/>
        </w:rPr>
        <w:t xml:space="preserve"> online</w:t>
      </w:r>
      <w:r w:rsidRPr="00E05743">
        <w:rPr>
          <w:rFonts w:eastAsia="Calibri"/>
        </w:rPr>
        <w:t>, please send an email to lv.cib@delwp.vic.gov.au with SUBSCRIBE in the subject line – include your name and email address in the body of the email.</w:t>
      </w:r>
    </w:p>
    <w:p w:rsidR="00BA4D69" w:rsidRDefault="00BA4D69" w:rsidP="00BA4D69">
      <w:pPr>
        <w:pStyle w:val="Heading1"/>
        <w:numPr>
          <w:ilvl w:val="0"/>
          <w:numId w:val="0"/>
        </w:numPr>
        <w:spacing w:after="240"/>
        <w:rPr>
          <w:rFonts w:eastAsiaTheme="minorHAnsi"/>
          <w:lang w:eastAsia="en-US"/>
        </w:rPr>
      </w:pPr>
      <w:r>
        <w:rPr>
          <w:rFonts w:eastAsiaTheme="minorHAnsi"/>
          <w:lang w:eastAsia="en-US"/>
        </w:rPr>
        <w:t>Contact us</w:t>
      </w:r>
    </w:p>
    <w:p w:rsidR="00BA4D69" w:rsidRDefault="00BA4D69" w:rsidP="00E05743">
      <w:pPr>
        <w:pStyle w:val="Body"/>
      </w:pPr>
      <w:r>
        <w:rPr>
          <w:rFonts w:eastAsiaTheme="minorHAnsi" w:cs="Calibri"/>
          <w:color w:val="000000"/>
          <w:szCs w:val="22"/>
        </w:rPr>
        <w:t xml:space="preserve">For </w:t>
      </w:r>
      <w:hyperlink r:id="rId17"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8"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rsidR="00254A01" w:rsidRDefault="00254A01" w:rsidP="00254A01">
      <w:pPr>
        <w:pStyle w:val="BodyText"/>
      </w:pPr>
    </w:p>
    <w:p w:rsidR="00254A01" w:rsidRDefault="00254A01" w:rsidP="00254A01"/>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BA4D69">
        <w:trPr>
          <w:trHeight w:val="2608"/>
        </w:trPr>
        <w:tc>
          <w:tcPr>
            <w:tcW w:w="5216" w:type="dxa"/>
            <w:shd w:val="clear" w:color="auto" w:fill="auto"/>
          </w:tcPr>
          <w:p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54CBD">
              <w:rPr>
                <w:noProof/>
              </w:rPr>
              <w:t>2018</w:t>
            </w:r>
            <w:r>
              <w:fldChar w:fldCharType="end"/>
            </w:r>
          </w:p>
          <w:p w:rsidR="00254A01" w:rsidRDefault="00254A01" w:rsidP="00AC028D">
            <w:pPr>
              <w:pStyle w:val="SmallBodyText"/>
            </w:pPr>
            <w:r>
              <w:rPr>
                <w:noProof/>
              </w:rPr>
              <w:drawing>
                <wp:anchor distT="0" distB="0" distL="114300" distR="36195" simplePos="0" relativeHeight="251653632"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rsidR="00254A01" w:rsidRDefault="00254A01" w:rsidP="00AC028D">
            <w:pPr>
              <w:pStyle w:val="SmallBodyText"/>
            </w:pPr>
          </w:p>
        </w:tc>
      </w:tr>
    </w:tbl>
    <w:p w:rsidR="006E1C8D" w:rsidRDefault="006E1C8D" w:rsidP="005D0B1C">
      <w:pPr>
        <w:pStyle w:val="BodyText"/>
      </w:pPr>
    </w:p>
    <w:sectPr w:rsidR="006E1C8D" w:rsidSect="00BA4D6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9C" w:rsidRDefault="005E149C">
      <w:r>
        <w:separator/>
      </w:r>
    </w:p>
    <w:p w:rsidR="005E149C" w:rsidRDefault="005E149C"/>
    <w:p w:rsidR="005E149C" w:rsidRDefault="005E149C"/>
  </w:endnote>
  <w:endnote w:type="continuationSeparator" w:id="0">
    <w:p w:rsidR="005E149C" w:rsidRDefault="005E149C">
      <w:r>
        <w:continuationSeparator/>
      </w:r>
    </w:p>
    <w:p w:rsidR="005E149C" w:rsidRDefault="005E149C"/>
    <w:p w:rsidR="005E149C" w:rsidRDefault="005E1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925768"/>
      <w:docPartObj>
        <w:docPartGallery w:val="Page Numbers (Bottom of Page)"/>
        <w:docPartUnique/>
      </w:docPartObj>
    </w:sdtPr>
    <w:sdtEndPr/>
    <w:sdtContent>
      <w:sdt>
        <w:sdtPr>
          <w:id w:val="-1705238520"/>
          <w:docPartObj>
            <w:docPartGallery w:val="Page Numbers (Top of Page)"/>
            <w:docPartUnique/>
          </w:docPartObj>
        </w:sdtPr>
        <w:sdtEndPr/>
        <w:sdtContent>
          <w:p w:rsidR="00892D14" w:rsidRDefault="00892D1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4CB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4CBD">
              <w:rPr>
                <w:b/>
                <w:bCs/>
                <w:noProof/>
              </w:rPr>
              <w:t>5</w:t>
            </w:r>
            <w:r>
              <w:rPr>
                <w:b/>
                <w:bCs/>
                <w:sz w:val="24"/>
                <w:szCs w:val="24"/>
              </w:rPr>
              <w:fldChar w:fldCharType="end"/>
            </w:r>
          </w:p>
        </w:sdtContent>
      </w:sdt>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j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ZRoJ20KJ7tjdoKfcoighUjJsWjEtaPNRKbkWJvlLDoB3qAd10tGa2hEOvE0C66wHL7OEuSMGV&#10;Q/e3snjQSMhVQ0XNrpWSQ8NoCRRCe9M/uzriaAuyGT7IEsLSrZEOaF+pztYXKoYAHVr5eGqfzbcA&#10;42wyDeDDqABfOIunBDY2Bk2O13ulzXsmO2QXKVagDwdPd7fajEePR2w0IXPetmCnSSteGABztEBw&#10;uGp9Ng3X8u9xEK/n6znxSDRdeyTIMu86XxFvmoezSfYuW62y8IeNG5Kk4WXJhA1zlF9I/qy9h4cw&#10;CuckQC1bXlo4m5JW9WbVKrSjIP/cfYeCnB3zX6bh6gVcXlEKIxIso9jLp/OZR3Iy8eJZMPeCMF7G&#10;04DEJMtfUrrlgv07JTSkOJ5Ek1FNv+Vm+35q9hk3mnQc1Ipa3qV4fjpEE6vBtShdaw3l7bg+K4VN&#10;/7kU0O5jo51irUhHuZr9Zg8oVsYbWT6CdpUEZYEKYSrCopHqCaMBJkyK9bctVQyj9kaA/uOQEDuS&#10;3IZMZhFs1Llnc+6hogCoFBuMxuXKjGNs2yteNxBpfHFCXsObqbhT83NWh5cGU8SROkw8O6bO9+7U&#10;81xe/A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D4Uopj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9C" w:rsidRPr="008F5280" w:rsidRDefault="005E149C" w:rsidP="008F5280">
      <w:pPr>
        <w:pStyle w:val="FootnoteSeparator"/>
      </w:pPr>
    </w:p>
    <w:p w:rsidR="005E149C" w:rsidRDefault="005E149C"/>
  </w:footnote>
  <w:footnote w:type="continuationSeparator" w:id="0">
    <w:p w:rsidR="005E149C" w:rsidRDefault="005E149C" w:rsidP="008F5280">
      <w:pPr>
        <w:pStyle w:val="FootnoteSeparator"/>
      </w:pPr>
    </w:p>
    <w:p w:rsidR="005E149C" w:rsidRDefault="005E149C"/>
    <w:p w:rsidR="005E149C" w:rsidRDefault="005E149C"/>
  </w:footnote>
  <w:footnote w:type="continuationNotice" w:id="1">
    <w:p w:rsidR="005E149C" w:rsidRDefault="005E149C" w:rsidP="00D55628"/>
    <w:p w:rsidR="005E149C" w:rsidRDefault="005E149C"/>
    <w:p w:rsidR="005E149C" w:rsidRDefault="005E1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081AE7" w:rsidP="00AC028D">
          <w:pPr>
            <w:pStyle w:val="Header"/>
          </w:pPr>
          <w:fldSimple w:instr=" STYLEREF  Title  \* MERGEFORMAT ">
            <w:r w:rsidR="00354CBD">
              <w:rPr>
                <w:noProof/>
              </w:rPr>
              <w:t>Land Use Victoria</w:t>
            </w:r>
            <w:r w:rsidR="00354CBD">
              <w:rPr>
                <w:noProof/>
              </w:rPr>
              <w:br/>
              <w:t>Customer Information Bulletin 174</w:t>
            </w:r>
            <w:r w:rsidR="00354CBD">
              <w:rPr>
                <w:noProof/>
              </w:rPr>
              <w:br/>
              <w:t>January 2018</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57728"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2B9AB"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D526A"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657319"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081AE7" w:rsidP="00AC028D">
          <w:pPr>
            <w:pStyle w:val="Header"/>
          </w:pPr>
          <w:fldSimple w:instr=" STYLEREF  Title  \* MERGEFORMAT ">
            <w:r w:rsidR="00354CBD">
              <w:rPr>
                <w:noProof/>
              </w:rPr>
              <w:t>Land Use Victoria</w:t>
            </w:r>
            <w:r w:rsidR="00354CBD">
              <w:rPr>
                <w:noProof/>
              </w:rPr>
              <w:br/>
              <w:t>Customer Information Bulletin 174</w:t>
            </w:r>
            <w:r w:rsidR="00354CBD">
              <w:rPr>
                <w:noProof/>
              </w:rPr>
              <w:br/>
              <w:t>January 2018</w:t>
            </w:r>
          </w:fldSimple>
        </w:p>
      </w:tc>
    </w:tr>
  </w:tbl>
  <w:p w:rsidR="00254A01" w:rsidRDefault="00254A01" w:rsidP="00254A01">
    <w:pPr>
      <w:pStyle w:val="Header"/>
    </w:pPr>
    <w:r w:rsidRPr="00806AB6">
      <w:rPr>
        <w:noProof/>
      </w:rPr>
      <mc:AlternateContent>
        <mc:Choice Requires="wps">
          <w:drawing>
            <wp:anchor distT="0" distB="0" distL="114300" distR="114300" simplePos="0" relativeHeight="251663872"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BA5E1"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C477B1"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4A1CDF"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FE00A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4CE551"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EFB0B3"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B5ECE6"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617AA"/>
    <w:multiLevelType w:val="hybridMultilevel"/>
    <w:tmpl w:val="F31C0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AEF6829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3"/>
  </w:num>
  <w:num w:numId="5">
    <w:abstractNumId w:val="17"/>
  </w:num>
  <w:num w:numId="6">
    <w:abstractNumId w:val="14"/>
  </w:num>
  <w:num w:numId="7">
    <w:abstractNumId w:val="13"/>
  </w:num>
  <w:num w:numId="8">
    <w:abstractNumId w:val="11"/>
  </w:num>
  <w:num w:numId="9">
    <w:abstractNumId w:val="30"/>
  </w:num>
  <w:num w:numId="10">
    <w:abstractNumId w:val="15"/>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1"/>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BA4D6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7CB"/>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AE7"/>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1C"/>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C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96D"/>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4B0"/>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B0E"/>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CBD"/>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384"/>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86A"/>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BEA"/>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15E"/>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0CB"/>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94"/>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49C"/>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677"/>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7A9"/>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C62"/>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5E40"/>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018"/>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2D14"/>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49F"/>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485"/>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C2A"/>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3A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8D9"/>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837"/>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D69"/>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2ED"/>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103"/>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4EA4"/>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43"/>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4EB"/>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1B9A"/>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1E9B8E2D"/>
  <w15:docId w15:val="{5B3F6058-7C44-4FB0-B152-6DA8AE6B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A4D6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A4D69"/>
    <w:pPr>
      <w:spacing w:after="113"/>
    </w:pPr>
    <w:rPr>
      <w:rFonts w:ascii="Calibri" w:hAnsi="Calibri"/>
      <w:color w:val="auto"/>
      <w:sz w:val="22"/>
      <w:szCs w:val="24"/>
      <w:lang w:eastAsia="en-US"/>
    </w:rPr>
  </w:style>
  <w:style w:type="paragraph" w:customStyle="1" w:styleId="Bullet">
    <w:name w:val="_Bullet"/>
    <w:link w:val="BulletChar"/>
    <w:qFormat/>
    <w:rsid w:val="00BA4D69"/>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BA4D69"/>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FF1B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pertyandlandtitles.vic.gov.au/contact-us"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http://www.spear.land.vic.gov.au"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pear.land.vic.gov.au/spear/"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ro.vic.gov.au/dutiesonline" TargetMode="Externa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1D76-3154-419D-A3F3-FB894E7D0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80</TotalTime>
  <Pages>5</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Annette S Binger (DELWP)</dc:creator>
  <cp:keywords/>
  <dc:description/>
  <cp:lastModifiedBy>Annette S Binger (DELWP)</cp:lastModifiedBy>
  <cp:revision>7</cp:revision>
  <cp:lastPrinted>2018-01-23T01:27:00Z</cp:lastPrinted>
  <dcterms:created xsi:type="dcterms:W3CDTF">2018-01-23T01:21:00Z</dcterms:created>
  <dcterms:modified xsi:type="dcterms:W3CDTF">2018-01-23T02:52:00Z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