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D04" w:rsidRDefault="00EA0D04" w:rsidP="00EA0D04">
      <w:pPr>
        <w:pStyle w:val="DTPLICover2Title"/>
        <w:rPr>
          <w:color w:val="auto"/>
          <w:sz w:val="56"/>
          <w:szCs w:val="56"/>
        </w:rPr>
      </w:pPr>
      <w:bookmarkStart w:id="0" w:name="_GoBack"/>
      <w:bookmarkEnd w:id="0"/>
    </w:p>
    <w:p w:rsidR="00EA0D04" w:rsidRDefault="00EA0D04" w:rsidP="00EA0D04">
      <w:pPr>
        <w:pStyle w:val="DTPLICover2Title"/>
        <w:rPr>
          <w:color w:val="auto"/>
          <w:sz w:val="56"/>
          <w:szCs w:val="56"/>
        </w:rPr>
      </w:pPr>
    </w:p>
    <w:p w:rsidR="006E6718" w:rsidRDefault="006E6718" w:rsidP="00EA0D04">
      <w:pPr>
        <w:pStyle w:val="DTPLICover2Title"/>
        <w:rPr>
          <w:color w:val="auto"/>
          <w:sz w:val="56"/>
          <w:szCs w:val="56"/>
        </w:rPr>
      </w:pPr>
    </w:p>
    <w:p w:rsidR="00EA0D04" w:rsidRPr="003E52B0" w:rsidRDefault="00EA0D04" w:rsidP="00EA0D04">
      <w:pPr>
        <w:pStyle w:val="DTPLICover2Title"/>
        <w:rPr>
          <w:color w:val="auto"/>
          <w:sz w:val="56"/>
          <w:szCs w:val="56"/>
        </w:rPr>
      </w:pPr>
      <w:r w:rsidRPr="003E52B0">
        <w:rPr>
          <w:color w:val="auto"/>
          <w:sz w:val="56"/>
          <w:szCs w:val="56"/>
        </w:rPr>
        <w:t xml:space="preserve">Aligning paper and electronic conveyancing requirements </w:t>
      </w:r>
    </w:p>
    <w:p w:rsidR="00EA0D04" w:rsidRDefault="00EA0D04" w:rsidP="00EA0D04">
      <w:pPr>
        <w:pStyle w:val="DTPLICover2Sub-title"/>
        <w:rPr>
          <w:color w:val="auto"/>
          <w:sz w:val="32"/>
          <w:szCs w:val="32"/>
        </w:rPr>
      </w:pPr>
    </w:p>
    <w:p w:rsidR="006E6718" w:rsidRPr="003E52B0" w:rsidRDefault="006E6718" w:rsidP="00EA0D04">
      <w:pPr>
        <w:pStyle w:val="DTPLICover2Sub-title"/>
        <w:rPr>
          <w:color w:val="auto"/>
          <w:sz w:val="32"/>
          <w:szCs w:val="32"/>
        </w:rPr>
      </w:pPr>
    </w:p>
    <w:p w:rsidR="00EA0D04" w:rsidRPr="003E52B0" w:rsidRDefault="00EA0D04" w:rsidP="00EA0D04">
      <w:pPr>
        <w:pStyle w:val="DTPLICover2Sub-title"/>
        <w:rPr>
          <w:color w:val="auto"/>
          <w:sz w:val="32"/>
          <w:szCs w:val="32"/>
        </w:rPr>
      </w:pPr>
    </w:p>
    <w:p w:rsidR="00EA0D04" w:rsidRPr="003E52B0" w:rsidRDefault="00EA0D04" w:rsidP="00EA0D04">
      <w:pPr>
        <w:pStyle w:val="DTPLICover2Sub-title"/>
        <w:rPr>
          <w:color w:val="auto"/>
          <w:sz w:val="32"/>
          <w:szCs w:val="32"/>
        </w:rPr>
      </w:pPr>
    </w:p>
    <w:p w:rsidR="00EA0D04" w:rsidRPr="003E52B0" w:rsidRDefault="00EA0D04" w:rsidP="00EA0D04">
      <w:pPr>
        <w:pStyle w:val="DTPLICover2Sub-title"/>
        <w:rPr>
          <w:color w:val="auto"/>
          <w:sz w:val="32"/>
          <w:szCs w:val="32"/>
        </w:rPr>
      </w:pPr>
      <w:r w:rsidRPr="003E52B0">
        <w:rPr>
          <w:color w:val="auto"/>
          <w:sz w:val="32"/>
          <w:szCs w:val="32"/>
        </w:rPr>
        <w:t>Land Victoria</w:t>
      </w:r>
    </w:p>
    <w:p w:rsidR="00EA0D04" w:rsidRPr="003E52B0" w:rsidRDefault="00EA0D04" w:rsidP="00EA0D04">
      <w:pPr>
        <w:pStyle w:val="DTPLICover2Sub-title"/>
        <w:rPr>
          <w:color w:val="auto"/>
          <w:sz w:val="32"/>
          <w:szCs w:val="32"/>
        </w:rPr>
      </w:pPr>
      <w:r>
        <w:rPr>
          <w:color w:val="auto"/>
          <w:sz w:val="32"/>
          <w:szCs w:val="32"/>
        </w:rPr>
        <w:t>Analysis of Responses</w:t>
      </w:r>
    </w:p>
    <w:p w:rsidR="00EA0D04" w:rsidRPr="003E52B0" w:rsidRDefault="00EA0D04" w:rsidP="00EA0D04">
      <w:pPr>
        <w:pStyle w:val="DTPLICover2Sub-title"/>
        <w:rPr>
          <w:color w:val="auto"/>
          <w:sz w:val="32"/>
          <w:szCs w:val="32"/>
        </w:rPr>
      </w:pPr>
    </w:p>
    <w:p w:rsidR="00EA0D04" w:rsidRPr="003E52B0" w:rsidRDefault="00EA0D04" w:rsidP="00EA0D04">
      <w:pPr>
        <w:pStyle w:val="DTPLICover2Sub-title"/>
        <w:rPr>
          <w:color w:val="auto"/>
          <w:sz w:val="32"/>
          <w:szCs w:val="32"/>
        </w:rPr>
      </w:pPr>
    </w:p>
    <w:p w:rsidR="00EA0D04" w:rsidRPr="003E52B0" w:rsidRDefault="00EA0D04" w:rsidP="00EA0D04">
      <w:pPr>
        <w:pStyle w:val="DTPLICover2Sub-title"/>
        <w:rPr>
          <w:color w:val="auto"/>
          <w:sz w:val="32"/>
          <w:szCs w:val="32"/>
        </w:rPr>
      </w:pPr>
    </w:p>
    <w:p w:rsidR="00EA0D04" w:rsidRPr="003E52B0" w:rsidRDefault="00EA0D04" w:rsidP="00EA0D04">
      <w:pPr>
        <w:pStyle w:val="DTPLICover2Sub-title"/>
        <w:rPr>
          <w:color w:val="auto"/>
          <w:sz w:val="32"/>
          <w:szCs w:val="32"/>
        </w:rPr>
      </w:pPr>
    </w:p>
    <w:p w:rsidR="00EA0D04" w:rsidRPr="003E52B0" w:rsidRDefault="00EA0D04" w:rsidP="00EA0D04">
      <w:pPr>
        <w:rPr>
          <w:sz w:val="54"/>
        </w:rPr>
      </w:pPr>
    </w:p>
    <w:p w:rsidR="00EA0D04" w:rsidRDefault="00EA0D04" w:rsidP="00EA0D04">
      <w:pPr>
        <w:tabs>
          <w:tab w:val="left" w:pos="6237"/>
        </w:tabs>
        <w:ind w:right="-897"/>
        <w:rPr>
          <w:rFonts w:ascii="Times New Roman" w:hAnsi="Times New Roman"/>
          <w:noProof/>
          <w:color w:val="FFFFFF"/>
          <w:sz w:val="24"/>
          <w:szCs w:val="24"/>
          <w:lang w:eastAsia="en-AU"/>
        </w:rPr>
      </w:pPr>
    </w:p>
    <w:p w:rsidR="00EA0D04" w:rsidRDefault="00EA0D04" w:rsidP="00EA0D04">
      <w:pPr>
        <w:pStyle w:val="DTPLIContentFiguresheading"/>
        <w:rPr>
          <w:rStyle w:val="DTPLIContentFiguresheadingChar"/>
          <w:rFonts w:ascii="Verdana" w:hAnsi="Verdana"/>
        </w:rPr>
        <w:sectPr w:rsidR="00EA0D04" w:rsidSect="00EA0D04">
          <w:headerReference w:type="default" r:id="rId9"/>
          <w:footerReference w:type="default" r:id="rId10"/>
          <w:footerReference w:type="first" r:id="rId11"/>
          <w:pgSz w:w="11906" w:h="16838"/>
          <w:pgMar w:top="1440" w:right="1440" w:bottom="1440" w:left="1440" w:header="708" w:footer="567" w:gutter="0"/>
          <w:pgNumType w:start="0"/>
          <w:cols w:space="708"/>
          <w:titlePg/>
          <w:docGrid w:linePitch="360"/>
        </w:sectPr>
      </w:pPr>
    </w:p>
    <w:p w:rsidR="00EA0D04" w:rsidRDefault="00EA0D04" w:rsidP="00EA0D04">
      <w:pPr>
        <w:autoSpaceDE w:val="0"/>
        <w:autoSpaceDN w:val="0"/>
        <w:adjustRightInd w:val="0"/>
        <w:spacing w:after="0"/>
        <w:rPr>
          <w:rFonts w:eastAsia="Calibri" w:cs="Tahoma"/>
          <w:lang w:eastAsia="en-AU"/>
        </w:rPr>
      </w:pPr>
    </w:p>
    <w:p w:rsidR="00EA0D04" w:rsidRDefault="00EA0D04" w:rsidP="00EA0D04">
      <w:pPr>
        <w:autoSpaceDE w:val="0"/>
        <w:autoSpaceDN w:val="0"/>
        <w:adjustRightInd w:val="0"/>
        <w:spacing w:after="0"/>
        <w:rPr>
          <w:rFonts w:eastAsia="Calibri" w:cs="Tahoma"/>
          <w:lang w:eastAsia="en-AU"/>
        </w:rPr>
      </w:pPr>
    </w:p>
    <w:p w:rsidR="00EA0D04" w:rsidRDefault="00EA0D04" w:rsidP="00EA0D04">
      <w:pPr>
        <w:autoSpaceDE w:val="0"/>
        <w:autoSpaceDN w:val="0"/>
        <w:adjustRightInd w:val="0"/>
        <w:spacing w:after="0"/>
        <w:rPr>
          <w:rFonts w:eastAsia="Calibri" w:cs="Tahoma"/>
          <w:lang w:eastAsia="en-AU"/>
        </w:rPr>
      </w:pPr>
    </w:p>
    <w:p w:rsidR="00EA0D04" w:rsidRDefault="00EA0D04" w:rsidP="00EA0D04">
      <w:pPr>
        <w:autoSpaceDE w:val="0"/>
        <w:autoSpaceDN w:val="0"/>
        <w:adjustRightInd w:val="0"/>
        <w:spacing w:after="0"/>
        <w:rPr>
          <w:rFonts w:eastAsia="Calibri" w:cs="Tahoma"/>
          <w:lang w:eastAsia="en-AU"/>
        </w:rPr>
      </w:pPr>
    </w:p>
    <w:p w:rsidR="00EA0D04" w:rsidRDefault="00EA0D04" w:rsidP="00EA0D04">
      <w:pPr>
        <w:autoSpaceDE w:val="0"/>
        <w:autoSpaceDN w:val="0"/>
        <w:adjustRightInd w:val="0"/>
        <w:spacing w:after="0"/>
        <w:rPr>
          <w:rFonts w:eastAsia="Calibri" w:cs="Tahoma"/>
          <w:lang w:eastAsia="en-AU"/>
        </w:rPr>
      </w:pPr>
    </w:p>
    <w:p w:rsidR="00EA0D04" w:rsidRDefault="00EA0D04" w:rsidP="00EA0D04">
      <w:pPr>
        <w:autoSpaceDE w:val="0"/>
        <w:autoSpaceDN w:val="0"/>
        <w:adjustRightInd w:val="0"/>
        <w:spacing w:after="0"/>
        <w:rPr>
          <w:rFonts w:eastAsia="Calibri" w:cs="Tahoma"/>
          <w:lang w:eastAsia="en-AU"/>
        </w:rPr>
      </w:pPr>
    </w:p>
    <w:p w:rsidR="00EA0D04" w:rsidRDefault="00EA0D04" w:rsidP="00EA0D04">
      <w:pPr>
        <w:autoSpaceDE w:val="0"/>
        <w:autoSpaceDN w:val="0"/>
        <w:adjustRightInd w:val="0"/>
        <w:spacing w:after="0"/>
        <w:rPr>
          <w:rFonts w:eastAsia="Calibri" w:cs="Tahoma"/>
          <w:lang w:eastAsia="en-AU"/>
        </w:rPr>
      </w:pPr>
    </w:p>
    <w:p w:rsidR="00EA0D04" w:rsidRDefault="00EA0D04" w:rsidP="00EA0D04">
      <w:pPr>
        <w:autoSpaceDE w:val="0"/>
        <w:autoSpaceDN w:val="0"/>
        <w:adjustRightInd w:val="0"/>
        <w:spacing w:after="0"/>
        <w:rPr>
          <w:rFonts w:eastAsia="Calibri" w:cs="Tahoma"/>
          <w:lang w:eastAsia="en-AU"/>
        </w:rPr>
      </w:pPr>
    </w:p>
    <w:p w:rsidR="00EA0D04" w:rsidRDefault="00EA0D04" w:rsidP="00EA0D04">
      <w:pPr>
        <w:autoSpaceDE w:val="0"/>
        <w:autoSpaceDN w:val="0"/>
        <w:adjustRightInd w:val="0"/>
        <w:spacing w:after="0"/>
        <w:rPr>
          <w:rFonts w:eastAsia="Calibri" w:cs="Tahoma"/>
          <w:lang w:eastAsia="en-AU"/>
        </w:rPr>
      </w:pPr>
    </w:p>
    <w:p w:rsidR="00EA0D04" w:rsidRDefault="00EA0D04" w:rsidP="00EA0D04">
      <w:pPr>
        <w:autoSpaceDE w:val="0"/>
        <w:autoSpaceDN w:val="0"/>
        <w:adjustRightInd w:val="0"/>
        <w:spacing w:after="0"/>
        <w:rPr>
          <w:rFonts w:eastAsia="Calibri" w:cs="Tahoma"/>
          <w:lang w:eastAsia="en-AU"/>
        </w:rPr>
      </w:pPr>
    </w:p>
    <w:p w:rsidR="00EA0D04" w:rsidRDefault="00EA0D04" w:rsidP="00EA0D04">
      <w:pPr>
        <w:autoSpaceDE w:val="0"/>
        <w:autoSpaceDN w:val="0"/>
        <w:adjustRightInd w:val="0"/>
        <w:spacing w:after="0"/>
        <w:rPr>
          <w:rFonts w:eastAsia="Calibri" w:cs="Tahoma"/>
          <w:lang w:eastAsia="en-AU"/>
        </w:rPr>
      </w:pPr>
    </w:p>
    <w:p w:rsidR="00EA0D04" w:rsidRDefault="00EA0D04" w:rsidP="00EA0D04">
      <w:pPr>
        <w:autoSpaceDE w:val="0"/>
        <w:autoSpaceDN w:val="0"/>
        <w:adjustRightInd w:val="0"/>
        <w:spacing w:after="0"/>
        <w:rPr>
          <w:rFonts w:eastAsia="Calibri" w:cs="Tahoma"/>
          <w:lang w:eastAsia="en-AU"/>
        </w:rPr>
      </w:pPr>
    </w:p>
    <w:p w:rsidR="00EA0D04" w:rsidRDefault="00EA0D04" w:rsidP="00EA0D04">
      <w:pPr>
        <w:autoSpaceDE w:val="0"/>
        <w:autoSpaceDN w:val="0"/>
        <w:adjustRightInd w:val="0"/>
        <w:spacing w:after="0"/>
        <w:rPr>
          <w:rFonts w:eastAsia="Calibri" w:cs="Tahoma"/>
          <w:lang w:eastAsia="en-AU"/>
        </w:rPr>
      </w:pPr>
    </w:p>
    <w:p w:rsidR="00EA0D04" w:rsidRDefault="00EA0D04" w:rsidP="00EA0D04">
      <w:pPr>
        <w:autoSpaceDE w:val="0"/>
        <w:autoSpaceDN w:val="0"/>
        <w:adjustRightInd w:val="0"/>
        <w:spacing w:after="0"/>
        <w:rPr>
          <w:rFonts w:eastAsia="Calibri" w:cs="Tahoma"/>
          <w:lang w:eastAsia="en-AU"/>
        </w:rPr>
      </w:pPr>
    </w:p>
    <w:p w:rsidR="00EA0D04" w:rsidRDefault="00EA0D04" w:rsidP="00EA0D04">
      <w:pPr>
        <w:autoSpaceDE w:val="0"/>
        <w:autoSpaceDN w:val="0"/>
        <w:adjustRightInd w:val="0"/>
        <w:spacing w:after="0"/>
        <w:rPr>
          <w:rFonts w:eastAsia="Calibri" w:cs="Tahoma"/>
          <w:lang w:eastAsia="en-AU"/>
        </w:rPr>
      </w:pPr>
    </w:p>
    <w:p w:rsidR="00EA0D04" w:rsidRDefault="00EA0D04" w:rsidP="00EA0D04">
      <w:pPr>
        <w:autoSpaceDE w:val="0"/>
        <w:autoSpaceDN w:val="0"/>
        <w:adjustRightInd w:val="0"/>
        <w:spacing w:after="0"/>
        <w:rPr>
          <w:rFonts w:eastAsia="Calibri" w:cs="Tahoma"/>
          <w:lang w:eastAsia="en-AU"/>
        </w:rPr>
      </w:pPr>
    </w:p>
    <w:p w:rsidR="00EA0D04" w:rsidRDefault="00EA0D04" w:rsidP="00EA0D04">
      <w:pPr>
        <w:autoSpaceDE w:val="0"/>
        <w:autoSpaceDN w:val="0"/>
        <w:adjustRightInd w:val="0"/>
        <w:spacing w:after="0"/>
        <w:rPr>
          <w:rFonts w:eastAsia="Calibri" w:cs="Tahoma"/>
          <w:lang w:eastAsia="en-AU"/>
        </w:rPr>
      </w:pPr>
    </w:p>
    <w:p w:rsidR="00EA0D04" w:rsidRDefault="00EA0D04" w:rsidP="00EA0D04">
      <w:pPr>
        <w:autoSpaceDE w:val="0"/>
        <w:autoSpaceDN w:val="0"/>
        <w:adjustRightInd w:val="0"/>
        <w:spacing w:after="0"/>
        <w:rPr>
          <w:rFonts w:eastAsia="Calibri" w:cs="Tahoma"/>
          <w:lang w:eastAsia="en-AU"/>
        </w:rPr>
      </w:pPr>
    </w:p>
    <w:p w:rsidR="00EA0D04" w:rsidRDefault="00EA0D04" w:rsidP="00EA0D04">
      <w:pPr>
        <w:autoSpaceDE w:val="0"/>
        <w:autoSpaceDN w:val="0"/>
        <w:adjustRightInd w:val="0"/>
        <w:spacing w:after="0"/>
        <w:rPr>
          <w:rFonts w:eastAsia="Calibri" w:cs="Tahoma"/>
          <w:lang w:eastAsia="en-AU"/>
        </w:rPr>
      </w:pPr>
    </w:p>
    <w:p w:rsidR="00EA0D04" w:rsidRDefault="00EA0D04" w:rsidP="00EA0D04">
      <w:pPr>
        <w:autoSpaceDE w:val="0"/>
        <w:autoSpaceDN w:val="0"/>
        <w:adjustRightInd w:val="0"/>
        <w:spacing w:after="0"/>
        <w:rPr>
          <w:rFonts w:eastAsia="Calibri" w:cs="Tahoma"/>
          <w:lang w:eastAsia="en-AU"/>
        </w:rPr>
      </w:pPr>
    </w:p>
    <w:p w:rsidR="00EA0D04" w:rsidRDefault="00EA0D04" w:rsidP="00EA0D04">
      <w:pPr>
        <w:autoSpaceDE w:val="0"/>
        <w:autoSpaceDN w:val="0"/>
        <w:adjustRightInd w:val="0"/>
        <w:spacing w:after="0"/>
        <w:rPr>
          <w:rFonts w:eastAsia="Calibri" w:cs="Tahoma"/>
          <w:lang w:eastAsia="en-AU"/>
        </w:rPr>
      </w:pPr>
    </w:p>
    <w:p w:rsidR="00EA0D04" w:rsidRDefault="00EA0D04" w:rsidP="00EA0D04">
      <w:pPr>
        <w:autoSpaceDE w:val="0"/>
        <w:autoSpaceDN w:val="0"/>
        <w:adjustRightInd w:val="0"/>
        <w:spacing w:after="0"/>
        <w:rPr>
          <w:rFonts w:eastAsia="Calibri" w:cs="Tahoma"/>
          <w:lang w:eastAsia="en-AU"/>
        </w:rPr>
      </w:pPr>
    </w:p>
    <w:p w:rsidR="00EA0D04" w:rsidRDefault="00EA0D04" w:rsidP="00EA0D04">
      <w:pPr>
        <w:autoSpaceDE w:val="0"/>
        <w:autoSpaceDN w:val="0"/>
        <w:adjustRightInd w:val="0"/>
        <w:spacing w:after="0"/>
        <w:rPr>
          <w:rFonts w:eastAsia="Calibri" w:cs="Tahoma"/>
          <w:lang w:eastAsia="en-AU"/>
        </w:rPr>
      </w:pPr>
    </w:p>
    <w:p w:rsidR="00EA0D04" w:rsidRDefault="00EA0D04" w:rsidP="00EA0D04">
      <w:pPr>
        <w:autoSpaceDE w:val="0"/>
        <w:autoSpaceDN w:val="0"/>
        <w:adjustRightInd w:val="0"/>
        <w:spacing w:after="0"/>
        <w:rPr>
          <w:rFonts w:eastAsia="Calibri" w:cs="Tahoma"/>
          <w:lang w:eastAsia="en-AU"/>
        </w:rPr>
      </w:pPr>
    </w:p>
    <w:p w:rsidR="00EA0D04" w:rsidRDefault="00EA0D04" w:rsidP="00EA0D04">
      <w:pPr>
        <w:autoSpaceDE w:val="0"/>
        <w:autoSpaceDN w:val="0"/>
        <w:adjustRightInd w:val="0"/>
        <w:spacing w:after="0"/>
        <w:rPr>
          <w:rFonts w:eastAsia="Calibri" w:cs="Tahoma"/>
          <w:lang w:eastAsia="en-AU"/>
        </w:rPr>
      </w:pPr>
    </w:p>
    <w:p w:rsidR="00EA0D04" w:rsidRDefault="00EA0D04" w:rsidP="00EA0D04">
      <w:pPr>
        <w:autoSpaceDE w:val="0"/>
        <w:autoSpaceDN w:val="0"/>
        <w:adjustRightInd w:val="0"/>
        <w:spacing w:after="0"/>
        <w:rPr>
          <w:rFonts w:eastAsia="Calibri" w:cs="Tahoma"/>
          <w:lang w:eastAsia="en-AU"/>
        </w:rPr>
      </w:pPr>
    </w:p>
    <w:p w:rsidR="00EA0D04" w:rsidRDefault="00EA0D04" w:rsidP="00EA0D04">
      <w:pPr>
        <w:autoSpaceDE w:val="0"/>
        <w:autoSpaceDN w:val="0"/>
        <w:adjustRightInd w:val="0"/>
        <w:spacing w:after="0"/>
        <w:rPr>
          <w:rFonts w:eastAsia="Calibri" w:cs="Tahoma"/>
          <w:lang w:eastAsia="en-AU"/>
        </w:rPr>
      </w:pPr>
    </w:p>
    <w:p w:rsidR="00EA0D04" w:rsidRDefault="00EA0D04" w:rsidP="00EA0D04">
      <w:pPr>
        <w:autoSpaceDE w:val="0"/>
        <w:autoSpaceDN w:val="0"/>
        <w:adjustRightInd w:val="0"/>
        <w:spacing w:after="0"/>
        <w:rPr>
          <w:rFonts w:eastAsia="Calibri" w:cs="Tahoma"/>
          <w:lang w:eastAsia="en-AU"/>
        </w:rPr>
      </w:pPr>
    </w:p>
    <w:p w:rsidR="00EA0D04" w:rsidRDefault="00EA0D04" w:rsidP="00EA0D04">
      <w:pPr>
        <w:autoSpaceDE w:val="0"/>
        <w:autoSpaceDN w:val="0"/>
        <w:adjustRightInd w:val="0"/>
        <w:spacing w:after="0"/>
        <w:rPr>
          <w:rFonts w:eastAsia="Calibri" w:cs="Tahoma"/>
          <w:lang w:eastAsia="en-AU"/>
        </w:rPr>
      </w:pPr>
    </w:p>
    <w:p w:rsidR="00EA0D04" w:rsidRDefault="00EA0D04" w:rsidP="00EA0D04">
      <w:pPr>
        <w:autoSpaceDE w:val="0"/>
        <w:autoSpaceDN w:val="0"/>
        <w:adjustRightInd w:val="0"/>
        <w:spacing w:after="0"/>
        <w:rPr>
          <w:rFonts w:eastAsia="Calibri" w:cs="Tahoma"/>
          <w:lang w:eastAsia="en-AU"/>
        </w:rPr>
      </w:pPr>
    </w:p>
    <w:p w:rsidR="00EA0D04" w:rsidRDefault="00EA0D04" w:rsidP="00EA0D04">
      <w:pPr>
        <w:autoSpaceDE w:val="0"/>
        <w:autoSpaceDN w:val="0"/>
        <w:adjustRightInd w:val="0"/>
        <w:spacing w:after="0"/>
        <w:rPr>
          <w:rFonts w:eastAsia="Calibri" w:cs="Tahoma"/>
          <w:lang w:eastAsia="en-AU"/>
        </w:rPr>
      </w:pPr>
      <w:r>
        <w:rPr>
          <w:rFonts w:eastAsia="Calibri" w:cs="Tahoma"/>
          <w:lang w:eastAsia="en-AU"/>
        </w:rPr>
        <w:t>May 2014</w:t>
      </w:r>
    </w:p>
    <w:p w:rsidR="00EA0D04" w:rsidRDefault="00EA0D04" w:rsidP="00EA0D04">
      <w:pPr>
        <w:autoSpaceDE w:val="0"/>
        <w:autoSpaceDN w:val="0"/>
        <w:adjustRightInd w:val="0"/>
        <w:spacing w:after="0"/>
        <w:rPr>
          <w:rFonts w:eastAsia="Calibri" w:cs="Tahoma"/>
          <w:lang w:eastAsia="en-AU"/>
        </w:rPr>
      </w:pPr>
    </w:p>
    <w:p w:rsidR="00EA0D04" w:rsidRDefault="00EA0D04" w:rsidP="00EA0D04">
      <w:pPr>
        <w:autoSpaceDE w:val="0"/>
        <w:autoSpaceDN w:val="0"/>
        <w:adjustRightInd w:val="0"/>
        <w:spacing w:after="0"/>
        <w:rPr>
          <w:rFonts w:eastAsia="Calibri" w:cs="Tahoma"/>
          <w:lang w:eastAsia="en-AU"/>
        </w:rPr>
      </w:pPr>
      <w:r>
        <w:rPr>
          <w:rFonts w:eastAsia="Calibri" w:cs="Tahoma"/>
          <w:lang w:eastAsia="en-AU"/>
        </w:rPr>
        <w:t>Authorised by Registrar of Titles, Land Victoria</w:t>
      </w:r>
    </w:p>
    <w:p w:rsidR="00EA0D04" w:rsidRDefault="00EA0D04" w:rsidP="00EA0D04">
      <w:pPr>
        <w:autoSpaceDE w:val="0"/>
        <w:autoSpaceDN w:val="0"/>
        <w:adjustRightInd w:val="0"/>
        <w:spacing w:after="0"/>
        <w:rPr>
          <w:rFonts w:eastAsia="Calibri" w:cs="Tahoma"/>
          <w:lang w:eastAsia="en-AU"/>
        </w:rPr>
      </w:pPr>
    </w:p>
    <w:p w:rsidR="00EA0D04" w:rsidRDefault="00EA0D04" w:rsidP="00EA0D04">
      <w:pPr>
        <w:autoSpaceDE w:val="0"/>
        <w:autoSpaceDN w:val="0"/>
        <w:adjustRightInd w:val="0"/>
        <w:spacing w:after="0"/>
        <w:rPr>
          <w:rFonts w:eastAsia="Calibri" w:cs="Tahoma"/>
          <w:lang w:eastAsia="en-AU"/>
        </w:rPr>
      </w:pPr>
      <w:r>
        <w:rPr>
          <w:rFonts w:eastAsia="Calibri" w:cs="Tahoma"/>
          <w:lang w:eastAsia="en-AU"/>
        </w:rPr>
        <w:t>Department of Transport, Planning and Local Infrastructure</w:t>
      </w:r>
    </w:p>
    <w:p w:rsidR="00EA0D04" w:rsidRDefault="00EA0D04" w:rsidP="00EA0D04">
      <w:pPr>
        <w:autoSpaceDE w:val="0"/>
        <w:autoSpaceDN w:val="0"/>
        <w:adjustRightInd w:val="0"/>
        <w:spacing w:after="0"/>
        <w:rPr>
          <w:rFonts w:eastAsia="Calibri" w:cs="Tahoma"/>
          <w:lang w:eastAsia="en-AU"/>
        </w:rPr>
      </w:pPr>
      <w:r>
        <w:rPr>
          <w:rFonts w:eastAsia="Calibri" w:cs="Tahoma"/>
          <w:lang w:eastAsia="en-AU"/>
        </w:rPr>
        <w:t>570 Bourke Street Melbourne Victoria 3000</w:t>
      </w:r>
    </w:p>
    <w:p w:rsidR="00EA0D04" w:rsidRDefault="00EA0D04" w:rsidP="00EA0D04">
      <w:pPr>
        <w:autoSpaceDE w:val="0"/>
        <w:autoSpaceDN w:val="0"/>
        <w:adjustRightInd w:val="0"/>
        <w:spacing w:after="0"/>
        <w:rPr>
          <w:rFonts w:eastAsia="Calibri" w:cs="Tahoma"/>
          <w:lang w:eastAsia="en-AU"/>
        </w:rPr>
      </w:pPr>
      <w:r>
        <w:rPr>
          <w:rFonts w:eastAsia="Calibri" w:cs="Tahoma"/>
          <w:lang w:eastAsia="en-AU"/>
        </w:rPr>
        <w:t>Telephone (03) 8636 2010</w:t>
      </w:r>
    </w:p>
    <w:p w:rsidR="00EA0D04" w:rsidRDefault="00EA0D04" w:rsidP="00EA0D04">
      <w:pPr>
        <w:autoSpaceDE w:val="0"/>
        <w:autoSpaceDN w:val="0"/>
        <w:adjustRightInd w:val="0"/>
        <w:spacing w:after="0"/>
        <w:rPr>
          <w:rFonts w:eastAsia="Calibri" w:cs="Tahoma"/>
          <w:lang w:eastAsia="en-AU"/>
        </w:rPr>
      </w:pPr>
    </w:p>
    <w:p w:rsidR="00EA0D04" w:rsidRDefault="00EA0D04" w:rsidP="00EA0D04">
      <w:pPr>
        <w:autoSpaceDE w:val="0"/>
        <w:autoSpaceDN w:val="0"/>
        <w:adjustRightInd w:val="0"/>
        <w:spacing w:after="0"/>
        <w:rPr>
          <w:rFonts w:eastAsia="Calibri" w:cs="Tahoma"/>
          <w:lang w:eastAsia="en-AU"/>
        </w:rPr>
      </w:pPr>
      <w:r>
        <w:rPr>
          <w:rFonts w:eastAsia="Calibri" w:cs="Tahoma"/>
          <w:lang w:eastAsia="en-AU"/>
        </w:rPr>
        <w:t>© Copyright State of Victoria, Department of Transport, Planning and Local Infrastructure 2014</w:t>
      </w:r>
    </w:p>
    <w:p w:rsidR="00EA0D04" w:rsidRDefault="00EA0D04" w:rsidP="00EA0D04">
      <w:pPr>
        <w:autoSpaceDE w:val="0"/>
        <w:autoSpaceDN w:val="0"/>
        <w:adjustRightInd w:val="0"/>
        <w:spacing w:after="0"/>
        <w:rPr>
          <w:rFonts w:eastAsia="Calibri" w:cs="Tahoma"/>
          <w:lang w:eastAsia="en-AU"/>
        </w:rPr>
      </w:pPr>
      <w:r>
        <w:rPr>
          <w:rFonts w:eastAsia="Calibri" w:cs="Tahoma"/>
          <w:lang w:eastAsia="en-AU"/>
        </w:rPr>
        <w:t>Except for any logos, emblems, trademarks, artwork and photography this document is made available under the terms of the Creative Commons Attribution 3.0 Australia license.</w:t>
      </w:r>
    </w:p>
    <w:p w:rsidR="00EA0D04" w:rsidRDefault="00EA0D04" w:rsidP="00EA0D04">
      <w:pPr>
        <w:pStyle w:val="BasicParagraph"/>
        <w:suppressAutoHyphens/>
        <w:rPr>
          <w:rFonts w:ascii="Tahoma" w:eastAsia="Calibri" w:hAnsi="Tahoma" w:cs="Tahoma"/>
          <w:sz w:val="20"/>
          <w:szCs w:val="20"/>
        </w:rPr>
      </w:pPr>
    </w:p>
    <w:p w:rsidR="00EA0D04" w:rsidRPr="00DD2E1E" w:rsidRDefault="00EA0D04" w:rsidP="00EA0D04">
      <w:pPr>
        <w:pStyle w:val="BasicParagraph"/>
        <w:suppressAutoHyphens/>
        <w:ind w:right="-330"/>
        <w:rPr>
          <w:rFonts w:ascii="Tahoma" w:hAnsi="Tahoma" w:cs="Tahoma"/>
          <w:b/>
          <w:bCs/>
          <w:sz w:val="20"/>
          <w:szCs w:val="20"/>
        </w:rPr>
      </w:pPr>
      <w:r w:rsidRPr="00DD2E1E">
        <w:rPr>
          <w:rFonts w:ascii="Tahoma" w:eastAsia="Calibri" w:hAnsi="Tahoma" w:cs="Tahoma"/>
          <w:sz w:val="20"/>
          <w:szCs w:val="20"/>
        </w:rPr>
        <w:t>This document is also available in an accessible format at www.dtpli.vic.gov.au &gt;</w:t>
      </w:r>
      <w:r>
        <w:rPr>
          <w:rFonts w:ascii="Tahoma" w:eastAsia="Calibri" w:hAnsi="Tahoma" w:cs="Tahoma"/>
          <w:sz w:val="20"/>
          <w:szCs w:val="20"/>
        </w:rPr>
        <w:t>L</w:t>
      </w:r>
      <w:r w:rsidRPr="00DD2E1E">
        <w:rPr>
          <w:rFonts w:ascii="Tahoma" w:eastAsia="Calibri" w:hAnsi="Tahoma" w:cs="Tahoma"/>
          <w:sz w:val="20"/>
          <w:szCs w:val="20"/>
        </w:rPr>
        <w:t>and titles&gt;</w:t>
      </w:r>
      <w:r>
        <w:rPr>
          <w:rFonts w:ascii="Tahoma" w:eastAsia="Calibri" w:hAnsi="Tahoma" w:cs="Tahoma"/>
          <w:sz w:val="20"/>
          <w:szCs w:val="20"/>
        </w:rPr>
        <w:t>P</w:t>
      </w:r>
      <w:r w:rsidRPr="00DD2E1E">
        <w:rPr>
          <w:rFonts w:ascii="Tahoma" w:eastAsia="Calibri" w:hAnsi="Tahoma" w:cs="Tahoma"/>
          <w:sz w:val="20"/>
          <w:szCs w:val="20"/>
        </w:rPr>
        <w:t>ublications</w:t>
      </w:r>
    </w:p>
    <w:p w:rsidR="00EA0D04" w:rsidRDefault="00EA0D04" w:rsidP="00EA0D04">
      <w:pPr>
        <w:pStyle w:val="BasicParagraph"/>
        <w:suppressAutoHyphens/>
        <w:rPr>
          <w:rFonts w:ascii="Times New Roman" w:hAnsi="Times New Roman" w:cs="Times New Roman"/>
          <w:b/>
          <w:bCs/>
          <w:sz w:val="16"/>
          <w:szCs w:val="16"/>
        </w:rPr>
      </w:pPr>
    </w:p>
    <w:p w:rsidR="00EA0D04" w:rsidRDefault="00EA0D04" w:rsidP="00EA0D04">
      <w:pPr>
        <w:pStyle w:val="BasicParagraph"/>
        <w:suppressAutoHyphens/>
        <w:rPr>
          <w:rFonts w:ascii="Times New Roman" w:hAnsi="Times New Roman" w:cs="Times New Roman"/>
          <w:b/>
          <w:bCs/>
          <w:sz w:val="16"/>
          <w:szCs w:val="16"/>
        </w:rPr>
      </w:pPr>
    </w:p>
    <w:p w:rsidR="00EA0D04" w:rsidRDefault="00EA0D04">
      <w:pPr>
        <w:rPr>
          <w:rFonts w:ascii="Tahoma" w:hAnsi="Tahoma" w:cs="Tahoma"/>
          <w:b/>
          <w:sz w:val="24"/>
          <w:szCs w:val="24"/>
        </w:rPr>
        <w:sectPr w:rsidR="00EA0D04" w:rsidSect="00FE0BF0">
          <w:footerReference w:type="default" r:id="rId12"/>
          <w:pgSz w:w="11906" w:h="16838"/>
          <w:pgMar w:top="1440" w:right="1440" w:bottom="1440" w:left="1440" w:header="708" w:footer="567" w:gutter="0"/>
          <w:cols w:space="708"/>
          <w:docGrid w:linePitch="360"/>
        </w:sectPr>
      </w:pPr>
    </w:p>
    <w:p w:rsidR="00EA0D04" w:rsidRDefault="00EA0D04">
      <w:pPr>
        <w:rPr>
          <w:rFonts w:ascii="Tahoma" w:hAnsi="Tahoma" w:cs="Tahoma"/>
          <w:b/>
          <w:sz w:val="24"/>
          <w:szCs w:val="24"/>
        </w:rPr>
      </w:pPr>
    </w:p>
    <w:p w:rsidR="00CB682D" w:rsidRPr="00A40C4B" w:rsidRDefault="007209C1" w:rsidP="007209C1">
      <w:pPr>
        <w:spacing w:after="120" w:line="240" w:lineRule="auto"/>
        <w:rPr>
          <w:rFonts w:ascii="Tahoma" w:hAnsi="Tahoma" w:cs="Tahoma"/>
          <w:b/>
          <w:sz w:val="24"/>
          <w:szCs w:val="24"/>
        </w:rPr>
      </w:pPr>
      <w:r w:rsidRPr="00A40C4B">
        <w:rPr>
          <w:rFonts w:ascii="Tahoma" w:hAnsi="Tahoma" w:cs="Tahoma"/>
          <w:b/>
          <w:sz w:val="24"/>
          <w:szCs w:val="24"/>
        </w:rPr>
        <w:t xml:space="preserve">Analysis of responses to the Consultation </w:t>
      </w:r>
      <w:r w:rsidR="00B70976" w:rsidRPr="00A40C4B">
        <w:rPr>
          <w:rFonts w:ascii="Tahoma" w:hAnsi="Tahoma" w:cs="Tahoma"/>
          <w:b/>
          <w:sz w:val="24"/>
          <w:szCs w:val="24"/>
        </w:rPr>
        <w:t xml:space="preserve">Paper </w:t>
      </w:r>
      <w:r w:rsidRPr="00A40C4B">
        <w:rPr>
          <w:rFonts w:ascii="Tahoma" w:hAnsi="Tahoma" w:cs="Tahoma"/>
          <w:b/>
          <w:sz w:val="24"/>
          <w:szCs w:val="24"/>
        </w:rPr>
        <w:t xml:space="preserve">- </w:t>
      </w:r>
      <w:r w:rsidRPr="00A40C4B">
        <w:rPr>
          <w:rFonts w:ascii="Tahoma" w:hAnsi="Tahoma" w:cs="Tahoma"/>
          <w:b/>
          <w:bCs/>
          <w:color w:val="000000"/>
          <w:sz w:val="24"/>
          <w:szCs w:val="24"/>
        </w:rPr>
        <w:t>Aligning paper and electronic conveyancing requirements</w:t>
      </w:r>
    </w:p>
    <w:p w:rsidR="007209C1" w:rsidRPr="00A40C4B" w:rsidRDefault="007209C1" w:rsidP="007209C1">
      <w:pPr>
        <w:spacing w:after="120" w:line="240" w:lineRule="auto"/>
        <w:rPr>
          <w:rFonts w:ascii="Tahoma" w:hAnsi="Tahoma" w:cs="Tahoma"/>
          <w:sz w:val="24"/>
          <w:szCs w:val="24"/>
        </w:rPr>
      </w:pPr>
    </w:p>
    <w:p w:rsidR="00230F7F" w:rsidRPr="00A40C4B" w:rsidRDefault="00230F7F" w:rsidP="00230F7F">
      <w:pPr>
        <w:spacing w:after="240" w:line="240" w:lineRule="auto"/>
        <w:rPr>
          <w:rFonts w:ascii="Tahoma" w:eastAsia="Calibri" w:hAnsi="Tahoma" w:cs="Tahoma"/>
          <w:b/>
          <w:sz w:val="24"/>
          <w:szCs w:val="24"/>
        </w:rPr>
      </w:pPr>
      <w:r w:rsidRPr="00A40C4B">
        <w:rPr>
          <w:rFonts w:ascii="Tahoma" w:eastAsia="Calibri" w:hAnsi="Tahoma" w:cs="Tahoma"/>
          <w:b/>
          <w:sz w:val="24"/>
          <w:szCs w:val="24"/>
        </w:rPr>
        <w:t xml:space="preserve">Introduction </w:t>
      </w:r>
    </w:p>
    <w:p w:rsidR="00742F84" w:rsidRPr="00A40C4B" w:rsidRDefault="00230F7F" w:rsidP="00230F7F">
      <w:pPr>
        <w:numPr>
          <w:ilvl w:val="0"/>
          <w:numId w:val="3"/>
        </w:numPr>
        <w:tabs>
          <w:tab w:val="clear" w:pos="360"/>
        </w:tabs>
        <w:spacing w:after="240" w:line="240" w:lineRule="auto"/>
        <w:ind w:left="567" w:hanging="567"/>
        <w:rPr>
          <w:rFonts w:ascii="Tahoma" w:eastAsia="Calibri" w:hAnsi="Tahoma" w:cs="Tahoma"/>
        </w:rPr>
      </w:pPr>
      <w:r w:rsidRPr="00A40C4B">
        <w:rPr>
          <w:rFonts w:ascii="Tahoma" w:eastAsia="Calibri" w:hAnsi="Tahoma" w:cs="Tahoma"/>
        </w:rPr>
        <w:t>An Introduction Paper - Aligning paper and electronic conveyancing</w:t>
      </w:r>
      <w:r w:rsidR="00C14567">
        <w:rPr>
          <w:rFonts w:ascii="Tahoma" w:eastAsia="Calibri" w:hAnsi="Tahoma" w:cs="Tahoma"/>
        </w:rPr>
        <w:t>-</w:t>
      </w:r>
      <w:r w:rsidR="00586868" w:rsidRPr="00A40C4B">
        <w:rPr>
          <w:rFonts w:ascii="Tahoma" w:eastAsia="Calibri" w:hAnsi="Tahoma" w:cs="Tahoma"/>
        </w:rPr>
        <w:t>requirements was</w:t>
      </w:r>
      <w:r w:rsidRPr="00A40C4B">
        <w:rPr>
          <w:rFonts w:ascii="Tahoma" w:eastAsia="Calibri" w:hAnsi="Tahoma" w:cs="Tahoma"/>
        </w:rPr>
        <w:t xml:space="preserve"> released to stakeholders on 22</w:t>
      </w:r>
      <w:r w:rsidR="0096516B">
        <w:rPr>
          <w:rFonts w:ascii="Tahoma" w:eastAsia="Calibri" w:hAnsi="Tahoma" w:cs="Tahoma"/>
        </w:rPr>
        <w:t> </w:t>
      </w:r>
      <w:r w:rsidR="00742F84" w:rsidRPr="00A40C4B">
        <w:rPr>
          <w:rFonts w:ascii="Tahoma" w:eastAsia="Calibri" w:hAnsi="Tahoma" w:cs="Tahoma"/>
        </w:rPr>
        <w:t>October</w:t>
      </w:r>
      <w:r w:rsidR="0096516B">
        <w:rPr>
          <w:rFonts w:ascii="Tahoma" w:eastAsia="Calibri" w:hAnsi="Tahoma" w:cs="Tahoma"/>
        </w:rPr>
        <w:t> </w:t>
      </w:r>
      <w:r w:rsidRPr="00A40C4B">
        <w:rPr>
          <w:rFonts w:ascii="Tahoma" w:eastAsia="Calibri" w:hAnsi="Tahoma" w:cs="Tahoma"/>
        </w:rPr>
        <w:t>2013</w:t>
      </w:r>
      <w:r w:rsidR="00742F84" w:rsidRPr="00A40C4B">
        <w:rPr>
          <w:rFonts w:ascii="Tahoma" w:eastAsia="Calibri" w:hAnsi="Tahoma" w:cs="Tahoma"/>
        </w:rPr>
        <w:t xml:space="preserve">.  This paper outlined at a high level the proposals that Land Victoria was considering.  A detailed </w:t>
      </w:r>
      <w:r w:rsidRPr="00A40C4B">
        <w:rPr>
          <w:rFonts w:ascii="Tahoma" w:eastAsia="Calibri" w:hAnsi="Tahoma" w:cs="Tahoma"/>
        </w:rPr>
        <w:t xml:space="preserve">Consultation </w:t>
      </w:r>
      <w:r w:rsidR="006A4D93">
        <w:rPr>
          <w:rFonts w:ascii="Tahoma" w:eastAsia="Calibri" w:hAnsi="Tahoma" w:cs="Tahoma"/>
        </w:rPr>
        <w:t>P</w:t>
      </w:r>
      <w:r w:rsidRPr="00A40C4B">
        <w:rPr>
          <w:rFonts w:ascii="Tahoma" w:eastAsia="Calibri" w:hAnsi="Tahoma" w:cs="Tahoma"/>
        </w:rPr>
        <w:t>aper</w:t>
      </w:r>
      <w:r w:rsidR="00742F84" w:rsidRPr="00A40C4B">
        <w:rPr>
          <w:rFonts w:ascii="Tahoma" w:eastAsia="Calibri" w:hAnsi="Tahoma" w:cs="Tahoma"/>
        </w:rPr>
        <w:t xml:space="preserve"> </w:t>
      </w:r>
      <w:r w:rsidRPr="00A40C4B">
        <w:rPr>
          <w:rFonts w:ascii="Tahoma" w:eastAsia="Calibri" w:hAnsi="Tahoma" w:cs="Tahoma"/>
        </w:rPr>
        <w:t>was released on 22</w:t>
      </w:r>
      <w:r w:rsidR="0096516B">
        <w:rPr>
          <w:rFonts w:ascii="Tahoma" w:eastAsia="Calibri" w:hAnsi="Tahoma" w:cs="Tahoma"/>
        </w:rPr>
        <w:t> </w:t>
      </w:r>
      <w:r w:rsidRPr="00A40C4B">
        <w:rPr>
          <w:rFonts w:ascii="Tahoma" w:eastAsia="Calibri" w:hAnsi="Tahoma" w:cs="Tahoma"/>
        </w:rPr>
        <w:t>November</w:t>
      </w:r>
      <w:r w:rsidR="0096516B">
        <w:rPr>
          <w:rFonts w:ascii="Tahoma" w:eastAsia="Calibri" w:hAnsi="Tahoma" w:cs="Tahoma"/>
        </w:rPr>
        <w:t> </w:t>
      </w:r>
      <w:r w:rsidRPr="00A40C4B">
        <w:rPr>
          <w:rFonts w:ascii="Tahoma" w:eastAsia="Calibri" w:hAnsi="Tahoma" w:cs="Tahoma"/>
        </w:rPr>
        <w:t xml:space="preserve">2013.  </w:t>
      </w:r>
    </w:p>
    <w:p w:rsidR="00230F7F" w:rsidRPr="00A40C4B" w:rsidRDefault="00742F84" w:rsidP="00230F7F">
      <w:pPr>
        <w:numPr>
          <w:ilvl w:val="0"/>
          <w:numId w:val="3"/>
        </w:numPr>
        <w:tabs>
          <w:tab w:val="clear" w:pos="360"/>
        </w:tabs>
        <w:spacing w:after="240" w:line="240" w:lineRule="auto"/>
        <w:ind w:left="567" w:hanging="567"/>
        <w:rPr>
          <w:rFonts w:ascii="Tahoma" w:eastAsia="Calibri" w:hAnsi="Tahoma" w:cs="Tahoma"/>
        </w:rPr>
      </w:pPr>
      <w:r w:rsidRPr="00A40C4B">
        <w:rPr>
          <w:rFonts w:ascii="Tahoma" w:eastAsia="Calibri" w:hAnsi="Tahoma" w:cs="Tahoma"/>
        </w:rPr>
        <w:t>An information session was held on 26</w:t>
      </w:r>
      <w:r w:rsidR="0096516B">
        <w:rPr>
          <w:rFonts w:ascii="Tahoma" w:eastAsia="Calibri" w:hAnsi="Tahoma" w:cs="Tahoma"/>
        </w:rPr>
        <w:t> </w:t>
      </w:r>
      <w:r w:rsidRPr="00A40C4B">
        <w:rPr>
          <w:rFonts w:ascii="Tahoma" w:eastAsia="Calibri" w:hAnsi="Tahoma" w:cs="Tahoma"/>
        </w:rPr>
        <w:t>November</w:t>
      </w:r>
      <w:r w:rsidR="0096516B">
        <w:rPr>
          <w:rFonts w:ascii="Tahoma" w:eastAsia="Calibri" w:hAnsi="Tahoma" w:cs="Tahoma"/>
        </w:rPr>
        <w:t> </w:t>
      </w:r>
      <w:r w:rsidRPr="00A40C4B">
        <w:rPr>
          <w:rFonts w:ascii="Tahoma" w:eastAsia="Calibri" w:hAnsi="Tahoma" w:cs="Tahoma"/>
        </w:rPr>
        <w:t xml:space="preserve">2013.  More than </w:t>
      </w:r>
      <w:r w:rsidRPr="00D254F9">
        <w:rPr>
          <w:rFonts w:ascii="Tahoma" w:eastAsia="Calibri" w:hAnsi="Tahoma" w:cs="Tahoma"/>
        </w:rPr>
        <w:t>60</w:t>
      </w:r>
      <w:r w:rsidR="0096516B">
        <w:rPr>
          <w:rFonts w:ascii="Tahoma" w:eastAsia="Calibri" w:hAnsi="Tahoma" w:cs="Tahoma"/>
        </w:rPr>
        <w:t> </w:t>
      </w:r>
      <w:r w:rsidRPr="00A40C4B">
        <w:rPr>
          <w:rFonts w:ascii="Tahoma" w:eastAsia="Calibri" w:hAnsi="Tahoma" w:cs="Tahoma"/>
        </w:rPr>
        <w:t>people attended this session.</w:t>
      </w:r>
    </w:p>
    <w:p w:rsidR="00230F7F" w:rsidRPr="00A40C4B" w:rsidRDefault="00742F84" w:rsidP="00230F7F">
      <w:pPr>
        <w:numPr>
          <w:ilvl w:val="0"/>
          <w:numId w:val="3"/>
        </w:numPr>
        <w:tabs>
          <w:tab w:val="clear" w:pos="360"/>
        </w:tabs>
        <w:spacing w:after="240" w:line="240" w:lineRule="auto"/>
        <w:ind w:left="567" w:hanging="567"/>
        <w:rPr>
          <w:rFonts w:ascii="Tahoma" w:eastAsia="Calibri" w:hAnsi="Tahoma" w:cs="Tahoma"/>
        </w:rPr>
      </w:pPr>
      <w:r w:rsidRPr="00A40C4B">
        <w:rPr>
          <w:rFonts w:ascii="Tahoma" w:eastAsia="Calibri" w:hAnsi="Tahoma" w:cs="Tahoma"/>
        </w:rPr>
        <w:t xml:space="preserve">Stakeholders were able to provide a submission </w:t>
      </w:r>
      <w:r w:rsidR="003F697B">
        <w:rPr>
          <w:rFonts w:ascii="Tahoma" w:eastAsia="Calibri" w:hAnsi="Tahoma" w:cs="Tahoma"/>
        </w:rPr>
        <w:t>about</w:t>
      </w:r>
      <w:r w:rsidR="003F697B" w:rsidRPr="00A40C4B">
        <w:rPr>
          <w:rFonts w:ascii="Tahoma" w:eastAsia="Calibri" w:hAnsi="Tahoma" w:cs="Tahoma"/>
        </w:rPr>
        <w:t xml:space="preserve"> </w:t>
      </w:r>
      <w:r w:rsidRPr="00A40C4B">
        <w:rPr>
          <w:rFonts w:ascii="Tahoma" w:eastAsia="Calibri" w:hAnsi="Tahoma" w:cs="Tahoma"/>
        </w:rPr>
        <w:t xml:space="preserve">the Consultation Paper until 1 February 2014.  Ten submissions were received by the due date.  A further </w:t>
      </w:r>
      <w:r w:rsidR="00D22187" w:rsidRPr="00D254F9">
        <w:rPr>
          <w:rFonts w:ascii="Tahoma" w:eastAsia="Calibri" w:hAnsi="Tahoma" w:cs="Tahoma"/>
        </w:rPr>
        <w:t>two</w:t>
      </w:r>
      <w:r w:rsidRPr="00A40C4B">
        <w:rPr>
          <w:rFonts w:ascii="Tahoma" w:eastAsia="Calibri" w:hAnsi="Tahoma" w:cs="Tahoma"/>
        </w:rPr>
        <w:t xml:space="preserve"> </w:t>
      </w:r>
      <w:r w:rsidR="00586868" w:rsidRPr="00A40C4B">
        <w:rPr>
          <w:rFonts w:ascii="Tahoma" w:eastAsia="Calibri" w:hAnsi="Tahoma" w:cs="Tahoma"/>
        </w:rPr>
        <w:t>submission</w:t>
      </w:r>
      <w:r w:rsidR="00586868" w:rsidRPr="00D254F9">
        <w:rPr>
          <w:rFonts w:ascii="Tahoma" w:eastAsia="Calibri" w:hAnsi="Tahoma" w:cs="Tahoma"/>
        </w:rPr>
        <w:t>s</w:t>
      </w:r>
      <w:r w:rsidR="00586868" w:rsidRPr="00A40C4B">
        <w:rPr>
          <w:rFonts w:ascii="Tahoma" w:eastAsia="Calibri" w:hAnsi="Tahoma" w:cs="Tahoma"/>
        </w:rPr>
        <w:t xml:space="preserve"> were</w:t>
      </w:r>
      <w:r w:rsidRPr="00A40C4B">
        <w:rPr>
          <w:rFonts w:ascii="Tahoma" w:eastAsia="Calibri" w:hAnsi="Tahoma" w:cs="Tahoma"/>
        </w:rPr>
        <w:t xml:space="preserve"> received after this date.  All submission</w:t>
      </w:r>
      <w:r w:rsidR="00C14567">
        <w:rPr>
          <w:rFonts w:ascii="Tahoma" w:eastAsia="Calibri" w:hAnsi="Tahoma" w:cs="Tahoma"/>
        </w:rPr>
        <w:t>s</w:t>
      </w:r>
      <w:r w:rsidRPr="00A40C4B">
        <w:rPr>
          <w:rFonts w:ascii="Tahoma" w:eastAsia="Calibri" w:hAnsi="Tahoma" w:cs="Tahoma"/>
        </w:rPr>
        <w:t xml:space="preserve"> received were considered.</w:t>
      </w:r>
    </w:p>
    <w:p w:rsidR="00742F84" w:rsidRDefault="00742F84" w:rsidP="00A40C4B">
      <w:pPr>
        <w:numPr>
          <w:ilvl w:val="0"/>
          <w:numId w:val="3"/>
        </w:numPr>
        <w:tabs>
          <w:tab w:val="clear" w:pos="360"/>
        </w:tabs>
        <w:spacing w:after="120" w:line="240" w:lineRule="auto"/>
        <w:ind w:left="567" w:hanging="567"/>
        <w:rPr>
          <w:rFonts w:ascii="Tahoma" w:eastAsia="Calibri" w:hAnsi="Tahoma" w:cs="Tahoma"/>
        </w:rPr>
      </w:pPr>
      <w:r w:rsidRPr="00A40C4B">
        <w:rPr>
          <w:rFonts w:ascii="Tahoma" w:eastAsia="Calibri" w:hAnsi="Tahoma" w:cs="Tahoma"/>
        </w:rPr>
        <w:t>Submission</w:t>
      </w:r>
      <w:r w:rsidR="00D66DA3">
        <w:rPr>
          <w:rFonts w:ascii="Tahoma" w:eastAsia="Calibri" w:hAnsi="Tahoma" w:cs="Tahoma"/>
        </w:rPr>
        <w:t>s</w:t>
      </w:r>
      <w:r w:rsidRPr="00A40C4B">
        <w:rPr>
          <w:rFonts w:ascii="Tahoma" w:eastAsia="Calibri" w:hAnsi="Tahoma" w:cs="Tahoma"/>
        </w:rPr>
        <w:t xml:space="preserve"> were received from</w:t>
      </w:r>
      <w:r w:rsidR="007D0DA7">
        <w:rPr>
          <w:rFonts w:ascii="Tahoma" w:eastAsia="Calibri" w:hAnsi="Tahoma" w:cs="Tahoma"/>
        </w:rPr>
        <w:t xml:space="preserve"> the following:</w:t>
      </w:r>
    </w:p>
    <w:p w:rsidR="00D66DA3" w:rsidRDefault="00D66DA3" w:rsidP="00C01A9C">
      <w:pPr>
        <w:numPr>
          <w:ilvl w:val="0"/>
          <w:numId w:val="9"/>
        </w:numPr>
        <w:tabs>
          <w:tab w:val="clear" w:pos="927"/>
        </w:tabs>
        <w:spacing w:after="120" w:line="240" w:lineRule="auto"/>
        <w:ind w:left="1134" w:hanging="567"/>
        <w:rPr>
          <w:rFonts w:ascii="Tahoma" w:eastAsia="Calibri" w:hAnsi="Tahoma" w:cs="Tahoma"/>
        </w:rPr>
      </w:pPr>
      <w:r w:rsidRPr="002476AC">
        <w:rPr>
          <w:rFonts w:ascii="Tahoma" w:hAnsi="Tahoma" w:cs="Tahoma"/>
        </w:rPr>
        <w:t>Mortgage and Finance Association of Australia</w:t>
      </w:r>
    </w:p>
    <w:p w:rsidR="00D66DA3" w:rsidRPr="002476AC" w:rsidRDefault="00D66DA3" w:rsidP="00C01A9C">
      <w:pPr>
        <w:numPr>
          <w:ilvl w:val="0"/>
          <w:numId w:val="9"/>
        </w:numPr>
        <w:tabs>
          <w:tab w:val="clear" w:pos="927"/>
        </w:tabs>
        <w:spacing w:after="120" w:line="240" w:lineRule="auto"/>
        <w:ind w:left="1134" w:hanging="567"/>
        <w:rPr>
          <w:rFonts w:ascii="Tahoma" w:eastAsia="Calibri" w:hAnsi="Tahoma" w:cs="Tahoma"/>
        </w:rPr>
      </w:pPr>
      <w:r w:rsidRPr="002476AC">
        <w:rPr>
          <w:rFonts w:ascii="Tahoma" w:hAnsi="Tahoma" w:cs="Tahoma"/>
        </w:rPr>
        <w:t>Zip ID</w:t>
      </w:r>
    </w:p>
    <w:p w:rsidR="00D66DA3" w:rsidRPr="002476AC" w:rsidRDefault="00D66DA3" w:rsidP="00C01A9C">
      <w:pPr>
        <w:numPr>
          <w:ilvl w:val="0"/>
          <w:numId w:val="9"/>
        </w:numPr>
        <w:tabs>
          <w:tab w:val="clear" w:pos="927"/>
        </w:tabs>
        <w:spacing w:after="120" w:line="240" w:lineRule="auto"/>
        <w:ind w:left="1134" w:hanging="567"/>
        <w:rPr>
          <w:rFonts w:ascii="Tahoma" w:eastAsia="Calibri" w:hAnsi="Tahoma" w:cs="Tahoma"/>
        </w:rPr>
      </w:pPr>
      <w:r>
        <w:rPr>
          <w:rFonts w:ascii="Tahoma" w:hAnsi="Tahoma" w:cs="Tahoma"/>
        </w:rPr>
        <w:t>Law Institute of Victoria</w:t>
      </w:r>
    </w:p>
    <w:p w:rsidR="00D66DA3" w:rsidRPr="002476AC" w:rsidRDefault="00D66DA3" w:rsidP="00C01A9C">
      <w:pPr>
        <w:numPr>
          <w:ilvl w:val="0"/>
          <w:numId w:val="9"/>
        </w:numPr>
        <w:tabs>
          <w:tab w:val="clear" w:pos="927"/>
        </w:tabs>
        <w:spacing w:after="120" w:line="240" w:lineRule="auto"/>
        <w:ind w:left="1134" w:hanging="567"/>
        <w:rPr>
          <w:rFonts w:ascii="Tahoma" w:eastAsia="Calibri" w:hAnsi="Tahoma" w:cs="Tahoma"/>
        </w:rPr>
      </w:pPr>
      <w:r>
        <w:rPr>
          <w:rFonts w:ascii="Tahoma" w:hAnsi="Tahoma" w:cs="Tahoma"/>
        </w:rPr>
        <w:t>Victorian Privacy Commissioner</w:t>
      </w:r>
    </w:p>
    <w:p w:rsidR="00D66DA3" w:rsidRPr="002476AC" w:rsidRDefault="00D66DA3" w:rsidP="00C01A9C">
      <w:pPr>
        <w:numPr>
          <w:ilvl w:val="0"/>
          <w:numId w:val="9"/>
        </w:numPr>
        <w:tabs>
          <w:tab w:val="clear" w:pos="927"/>
        </w:tabs>
        <w:spacing w:after="120" w:line="240" w:lineRule="auto"/>
        <w:ind w:left="1134" w:hanging="567"/>
        <w:rPr>
          <w:rFonts w:ascii="Tahoma" w:eastAsia="Calibri" w:hAnsi="Tahoma" w:cs="Tahoma"/>
        </w:rPr>
      </w:pPr>
      <w:r>
        <w:rPr>
          <w:rFonts w:ascii="Tahoma" w:hAnsi="Tahoma" w:cs="Tahoma"/>
        </w:rPr>
        <w:t>SAI Global</w:t>
      </w:r>
    </w:p>
    <w:p w:rsidR="00D66DA3" w:rsidRPr="00D55911" w:rsidRDefault="00D66DA3" w:rsidP="00C01A9C">
      <w:pPr>
        <w:numPr>
          <w:ilvl w:val="0"/>
          <w:numId w:val="9"/>
        </w:numPr>
        <w:tabs>
          <w:tab w:val="clear" w:pos="927"/>
        </w:tabs>
        <w:spacing w:after="120" w:line="240" w:lineRule="auto"/>
        <w:ind w:left="1134" w:hanging="567"/>
        <w:rPr>
          <w:rFonts w:ascii="Tahoma" w:eastAsia="Calibri" w:hAnsi="Tahoma" w:cs="Tahoma"/>
        </w:rPr>
      </w:pPr>
      <w:r>
        <w:rPr>
          <w:rFonts w:ascii="Tahoma" w:hAnsi="Tahoma" w:cs="Tahoma"/>
        </w:rPr>
        <w:t>Australian Bankers</w:t>
      </w:r>
      <w:r w:rsidR="006A4D93">
        <w:rPr>
          <w:rFonts w:ascii="Tahoma" w:hAnsi="Tahoma" w:cs="Tahoma"/>
        </w:rPr>
        <w:t>’</w:t>
      </w:r>
      <w:r>
        <w:rPr>
          <w:rFonts w:ascii="Tahoma" w:hAnsi="Tahoma" w:cs="Tahoma"/>
        </w:rPr>
        <w:t xml:space="preserve"> Association</w:t>
      </w:r>
    </w:p>
    <w:p w:rsidR="00D66DA3" w:rsidRPr="00D55911" w:rsidRDefault="00D66DA3" w:rsidP="00C01A9C">
      <w:pPr>
        <w:numPr>
          <w:ilvl w:val="0"/>
          <w:numId w:val="9"/>
        </w:numPr>
        <w:tabs>
          <w:tab w:val="clear" w:pos="927"/>
        </w:tabs>
        <w:spacing w:after="120" w:line="240" w:lineRule="auto"/>
        <w:ind w:left="1134" w:hanging="567"/>
        <w:rPr>
          <w:rFonts w:ascii="Tahoma" w:eastAsia="Calibri" w:hAnsi="Tahoma" w:cs="Tahoma"/>
        </w:rPr>
      </w:pPr>
      <w:r>
        <w:rPr>
          <w:rFonts w:ascii="Tahoma" w:hAnsi="Tahoma" w:cs="Tahoma"/>
        </w:rPr>
        <w:t>Real Estate Institute of Victoria</w:t>
      </w:r>
    </w:p>
    <w:p w:rsidR="00D66DA3" w:rsidRPr="00D55911" w:rsidRDefault="00D66DA3" w:rsidP="00C01A9C">
      <w:pPr>
        <w:numPr>
          <w:ilvl w:val="0"/>
          <w:numId w:val="9"/>
        </w:numPr>
        <w:tabs>
          <w:tab w:val="clear" w:pos="927"/>
        </w:tabs>
        <w:spacing w:after="120" w:line="240" w:lineRule="auto"/>
        <w:ind w:left="1134" w:hanging="567"/>
        <w:rPr>
          <w:rFonts w:ascii="Tahoma" w:hAnsi="Tahoma" w:cs="Tahoma"/>
        </w:rPr>
      </w:pPr>
      <w:r w:rsidRPr="00D55911">
        <w:rPr>
          <w:rFonts w:ascii="Tahoma" w:hAnsi="Tahoma" w:cs="Tahoma"/>
        </w:rPr>
        <w:t>Australian Institute of Conveyancers</w:t>
      </w:r>
    </w:p>
    <w:p w:rsidR="00D66DA3" w:rsidRPr="00D55911" w:rsidRDefault="00D66DA3" w:rsidP="00C01A9C">
      <w:pPr>
        <w:numPr>
          <w:ilvl w:val="0"/>
          <w:numId w:val="9"/>
        </w:numPr>
        <w:tabs>
          <w:tab w:val="clear" w:pos="927"/>
        </w:tabs>
        <w:spacing w:after="120" w:line="240" w:lineRule="auto"/>
        <w:ind w:left="1134" w:hanging="567"/>
        <w:rPr>
          <w:rFonts w:ascii="Tahoma" w:hAnsi="Tahoma" w:cs="Tahoma"/>
        </w:rPr>
      </w:pPr>
      <w:r w:rsidRPr="00D55911">
        <w:rPr>
          <w:rFonts w:ascii="Tahoma" w:hAnsi="Tahoma" w:cs="Tahoma"/>
        </w:rPr>
        <w:t>Veda</w:t>
      </w:r>
    </w:p>
    <w:p w:rsidR="00D66DA3" w:rsidRPr="00D55911" w:rsidRDefault="00D66DA3" w:rsidP="00C01A9C">
      <w:pPr>
        <w:numPr>
          <w:ilvl w:val="0"/>
          <w:numId w:val="9"/>
        </w:numPr>
        <w:tabs>
          <w:tab w:val="clear" w:pos="927"/>
        </w:tabs>
        <w:spacing w:after="120" w:line="240" w:lineRule="auto"/>
        <w:ind w:left="1134" w:hanging="567"/>
        <w:rPr>
          <w:rFonts w:ascii="Tahoma" w:eastAsia="Calibri" w:hAnsi="Tahoma" w:cs="Tahoma"/>
        </w:rPr>
      </w:pPr>
      <w:r>
        <w:rPr>
          <w:rFonts w:ascii="Tahoma" w:hAnsi="Tahoma" w:cs="Tahoma"/>
        </w:rPr>
        <w:t>Australian Finance Council</w:t>
      </w:r>
    </w:p>
    <w:p w:rsidR="00D66DA3" w:rsidRPr="00D55911" w:rsidRDefault="00D66DA3" w:rsidP="00C01A9C">
      <w:pPr>
        <w:numPr>
          <w:ilvl w:val="0"/>
          <w:numId w:val="9"/>
        </w:numPr>
        <w:tabs>
          <w:tab w:val="clear" w:pos="927"/>
        </w:tabs>
        <w:spacing w:after="120" w:line="240" w:lineRule="auto"/>
        <w:ind w:left="1134" w:hanging="567"/>
        <w:rPr>
          <w:rFonts w:ascii="Tahoma" w:hAnsi="Tahoma" w:cs="Tahoma"/>
        </w:rPr>
      </w:pPr>
      <w:proofErr w:type="spellStart"/>
      <w:r w:rsidRPr="00D55911">
        <w:rPr>
          <w:rFonts w:ascii="Tahoma" w:hAnsi="Tahoma" w:cs="Tahoma"/>
        </w:rPr>
        <w:t>LeadPoint</w:t>
      </w:r>
      <w:proofErr w:type="spellEnd"/>
      <w:r w:rsidRPr="00D55911">
        <w:rPr>
          <w:rFonts w:ascii="Tahoma" w:hAnsi="Tahoma" w:cs="Tahoma"/>
        </w:rPr>
        <w:t xml:space="preserve"> Mortgage Services</w:t>
      </w:r>
    </w:p>
    <w:p w:rsidR="00D66DA3" w:rsidRPr="00D66DA3" w:rsidRDefault="00D66DA3" w:rsidP="00C01A9C">
      <w:pPr>
        <w:numPr>
          <w:ilvl w:val="0"/>
          <w:numId w:val="9"/>
        </w:numPr>
        <w:tabs>
          <w:tab w:val="clear" w:pos="927"/>
        </w:tabs>
        <w:spacing w:after="240" w:line="240" w:lineRule="auto"/>
        <w:ind w:left="1134" w:hanging="567"/>
        <w:rPr>
          <w:rFonts w:ascii="Tahoma" w:eastAsia="Calibri" w:hAnsi="Tahoma" w:cs="Tahoma"/>
        </w:rPr>
      </w:pPr>
      <w:r>
        <w:rPr>
          <w:rFonts w:ascii="Tahoma" w:hAnsi="Tahoma" w:cs="Tahoma"/>
        </w:rPr>
        <w:t>National Electronic Conveyancing Development Limited</w:t>
      </w:r>
    </w:p>
    <w:p w:rsidR="00D254F9" w:rsidRDefault="00D66DA3" w:rsidP="00A40C4B">
      <w:pPr>
        <w:numPr>
          <w:ilvl w:val="0"/>
          <w:numId w:val="3"/>
        </w:numPr>
        <w:tabs>
          <w:tab w:val="clear" w:pos="360"/>
        </w:tabs>
        <w:spacing w:after="240" w:line="240" w:lineRule="auto"/>
        <w:ind w:left="567" w:hanging="567"/>
        <w:rPr>
          <w:rFonts w:ascii="Tahoma" w:eastAsia="Calibri" w:hAnsi="Tahoma" w:cs="Tahoma"/>
        </w:rPr>
      </w:pPr>
      <w:r>
        <w:rPr>
          <w:rFonts w:ascii="Tahoma" w:eastAsia="Calibri" w:hAnsi="Tahoma" w:cs="Tahoma"/>
        </w:rPr>
        <w:t xml:space="preserve">Overall, </w:t>
      </w:r>
      <w:r w:rsidR="00D254F9">
        <w:rPr>
          <w:rFonts w:ascii="Tahoma" w:eastAsia="Calibri" w:hAnsi="Tahoma" w:cs="Tahoma"/>
        </w:rPr>
        <w:t xml:space="preserve">the </w:t>
      </w:r>
      <w:r>
        <w:rPr>
          <w:rFonts w:ascii="Tahoma" w:eastAsia="Calibri" w:hAnsi="Tahoma" w:cs="Tahoma"/>
        </w:rPr>
        <w:t xml:space="preserve">submissions supported the proposals in the </w:t>
      </w:r>
      <w:r w:rsidR="0096516B">
        <w:rPr>
          <w:rFonts w:ascii="Tahoma" w:eastAsia="Calibri" w:hAnsi="Tahoma" w:cs="Tahoma"/>
        </w:rPr>
        <w:t xml:space="preserve">Consultation Paper </w:t>
      </w:r>
      <w:r>
        <w:rPr>
          <w:rFonts w:ascii="Tahoma" w:eastAsia="Calibri" w:hAnsi="Tahoma" w:cs="Tahoma"/>
        </w:rPr>
        <w:t xml:space="preserve">though </w:t>
      </w:r>
      <w:r w:rsidR="00900F26">
        <w:rPr>
          <w:rFonts w:ascii="Tahoma" w:eastAsia="Calibri" w:hAnsi="Tahoma" w:cs="Tahoma"/>
        </w:rPr>
        <w:t xml:space="preserve">some </w:t>
      </w:r>
      <w:r>
        <w:rPr>
          <w:rFonts w:ascii="Tahoma" w:eastAsia="Calibri" w:hAnsi="Tahoma" w:cs="Tahoma"/>
        </w:rPr>
        <w:t xml:space="preserve">submissions raised concerns over particular issues or opposed certain aspects of the proposals. </w:t>
      </w:r>
    </w:p>
    <w:p w:rsidR="00FE0BF0" w:rsidRPr="00A40C4B" w:rsidRDefault="00900F26" w:rsidP="00A40C4B">
      <w:pPr>
        <w:numPr>
          <w:ilvl w:val="0"/>
          <w:numId w:val="3"/>
        </w:numPr>
        <w:tabs>
          <w:tab w:val="clear" w:pos="360"/>
        </w:tabs>
        <w:spacing w:after="240" w:line="240" w:lineRule="auto"/>
        <w:ind w:left="567" w:hanging="567"/>
        <w:rPr>
          <w:rFonts w:ascii="Tahoma" w:eastAsia="Calibri" w:hAnsi="Tahoma" w:cs="Tahoma"/>
        </w:rPr>
      </w:pPr>
      <w:r>
        <w:rPr>
          <w:rFonts w:ascii="Tahoma" w:eastAsia="Calibri" w:hAnsi="Tahoma" w:cs="Tahoma"/>
        </w:rPr>
        <w:t xml:space="preserve">The key issues stakeholders raised </w:t>
      </w:r>
      <w:r w:rsidR="00A40C4B" w:rsidRPr="00A40C4B">
        <w:rPr>
          <w:rFonts w:ascii="Tahoma" w:eastAsia="Calibri" w:hAnsi="Tahoma" w:cs="Tahoma"/>
        </w:rPr>
        <w:t>are outlined in further detail below</w:t>
      </w:r>
      <w:r>
        <w:rPr>
          <w:rFonts w:ascii="Tahoma" w:eastAsia="Calibri" w:hAnsi="Tahoma" w:cs="Tahoma"/>
        </w:rPr>
        <w:t xml:space="preserve"> together with the Land Victoria response to these issues</w:t>
      </w:r>
      <w:r w:rsidR="00A40C4B" w:rsidRPr="00A40C4B">
        <w:rPr>
          <w:rFonts w:ascii="Tahoma" w:eastAsia="Calibri" w:hAnsi="Tahoma" w:cs="Tahoma"/>
        </w:rPr>
        <w:t>.</w:t>
      </w:r>
      <w:r w:rsidR="0096516B">
        <w:rPr>
          <w:rFonts w:ascii="Tahoma" w:eastAsia="Calibri" w:hAnsi="Tahoma" w:cs="Tahoma"/>
        </w:rPr>
        <w:t xml:space="preserve"> </w:t>
      </w:r>
      <w:r>
        <w:rPr>
          <w:rFonts w:ascii="Tahoma" w:eastAsia="Calibri" w:hAnsi="Tahoma" w:cs="Tahoma"/>
        </w:rPr>
        <w:t xml:space="preserve"> The issues raised in submissions are grouped thematically using the chapters of the Consultation Paper as a basis. </w:t>
      </w:r>
    </w:p>
    <w:p w:rsidR="00900F26" w:rsidRPr="00A40C4B" w:rsidRDefault="00900F26" w:rsidP="007209C1">
      <w:pPr>
        <w:spacing w:after="120" w:line="240" w:lineRule="auto"/>
        <w:rPr>
          <w:rFonts w:ascii="Tahoma" w:hAnsi="Tahoma" w:cs="Tahoma"/>
        </w:rPr>
      </w:pPr>
    </w:p>
    <w:p w:rsidR="00F45892" w:rsidRDefault="00F45892">
      <w:pPr>
        <w:rPr>
          <w:rFonts w:ascii="Tahoma" w:hAnsi="Tahoma" w:cs="Tahoma"/>
          <w:b/>
          <w:sz w:val="24"/>
          <w:szCs w:val="24"/>
        </w:rPr>
      </w:pPr>
      <w:r>
        <w:rPr>
          <w:rFonts w:ascii="Tahoma" w:hAnsi="Tahoma" w:cs="Tahoma"/>
          <w:b/>
          <w:sz w:val="24"/>
          <w:szCs w:val="24"/>
        </w:rPr>
        <w:br w:type="page"/>
      </w:r>
    </w:p>
    <w:p w:rsidR="00FE0BF0" w:rsidRPr="00A40C4B" w:rsidRDefault="00FE0BF0" w:rsidP="00F02B00">
      <w:pPr>
        <w:spacing w:after="240" w:line="240" w:lineRule="auto"/>
        <w:rPr>
          <w:rFonts w:ascii="Tahoma" w:hAnsi="Tahoma" w:cs="Tahoma"/>
          <w:b/>
          <w:sz w:val="24"/>
          <w:szCs w:val="24"/>
        </w:rPr>
      </w:pPr>
      <w:r w:rsidRPr="00A40C4B">
        <w:rPr>
          <w:rFonts w:ascii="Tahoma" w:hAnsi="Tahoma" w:cs="Tahoma"/>
          <w:b/>
          <w:sz w:val="24"/>
          <w:szCs w:val="24"/>
        </w:rPr>
        <w:lastRenderedPageBreak/>
        <w:t xml:space="preserve">Matters </w:t>
      </w:r>
      <w:r w:rsidR="00A40C4B" w:rsidRPr="00A40C4B">
        <w:rPr>
          <w:rFonts w:ascii="Tahoma" w:hAnsi="Tahoma" w:cs="Tahoma"/>
          <w:b/>
          <w:sz w:val="24"/>
          <w:szCs w:val="24"/>
        </w:rPr>
        <w:t>raised</w:t>
      </w:r>
      <w:r w:rsidRPr="00A40C4B">
        <w:rPr>
          <w:rFonts w:ascii="Tahoma" w:hAnsi="Tahoma" w:cs="Tahoma"/>
          <w:b/>
          <w:sz w:val="24"/>
          <w:szCs w:val="24"/>
        </w:rPr>
        <w:t xml:space="preserve"> in Consultation Paper</w:t>
      </w:r>
    </w:p>
    <w:p w:rsidR="00FE0BF0" w:rsidRDefault="00FE0BF0" w:rsidP="003B22F1">
      <w:pPr>
        <w:keepNext/>
        <w:keepLines/>
        <w:spacing w:before="240" w:after="240" w:line="240" w:lineRule="auto"/>
        <w:rPr>
          <w:rFonts w:ascii="Tahoma" w:hAnsi="Tahoma" w:cs="Tahoma"/>
          <w:i/>
          <w:sz w:val="24"/>
          <w:szCs w:val="24"/>
          <w:u w:val="single"/>
        </w:rPr>
      </w:pPr>
      <w:bookmarkStart w:id="1" w:name="_Toc372902652"/>
      <w:r w:rsidRPr="00A40C4B">
        <w:rPr>
          <w:rFonts w:ascii="Tahoma" w:hAnsi="Tahoma" w:cs="Tahoma"/>
          <w:i/>
          <w:sz w:val="24"/>
          <w:szCs w:val="24"/>
          <w:u w:val="single"/>
        </w:rPr>
        <w:t>Phasing out certificates of title</w:t>
      </w:r>
      <w:bookmarkEnd w:id="1"/>
    </w:p>
    <w:p w:rsidR="00AD68CE" w:rsidRPr="00AD68CE" w:rsidRDefault="00AD68CE" w:rsidP="000807EF">
      <w:pPr>
        <w:tabs>
          <w:tab w:val="left" w:pos="851"/>
        </w:tabs>
        <w:spacing w:after="240" w:line="240" w:lineRule="auto"/>
        <w:ind w:left="567" w:hanging="567"/>
        <w:rPr>
          <w:rFonts w:ascii="Tahoma" w:eastAsia="Times New Roman" w:hAnsi="Tahoma" w:cs="Tahoma"/>
          <w:color w:val="6D5125" w:themeColor="accent5" w:themeShade="80"/>
        </w:rPr>
      </w:pPr>
      <w:r w:rsidRPr="00AD68CE">
        <w:rPr>
          <w:rFonts w:ascii="Tahoma" w:eastAsia="Times New Roman" w:hAnsi="Tahoma" w:cs="Tahoma"/>
          <w:color w:val="6D5125" w:themeColor="accent5" w:themeShade="80"/>
        </w:rPr>
        <w:t>Questions included in Consultation Paper</w:t>
      </w:r>
    </w:p>
    <w:p w:rsidR="00AD68CE" w:rsidRPr="00AD68CE" w:rsidRDefault="00AD68CE" w:rsidP="000807EF">
      <w:pPr>
        <w:spacing w:after="240" w:line="240" w:lineRule="auto"/>
        <w:ind w:left="567" w:hanging="567"/>
        <w:rPr>
          <w:rFonts w:ascii="Tahoma" w:eastAsia="Times New Roman" w:hAnsi="Tahoma" w:cs="Tahoma"/>
          <w:color w:val="6D5125" w:themeColor="accent5" w:themeShade="80"/>
        </w:rPr>
      </w:pPr>
      <w:r w:rsidRPr="00AD68CE">
        <w:rPr>
          <w:rFonts w:ascii="Tahoma" w:eastAsia="Times New Roman" w:hAnsi="Tahoma" w:cs="Tahoma"/>
          <w:color w:val="6D5125" w:themeColor="accent5" w:themeShade="80"/>
        </w:rPr>
        <w:t>2.1:</w:t>
      </w:r>
      <w:r w:rsidRPr="00AD68CE">
        <w:rPr>
          <w:rFonts w:ascii="Tahoma" w:eastAsia="Times New Roman" w:hAnsi="Tahoma" w:cs="Tahoma"/>
          <w:color w:val="6D5125" w:themeColor="accent5" w:themeShade="80"/>
        </w:rPr>
        <w:tab/>
        <w:t>Do</w:t>
      </w:r>
      <w:r w:rsidRPr="00AD68CE">
        <w:rPr>
          <w:rFonts w:ascii="Tahoma" w:hAnsi="Tahoma" w:cs="Tahoma"/>
        </w:rPr>
        <w:t xml:space="preserve"> </w:t>
      </w:r>
      <w:r w:rsidRPr="00AD68CE">
        <w:rPr>
          <w:rFonts w:ascii="Tahoma" w:eastAsia="Times New Roman" w:hAnsi="Tahoma" w:cs="Tahoma"/>
          <w:color w:val="6D5125" w:themeColor="accent5" w:themeShade="80"/>
        </w:rPr>
        <w:t>the</w:t>
      </w:r>
      <w:r w:rsidRPr="00AD68CE">
        <w:rPr>
          <w:rFonts w:ascii="Tahoma" w:hAnsi="Tahoma" w:cs="Tahoma"/>
        </w:rPr>
        <w:t xml:space="preserve"> </w:t>
      </w:r>
      <w:r w:rsidRPr="00AD68CE">
        <w:rPr>
          <w:rFonts w:ascii="Tahoma" w:eastAsia="Times New Roman" w:hAnsi="Tahoma" w:cs="Tahoma"/>
          <w:color w:val="6D5125" w:themeColor="accent5" w:themeShade="80"/>
        </w:rPr>
        <w:t>proposed</w:t>
      </w:r>
      <w:r w:rsidRPr="00AD68CE">
        <w:rPr>
          <w:rFonts w:ascii="Tahoma" w:hAnsi="Tahoma" w:cs="Tahoma"/>
        </w:rPr>
        <w:t xml:space="preserve"> </w:t>
      </w:r>
      <w:r w:rsidRPr="00AD68CE">
        <w:rPr>
          <w:rFonts w:ascii="Tahoma" w:eastAsia="Times New Roman" w:hAnsi="Tahoma" w:cs="Tahoma"/>
          <w:color w:val="6D5125" w:themeColor="accent5" w:themeShade="80"/>
        </w:rPr>
        <w:t>safeguards</w:t>
      </w:r>
      <w:r w:rsidRPr="00AD68CE">
        <w:rPr>
          <w:rFonts w:ascii="Tahoma" w:hAnsi="Tahoma" w:cs="Tahoma"/>
        </w:rPr>
        <w:t xml:space="preserve"> </w:t>
      </w:r>
      <w:r w:rsidRPr="00AD68CE">
        <w:rPr>
          <w:rFonts w:ascii="Tahoma" w:eastAsia="Times New Roman" w:hAnsi="Tahoma" w:cs="Tahoma"/>
          <w:color w:val="6D5125" w:themeColor="accent5" w:themeShade="80"/>
        </w:rPr>
        <w:t>outlined in Sections 4-8 of this Consultation Paper adequately replace the functions of the certificate of title?</w:t>
      </w:r>
    </w:p>
    <w:p w:rsidR="00AD68CE" w:rsidRPr="00AD68CE" w:rsidRDefault="00AD68CE" w:rsidP="000807EF">
      <w:pPr>
        <w:spacing w:after="240" w:line="240" w:lineRule="auto"/>
        <w:ind w:left="567" w:hanging="567"/>
        <w:rPr>
          <w:rFonts w:ascii="Tahoma" w:eastAsia="Times New Roman" w:hAnsi="Tahoma" w:cs="Tahoma"/>
          <w:color w:val="6D5125" w:themeColor="accent5" w:themeShade="80"/>
        </w:rPr>
      </w:pPr>
      <w:r w:rsidRPr="00AD68CE">
        <w:rPr>
          <w:rFonts w:ascii="Tahoma" w:eastAsia="Times New Roman" w:hAnsi="Tahoma" w:cs="Tahoma"/>
          <w:color w:val="6D5125" w:themeColor="accent5" w:themeShade="80"/>
        </w:rPr>
        <w:t>2.2:</w:t>
      </w:r>
      <w:r w:rsidRPr="00AD68CE">
        <w:rPr>
          <w:rFonts w:ascii="Tahoma" w:eastAsia="Times New Roman" w:hAnsi="Tahoma" w:cs="Tahoma"/>
          <w:color w:val="6D5125" w:themeColor="accent5" w:themeShade="80"/>
        </w:rPr>
        <w:tab/>
        <w:t>Are there any other options that should be considered?</w:t>
      </w:r>
    </w:p>
    <w:p w:rsidR="00AD68CE" w:rsidRPr="00AD68CE" w:rsidRDefault="00AD68CE" w:rsidP="000807EF">
      <w:pPr>
        <w:spacing w:after="240" w:line="240" w:lineRule="auto"/>
        <w:ind w:left="567" w:hanging="567"/>
        <w:rPr>
          <w:rFonts w:ascii="Tahoma" w:eastAsia="Times New Roman" w:hAnsi="Tahoma" w:cs="Tahoma"/>
          <w:color w:val="6D5125" w:themeColor="accent5" w:themeShade="80"/>
        </w:rPr>
      </w:pPr>
      <w:r w:rsidRPr="00AD68CE">
        <w:rPr>
          <w:rFonts w:ascii="Tahoma" w:eastAsia="Times New Roman" w:hAnsi="Tahoma" w:cs="Tahoma"/>
          <w:color w:val="6D5125" w:themeColor="accent5" w:themeShade="80"/>
        </w:rPr>
        <w:t>2.3:</w:t>
      </w:r>
      <w:r w:rsidRPr="00AD68CE">
        <w:rPr>
          <w:rFonts w:ascii="Tahoma" w:eastAsia="Times New Roman" w:hAnsi="Tahoma" w:cs="Tahoma"/>
          <w:color w:val="6D5125" w:themeColor="accent5" w:themeShade="80"/>
        </w:rPr>
        <w:tab/>
        <w:t>Are there any other safeguards that need to be considered prior to paper certificates of title being abolished?</w:t>
      </w:r>
    </w:p>
    <w:p w:rsidR="00900F26" w:rsidRDefault="00900F26" w:rsidP="00202152">
      <w:pPr>
        <w:tabs>
          <w:tab w:val="left" w:pos="851"/>
        </w:tabs>
        <w:spacing w:after="0" w:line="240" w:lineRule="auto"/>
        <w:ind w:left="567" w:hanging="567"/>
        <w:rPr>
          <w:rFonts w:ascii="Tahoma" w:hAnsi="Tahoma" w:cs="Tahoma"/>
          <w:i/>
        </w:rPr>
      </w:pPr>
    </w:p>
    <w:p w:rsidR="00900F26" w:rsidRDefault="00CA27B4" w:rsidP="003F697B">
      <w:pPr>
        <w:keepNext/>
        <w:keepLines/>
        <w:tabs>
          <w:tab w:val="left" w:pos="851"/>
        </w:tabs>
        <w:spacing w:before="240" w:after="240" w:line="240" w:lineRule="auto"/>
        <w:rPr>
          <w:rFonts w:ascii="Tahoma" w:hAnsi="Tahoma" w:cs="Tahoma"/>
          <w:i/>
        </w:rPr>
      </w:pPr>
      <w:r w:rsidRPr="00D66DA3">
        <w:rPr>
          <w:rFonts w:ascii="Tahoma" w:hAnsi="Tahoma" w:cs="Tahoma"/>
          <w:i/>
        </w:rPr>
        <w:t>Overview of stakeholder response to proposed phasing out of certificates of title</w:t>
      </w:r>
    </w:p>
    <w:p w:rsidR="00900F26" w:rsidRDefault="002A2ADB" w:rsidP="00900F26">
      <w:pPr>
        <w:numPr>
          <w:ilvl w:val="0"/>
          <w:numId w:val="3"/>
        </w:numPr>
        <w:tabs>
          <w:tab w:val="clear" w:pos="360"/>
        </w:tabs>
        <w:spacing w:after="240" w:line="240" w:lineRule="auto"/>
        <w:ind w:left="567" w:hanging="567"/>
        <w:rPr>
          <w:rFonts w:ascii="Tahoma" w:hAnsi="Tahoma" w:cs="Tahoma"/>
        </w:rPr>
      </w:pPr>
      <w:r>
        <w:rPr>
          <w:rFonts w:ascii="Tahoma" w:eastAsia="Calibri" w:hAnsi="Tahoma" w:cs="Tahoma"/>
        </w:rPr>
        <w:t>Eight</w:t>
      </w:r>
      <w:r w:rsidR="00F715D6">
        <w:rPr>
          <w:rFonts w:ascii="Tahoma" w:eastAsia="Calibri" w:hAnsi="Tahoma" w:cs="Tahoma"/>
        </w:rPr>
        <w:t xml:space="preserve"> s</w:t>
      </w:r>
      <w:r w:rsidR="00900F26" w:rsidRPr="00900F26">
        <w:rPr>
          <w:rFonts w:ascii="Tahoma" w:eastAsia="Calibri" w:hAnsi="Tahoma" w:cs="Tahoma"/>
        </w:rPr>
        <w:t xml:space="preserve">ubmissions </w:t>
      </w:r>
      <w:r w:rsidR="00D66DA3" w:rsidRPr="00900F26">
        <w:rPr>
          <w:rFonts w:ascii="Tahoma" w:hAnsi="Tahoma" w:cs="Tahoma"/>
        </w:rPr>
        <w:t xml:space="preserve">supported the concept of phasing out certificates of title though </w:t>
      </w:r>
      <w:r>
        <w:rPr>
          <w:rFonts w:ascii="Tahoma" w:hAnsi="Tahoma" w:cs="Tahoma"/>
        </w:rPr>
        <w:t>four</w:t>
      </w:r>
      <w:r w:rsidR="00F715D6">
        <w:rPr>
          <w:rFonts w:ascii="Tahoma" w:hAnsi="Tahoma" w:cs="Tahoma"/>
        </w:rPr>
        <w:t xml:space="preserve"> submissions made this support conditional on resolution of issues related to how this would </w:t>
      </w:r>
      <w:r w:rsidR="006A4D93">
        <w:rPr>
          <w:rFonts w:ascii="Tahoma" w:hAnsi="Tahoma" w:cs="Tahoma"/>
        </w:rPr>
        <w:t xml:space="preserve">be </w:t>
      </w:r>
      <w:r w:rsidR="00D66DA3" w:rsidRPr="00900F26">
        <w:rPr>
          <w:rFonts w:ascii="Tahoma" w:hAnsi="Tahoma" w:cs="Tahoma"/>
        </w:rPr>
        <w:t>implemented</w:t>
      </w:r>
      <w:r w:rsidR="0096516B">
        <w:rPr>
          <w:rFonts w:ascii="Tahoma" w:hAnsi="Tahoma" w:cs="Tahoma"/>
        </w:rPr>
        <w:t xml:space="preserve">.  </w:t>
      </w:r>
      <w:r>
        <w:rPr>
          <w:rFonts w:ascii="Tahoma" w:hAnsi="Tahoma" w:cs="Tahoma"/>
        </w:rPr>
        <w:t>Four</w:t>
      </w:r>
      <w:r w:rsidR="00F715D6">
        <w:rPr>
          <w:rFonts w:ascii="Tahoma" w:hAnsi="Tahoma" w:cs="Tahoma"/>
        </w:rPr>
        <w:t xml:space="preserve"> submissions made no comment on this aspect of the </w:t>
      </w:r>
      <w:r w:rsidR="00B70976">
        <w:rPr>
          <w:rFonts w:ascii="Tahoma" w:hAnsi="Tahoma" w:cs="Tahoma"/>
        </w:rPr>
        <w:t>Consultation Paper</w:t>
      </w:r>
      <w:r w:rsidR="00F715D6">
        <w:rPr>
          <w:rFonts w:ascii="Tahoma" w:hAnsi="Tahoma" w:cs="Tahoma"/>
        </w:rPr>
        <w:t>.</w:t>
      </w:r>
    </w:p>
    <w:p w:rsidR="00900F26" w:rsidRDefault="00900F26" w:rsidP="00202152">
      <w:pPr>
        <w:tabs>
          <w:tab w:val="left" w:pos="851"/>
        </w:tabs>
        <w:spacing w:after="0" w:line="240" w:lineRule="auto"/>
        <w:ind w:left="567" w:hanging="567"/>
        <w:rPr>
          <w:rFonts w:ascii="Tahoma" w:hAnsi="Tahoma" w:cs="Tahoma"/>
        </w:rPr>
      </w:pPr>
    </w:p>
    <w:p w:rsidR="00D254F9" w:rsidRPr="00570BBC" w:rsidRDefault="00CA27B4" w:rsidP="003F697B">
      <w:pPr>
        <w:keepNext/>
        <w:keepLines/>
        <w:tabs>
          <w:tab w:val="left" w:pos="851"/>
        </w:tabs>
        <w:spacing w:before="240" w:after="240" w:line="240" w:lineRule="auto"/>
        <w:rPr>
          <w:rFonts w:ascii="Tahoma" w:hAnsi="Tahoma" w:cs="Tahoma"/>
          <w:i/>
        </w:rPr>
      </w:pPr>
      <w:r w:rsidRPr="00570BBC">
        <w:rPr>
          <w:rFonts w:ascii="Tahoma" w:hAnsi="Tahoma" w:cs="Tahoma"/>
          <w:i/>
        </w:rPr>
        <w:t>Overview of Land Victoria response to stakeholders</w:t>
      </w:r>
    </w:p>
    <w:p w:rsidR="00D254F9" w:rsidRPr="00570BBC" w:rsidRDefault="00D66DA3" w:rsidP="00570BBC">
      <w:pPr>
        <w:numPr>
          <w:ilvl w:val="0"/>
          <w:numId w:val="3"/>
        </w:numPr>
        <w:tabs>
          <w:tab w:val="clear" w:pos="360"/>
        </w:tabs>
        <w:spacing w:after="240" w:line="240" w:lineRule="auto"/>
        <w:ind w:left="567" w:hanging="567"/>
        <w:rPr>
          <w:rFonts w:ascii="Tahoma" w:hAnsi="Tahoma" w:cs="Tahoma"/>
        </w:rPr>
      </w:pPr>
      <w:r w:rsidRPr="00570BBC">
        <w:rPr>
          <w:rFonts w:ascii="Tahoma" w:hAnsi="Tahoma" w:cs="Tahoma"/>
        </w:rPr>
        <w:t xml:space="preserve">Land Victoria intends to proceed with </w:t>
      </w:r>
      <w:r w:rsidR="00F715D6">
        <w:rPr>
          <w:rFonts w:ascii="Tahoma" w:hAnsi="Tahoma" w:cs="Tahoma"/>
        </w:rPr>
        <w:t xml:space="preserve">phasing out certificates of title and will take into account the implementation issues raised </w:t>
      </w:r>
      <w:r w:rsidR="004577B6">
        <w:rPr>
          <w:rFonts w:ascii="Tahoma" w:hAnsi="Tahoma" w:cs="Tahoma"/>
        </w:rPr>
        <w:t xml:space="preserve">in </w:t>
      </w:r>
      <w:r w:rsidR="00F715D6">
        <w:rPr>
          <w:rFonts w:ascii="Tahoma" w:hAnsi="Tahoma" w:cs="Tahoma"/>
        </w:rPr>
        <w:t>submissions</w:t>
      </w:r>
      <w:r w:rsidR="00323F30">
        <w:rPr>
          <w:rFonts w:ascii="Tahoma" w:hAnsi="Tahoma" w:cs="Tahoma"/>
        </w:rPr>
        <w:t xml:space="preserve"> and consult further with industry on these issues prior to implementation</w:t>
      </w:r>
      <w:r w:rsidR="00F715D6">
        <w:rPr>
          <w:rFonts w:ascii="Tahoma" w:hAnsi="Tahoma" w:cs="Tahoma"/>
        </w:rPr>
        <w:t xml:space="preserve">. </w:t>
      </w:r>
      <w:r w:rsidRPr="00570BBC">
        <w:rPr>
          <w:rFonts w:ascii="Tahoma" w:hAnsi="Tahoma" w:cs="Tahoma"/>
        </w:rPr>
        <w:t xml:space="preserve"> </w:t>
      </w:r>
    </w:p>
    <w:p w:rsidR="00D254F9" w:rsidRDefault="00D254F9" w:rsidP="00202152">
      <w:pPr>
        <w:tabs>
          <w:tab w:val="left" w:pos="851"/>
        </w:tabs>
        <w:spacing w:after="0" w:line="240" w:lineRule="auto"/>
        <w:ind w:left="567" w:hanging="567"/>
        <w:rPr>
          <w:rFonts w:ascii="Tahoma" w:hAnsi="Tahoma" w:cs="Tahoma"/>
        </w:rPr>
      </w:pPr>
    </w:p>
    <w:p w:rsidR="00CA27B4" w:rsidRDefault="00D66DA3" w:rsidP="003F697B">
      <w:pPr>
        <w:keepNext/>
        <w:keepLines/>
        <w:tabs>
          <w:tab w:val="left" w:pos="851"/>
        </w:tabs>
        <w:spacing w:before="240" w:after="240" w:line="240" w:lineRule="auto"/>
        <w:rPr>
          <w:rFonts w:ascii="Tahoma" w:hAnsi="Tahoma" w:cs="Tahoma"/>
          <w:i/>
        </w:rPr>
      </w:pPr>
      <w:r w:rsidRPr="00570BBC">
        <w:rPr>
          <w:rFonts w:ascii="Tahoma" w:hAnsi="Tahoma" w:cs="Tahoma"/>
          <w:i/>
        </w:rPr>
        <w:t>Key issues</w:t>
      </w:r>
      <w:r w:rsidR="00CA27B4" w:rsidRPr="00570BBC">
        <w:rPr>
          <w:rFonts w:ascii="Tahoma" w:hAnsi="Tahoma" w:cs="Tahoma"/>
          <w:i/>
        </w:rPr>
        <w:t xml:space="preserve"> raised by stakeholders and Land Victoria’s response</w:t>
      </w:r>
      <w:r w:rsidR="00D254F9" w:rsidRPr="00570BBC">
        <w:rPr>
          <w:rFonts w:ascii="Tahoma" w:hAnsi="Tahoma" w:cs="Tahoma"/>
          <w:i/>
        </w:rPr>
        <w:t xml:space="preserve"> to these issues</w:t>
      </w:r>
    </w:p>
    <w:tbl>
      <w:tblPr>
        <w:tblStyle w:val="TableGrid"/>
        <w:tblW w:w="9638" w:type="dxa"/>
        <w:tblInd w:w="108" w:type="dxa"/>
        <w:tblLook w:val="04A0" w:firstRow="1" w:lastRow="0" w:firstColumn="1" w:lastColumn="0" w:noHBand="0" w:noVBand="1"/>
      </w:tblPr>
      <w:tblGrid>
        <w:gridCol w:w="4819"/>
        <w:gridCol w:w="4819"/>
      </w:tblGrid>
      <w:tr w:rsidR="00F45892" w:rsidRPr="00DF4230" w:rsidTr="000807EF">
        <w:trPr>
          <w:tblHeader/>
        </w:trPr>
        <w:tc>
          <w:tcPr>
            <w:tcW w:w="4819" w:type="dxa"/>
            <w:shd w:val="clear" w:color="auto" w:fill="D9D9D9" w:themeFill="background1" w:themeFillShade="D9"/>
            <w:vAlign w:val="center"/>
          </w:tcPr>
          <w:p w:rsidR="00F45892" w:rsidRPr="00DF4230" w:rsidRDefault="00F45892" w:rsidP="000807EF">
            <w:pPr>
              <w:spacing w:before="60" w:after="60"/>
              <w:rPr>
                <w:rFonts w:ascii="Tahoma" w:hAnsi="Tahoma" w:cs="Tahoma"/>
                <w:b/>
              </w:rPr>
            </w:pPr>
            <w:r w:rsidRPr="00DF4230">
              <w:rPr>
                <w:rFonts w:ascii="Tahoma" w:hAnsi="Tahoma" w:cs="Tahoma"/>
                <w:b/>
              </w:rPr>
              <w:t>Issue</w:t>
            </w:r>
          </w:p>
        </w:tc>
        <w:tc>
          <w:tcPr>
            <w:tcW w:w="4819" w:type="dxa"/>
            <w:shd w:val="clear" w:color="auto" w:fill="D9D9D9" w:themeFill="background1" w:themeFillShade="D9"/>
            <w:vAlign w:val="center"/>
          </w:tcPr>
          <w:p w:rsidR="00F45892" w:rsidRPr="00DF4230" w:rsidRDefault="00F45892" w:rsidP="000807EF">
            <w:pPr>
              <w:spacing w:before="60" w:after="60"/>
              <w:rPr>
                <w:rFonts w:ascii="Tahoma" w:hAnsi="Tahoma" w:cs="Tahoma"/>
                <w:b/>
              </w:rPr>
            </w:pPr>
            <w:r w:rsidRPr="00DF4230">
              <w:rPr>
                <w:rFonts w:ascii="Tahoma" w:hAnsi="Tahoma" w:cs="Tahoma"/>
                <w:b/>
              </w:rPr>
              <w:t>Land Victoria Response</w:t>
            </w:r>
          </w:p>
        </w:tc>
      </w:tr>
      <w:tr w:rsidR="002A2ADB" w:rsidTr="000807EF">
        <w:tc>
          <w:tcPr>
            <w:tcW w:w="4819" w:type="dxa"/>
          </w:tcPr>
          <w:p w:rsidR="002A2ADB" w:rsidRDefault="002A2ADB" w:rsidP="00202152">
            <w:pPr>
              <w:spacing w:after="240"/>
              <w:rPr>
                <w:rFonts w:ascii="Tahoma" w:hAnsi="Tahoma" w:cs="Tahoma"/>
                <w:i/>
              </w:rPr>
            </w:pPr>
            <w:r>
              <w:rPr>
                <w:rFonts w:ascii="Tahoma" w:hAnsi="Tahoma" w:cs="Tahoma"/>
              </w:rPr>
              <w:t>The issuing of paper certificates of title currently enable</w:t>
            </w:r>
            <w:r w:rsidR="00C14567">
              <w:rPr>
                <w:rFonts w:ascii="Tahoma" w:hAnsi="Tahoma" w:cs="Tahoma"/>
              </w:rPr>
              <w:t>s</w:t>
            </w:r>
            <w:r>
              <w:rPr>
                <w:rFonts w:ascii="Tahoma" w:hAnsi="Tahoma" w:cs="Tahoma"/>
              </w:rPr>
              <w:t xml:space="preserve"> lodging parties to verify that their transaction was registered and that the correct information was recorded on the Register</w:t>
            </w:r>
            <w:r w:rsidR="0096516B">
              <w:rPr>
                <w:rFonts w:ascii="Tahoma" w:hAnsi="Tahoma" w:cs="Tahoma"/>
              </w:rPr>
              <w:t xml:space="preserve">.  </w:t>
            </w:r>
            <w:r>
              <w:rPr>
                <w:rFonts w:ascii="Tahoma" w:hAnsi="Tahoma" w:cs="Tahoma"/>
              </w:rPr>
              <w:t xml:space="preserve">If certificates of title are phased out, lodging parties should receive, in their place, an electronic record free of charge confirming that the dealing has been registered and advising what information Land Victoria has recorded.  </w:t>
            </w:r>
          </w:p>
        </w:tc>
        <w:tc>
          <w:tcPr>
            <w:tcW w:w="4819" w:type="dxa"/>
          </w:tcPr>
          <w:p w:rsidR="00F45892" w:rsidRDefault="002A2ADB" w:rsidP="00202152">
            <w:pPr>
              <w:spacing w:after="240"/>
              <w:rPr>
                <w:rFonts w:ascii="Tahoma" w:hAnsi="Tahoma" w:cs="Tahoma"/>
              </w:rPr>
            </w:pPr>
            <w:r>
              <w:rPr>
                <w:rFonts w:ascii="Tahoma" w:hAnsi="Tahoma" w:cs="Tahoma"/>
              </w:rPr>
              <w:t xml:space="preserve">Land Victoria acknowledges the desirability of lodgement parties being able to easily verify that a transaction was registered and the correct information registered. </w:t>
            </w:r>
          </w:p>
          <w:p w:rsidR="002A2ADB" w:rsidRDefault="002A2ADB" w:rsidP="00202152">
            <w:pPr>
              <w:spacing w:after="240"/>
              <w:rPr>
                <w:rFonts w:ascii="Tahoma" w:hAnsi="Tahoma" w:cs="Tahoma"/>
                <w:i/>
              </w:rPr>
            </w:pPr>
            <w:r>
              <w:rPr>
                <w:rFonts w:ascii="Tahoma" w:hAnsi="Tahoma" w:cs="Tahoma"/>
              </w:rPr>
              <w:t>When transactions are lodged via an electronic lodgement network, users will be able to check the system to verify that a transaction has been registered</w:t>
            </w:r>
            <w:r w:rsidR="0096516B">
              <w:rPr>
                <w:rFonts w:ascii="Tahoma" w:hAnsi="Tahoma" w:cs="Tahoma"/>
              </w:rPr>
              <w:t xml:space="preserve">.  </w:t>
            </w:r>
            <w:r>
              <w:rPr>
                <w:rFonts w:ascii="Tahoma" w:hAnsi="Tahoma" w:cs="Tahoma"/>
              </w:rPr>
              <w:t>For lodgements in paper, Land Victoria will investigate administrative options for providing information to users upon registration</w:t>
            </w:r>
            <w:r w:rsidR="00490A7F">
              <w:rPr>
                <w:rFonts w:ascii="Tahoma" w:hAnsi="Tahoma" w:cs="Tahoma"/>
              </w:rPr>
              <w:t xml:space="preserve">.  </w:t>
            </w:r>
          </w:p>
        </w:tc>
      </w:tr>
      <w:tr w:rsidR="002A2ADB" w:rsidTr="000807EF">
        <w:tc>
          <w:tcPr>
            <w:tcW w:w="4819" w:type="dxa"/>
          </w:tcPr>
          <w:p w:rsidR="002A2ADB" w:rsidRDefault="002A2ADB" w:rsidP="00202152">
            <w:pPr>
              <w:spacing w:after="240"/>
              <w:rPr>
                <w:rFonts w:ascii="Tahoma" w:hAnsi="Tahoma" w:cs="Tahoma"/>
                <w:i/>
              </w:rPr>
            </w:pPr>
            <w:r>
              <w:rPr>
                <w:rFonts w:ascii="Tahoma" w:hAnsi="Tahoma" w:cs="Tahoma"/>
              </w:rPr>
              <w:t xml:space="preserve">With the proposed interim approach (Option 3), will subscribers to an Electronic Lodgement Network be able to process a transaction via paper and if so, can they choose not to have a </w:t>
            </w:r>
            <w:r>
              <w:rPr>
                <w:rFonts w:ascii="Tahoma" w:hAnsi="Tahoma" w:cs="Tahoma"/>
              </w:rPr>
              <w:lastRenderedPageBreak/>
              <w:t xml:space="preserve">paper </w:t>
            </w:r>
            <w:r w:rsidR="006A4D93">
              <w:rPr>
                <w:rFonts w:ascii="Tahoma" w:hAnsi="Tahoma" w:cs="Tahoma"/>
              </w:rPr>
              <w:t>c</w:t>
            </w:r>
            <w:r>
              <w:rPr>
                <w:rFonts w:ascii="Tahoma" w:hAnsi="Tahoma" w:cs="Tahoma"/>
              </w:rPr>
              <w:t xml:space="preserve">ertificate of </w:t>
            </w:r>
            <w:r w:rsidR="006A4D93">
              <w:rPr>
                <w:rFonts w:ascii="Tahoma" w:hAnsi="Tahoma" w:cs="Tahoma"/>
              </w:rPr>
              <w:t>t</w:t>
            </w:r>
            <w:r>
              <w:rPr>
                <w:rFonts w:ascii="Tahoma" w:hAnsi="Tahoma" w:cs="Tahoma"/>
              </w:rPr>
              <w:t>itle for the paper transaction?</w:t>
            </w:r>
          </w:p>
        </w:tc>
        <w:tc>
          <w:tcPr>
            <w:tcW w:w="4819" w:type="dxa"/>
          </w:tcPr>
          <w:p w:rsidR="002A2ADB" w:rsidRDefault="002A2ADB" w:rsidP="00202152">
            <w:pPr>
              <w:spacing w:after="240"/>
              <w:rPr>
                <w:rFonts w:ascii="Tahoma" w:hAnsi="Tahoma" w:cs="Tahoma"/>
              </w:rPr>
            </w:pPr>
            <w:r>
              <w:rPr>
                <w:rFonts w:ascii="Tahoma" w:hAnsi="Tahoma" w:cs="Tahoma"/>
              </w:rPr>
              <w:lastRenderedPageBreak/>
              <w:t>During the proposed interim period, paper certificates of title will continue to be used for paper transactions</w:t>
            </w:r>
            <w:r w:rsidR="0096516B">
              <w:rPr>
                <w:rFonts w:ascii="Tahoma" w:hAnsi="Tahoma" w:cs="Tahoma"/>
              </w:rPr>
              <w:t xml:space="preserve">.  </w:t>
            </w:r>
            <w:r>
              <w:rPr>
                <w:rFonts w:ascii="Tahoma" w:hAnsi="Tahoma" w:cs="Tahoma"/>
              </w:rPr>
              <w:t xml:space="preserve">Users will have the option of using either paper or electronic lodgement </w:t>
            </w:r>
            <w:r>
              <w:rPr>
                <w:rFonts w:ascii="Tahoma" w:hAnsi="Tahoma" w:cs="Tahoma"/>
              </w:rPr>
              <w:lastRenderedPageBreak/>
              <w:t>mediums</w:t>
            </w:r>
            <w:r w:rsidR="006E6BD6">
              <w:rPr>
                <w:rFonts w:ascii="Tahoma" w:hAnsi="Tahoma" w:cs="Tahoma"/>
              </w:rPr>
              <w:t xml:space="preserve">.  </w:t>
            </w:r>
          </w:p>
        </w:tc>
      </w:tr>
      <w:tr w:rsidR="002A2ADB" w:rsidTr="000807EF">
        <w:tc>
          <w:tcPr>
            <w:tcW w:w="4819" w:type="dxa"/>
          </w:tcPr>
          <w:p w:rsidR="002A2ADB" w:rsidRDefault="002A2ADB" w:rsidP="00202152">
            <w:pPr>
              <w:spacing w:after="240"/>
              <w:rPr>
                <w:rFonts w:ascii="Tahoma" w:hAnsi="Tahoma" w:cs="Tahoma"/>
                <w:i/>
              </w:rPr>
            </w:pPr>
            <w:r>
              <w:rPr>
                <w:rFonts w:ascii="Tahoma" w:hAnsi="Tahoma" w:cs="Tahoma"/>
              </w:rPr>
              <w:lastRenderedPageBreak/>
              <w:t xml:space="preserve">There are many certificates of </w:t>
            </w:r>
            <w:r w:rsidR="006A4D93">
              <w:rPr>
                <w:rFonts w:ascii="Tahoma" w:hAnsi="Tahoma" w:cs="Tahoma"/>
              </w:rPr>
              <w:t>t</w:t>
            </w:r>
            <w:r>
              <w:rPr>
                <w:rFonts w:ascii="Tahoma" w:hAnsi="Tahoma" w:cs="Tahoma"/>
              </w:rPr>
              <w:t>itle that list a mortgage as an encumbrance when in fact the mortgage was paid off but the mortgage never discharged</w:t>
            </w:r>
            <w:r w:rsidR="0096516B">
              <w:rPr>
                <w:rFonts w:ascii="Tahoma" w:hAnsi="Tahoma" w:cs="Tahoma"/>
              </w:rPr>
              <w:t xml:space="preserve">.  </w:t>
            </w:r>
            <w:r>
              <w:rPr>
                <w:rFonts w:ascii="Tahoma" w:hAnsi="Tahoma" w:cs="Tahoma"/>
              </w:rPr>
              <w:t>How will Land Victoria address this when phasing out certificates of title?</w:t>
            </w:r>
          </w:p>
        </w:tc>
        <w:tc>
          <w:tcPr>
            <w:tcW w:w="4819" w:type="dxa"/>
          </w:tcPr>
          <w:p w:rsidR="002A2ADB" w:rsidRDefault="00F45892" w:rsidP="00202152">
            <w:pPr>
              <w:spacing w:after="240"/>
              <w:rPr>
                <w:rFonts w:ascii="Tahoma" w:hAnsi="Tahoma" w:cs="Tahoma"/>
                <w:i/>
              </w:rPr>
            </w:pPr>
            <w:r>
              <w:rPr>
                <w:rFonts w:ascii="Tahoma" w:hAnsi="Tahoma" w:cs="Tahoma"/>
              </w:rPr>
              <w:t xml:space="preserve">The mortgagee’s records will indicate whether a mortgage </w:t>
            </w:r>
            <w:r w:rsidR="006A4D93">
              <w:rPr>
                <w:rFonts w:ascii="Tahoma" w:hAnsi="Tahoma" w:cs="Tahoma"/>
              </w:rPr>
              <w:t>h</w:t>
            </w:r>
            <w:r>
              <w:rPr>
                <w:rFonts w:ascii="Tahoma" w:hAnsi="Tahoma" w:cs="Tahoma"/>
              </w:rPr>
              <w:t xml:space="preserve">as </w:t>
            </w:r>
            <w:r w:rsidR="006A4D93">
              <w:rPr>
                <w:rFonts w:ascii="Tahoma" w:hAnsi="Tahoma" w:cs="Tahoma"/>
              </w:rPr>
              <w:t xml:space="preserve">been </w:t>
            </w:r>
            <w:r>
              <w:rPr>
                <w:rFonts w:ascii="Tahoma" w:hAnsi="Tahoma" w:cs="Tahoma"/>
              </w:rPr>
              <w:t>paid o</w:t>
            </w:r>
            <w:r w:rsidR="00764AE6">
              <w:rPr>
                <w:rFonts w:ascii="Tahoma" w:hAnsi="Tahoma" w:cs="Tahoma"/>
              </w:rPr>
              <w:t>ut</w:t>
            </w:r>
            <w:r w:rsidR="0096516B">
              <w:rPr>
                <w:rFonts w:ascii="Tahoma" w:hAnsi="Tahoma" w:cs="Tahoma"/>
              </w:rPr>
              <w:t xml:space="preserve">.  </w:t>
            </w:r>
            <w:r>
              <w:rPr>
                <w:rFonts w:ascii="Tahoma" w:hAnsi="Tahoma" w:cs="Tahoma"/>
              </w:rPr>
              <w:t>It will still be possible to discharge a mortgage from a property after the certificate of title for that property has ceased to exist</w:t>
            </w:r>
            <w:r w:rsidR="0096516B">
              <w:rPr>
                <w:rFonts w:ascii="Tahoma" w:hAnsi="Tahoma" w:cs="Tahoma"/>
              </w:rPr>
              <w:t xml:space="preserve">.  </w:t>
            </w:r>
            <w:r>
              <w:rPr>
                <w:rFonts w:ascii="Tahoma" w:hAnsi="Tahoma" w:cs="Tahoma"/>
              </w:rPr>
              <w:t>In the future, Land Victoria will be asking mortgagees to discharge mortgages upon the ending of the mortgage.</w:t>
            </w:r>
          </w:p>
        </w:tc>
      </w:tr>
      <w:tr w:rsidR="00F45892" w:rsidTr="000807EF">
        <w:tc>
          <w:tcPr>
            <w:tcW w:w="4819" w:type="dxa"/>
          </w:tcPr>
          <w:p w:rsidR="00F45892" w:rsidRDefault="00F45892" w:rsidP="00202152">
            <w:pPr>
              <w:spacing w:after="240"/>
              <w:rPr>
                <w:rFonts w:ascii="Tahoma" w:hAnsi="Tahoma" w:cs="Tahoma"/>
                <w:i/>
              </w:rPr>
            </w:pPr>
            <w:r>
              <w:rPr>
                <w:rFonts w:ascii="Tahoma" w:hAnsi="Tahoma" w:cs="Tahoma"/>
              </w:rPr>
              <w:t xml:space="preserve">During the interim period of phasing out certificates of title, how will mortgage service providers know whether or not to expect a paper </w:t>
            </w:r>
            <w:r w:rsidR="00764AE6">
              <w:rPr>
                <w:rFonts w:ascii="Tahoma" w:hAnsi="Tahoma" w:cs="Tahoma"/>
              </w:rPr>
              <w:t>c</w:t>
            </w:r>
            <w:r>
              <w:rPr>
                <w:rFonts w:ascii="Tahoma" w:hAnsi="Tahoma" w:cs="Tahoma"/>
              </w:rPr>
              <w:t xml:space="preserve">ertificate of </w:t>
            </w:r>
            <w:r w:rsidR="00764AE6">
              <w:rPr>
                <w:rFonts w:ascii="Tahoma" w:hAnsi="Tahoma" w:cs="Tahoma"/>
              </w:rPr>
              <w:t>t</w:t>
            </w:r>
            <w:r>
              <w:rPr>
                <w:rFonts w:ascii="Tahoma" w:hAnsi="Tahoma" w:cs="Tahoma"/>
              </w:rPr>
              <w:t xml:space="preserve">itle for a transaction? </w:t>
            </w:r>
          </w:p>
        </w:tc>
        <w:tc>
          <w:tcPr>
            <w:tcW w:w="4819" w:type="dxa"/>
          </w:tcPr>
          <w:p w:rsidR="00F45892" w:rsidRDefault="00F45892" w:rsidP="00202152">
            <w:pPr>
              <w:spacing w:after="240"/>
              <w:rPr>
                <w:rFonts w:ascii="Tahoma" w:hAnsi="Tahoma" w:cs="Tahoma"/>
              </w:rPr>
            </w:pPr>
            <w:r>
              <w:rPr>
                <w:rFonts w:ascii="Tahoma" w:hAnsi="Tahoma" w:cs="Tahoma"/>
              </w:rPr>
              <w:t xml:space="preserve">Folio searches will </w:t>
            </w:r>
            <w:r w:rsidR="00764AE6">
              <w:rPr>
                <w:rFonts w:ascii="Tahoma" w:hAnsi="Tahoma" w:cs="Tahoma"/>
              </w:rPr>
              <w:t>indicate</w:t>
            </w:r>
            <w:r>
              <w:rPr>
                <w:rFonts w:ascii="Tahoma" w:hAnsi="Tahoma" w:cs="Tahoma"/>
              </w:rPr>
              <w:t xml:space="preserve"> whether a paper certificate of title exists. </w:t>
            </w:r>
          </w:p>
        </w:tc>
      </w:tr>
      <w:tr w:rsidR="00F45892" w:rsidTr="000807EF">
        <w:tc>
          <w:tcPr>
            <w:tcW w:w="4819" w:type="dxa"/>
          </w:tcPr>
          <w:p w:rsidR="00AC02DE" w:rsidRDefault="00F45892" w:rsidP="00C14567">
            <w:pPr>
              <w:spacing w:after="240"/>
              <w:rPr>
                <w:rFonts w:ascii="Tahoma" w:hAnsi="Tahoma" w:cs="Tahoma"/>
                <w:i/>
              </w:rPr>
            </w:pPr>
            <w:r>
              <w:br w:type="page"/>
            </w:r>
            <w:r>
              <w:rPr>
                <w:rFonts w:ascii="Tahoma" w:hAnsi="Tahoma" w:cs="Tahoma"/>
              </w:rPr>
              <w:t>How will a lodging party know whether or not a lodgement has been successful if no paper certificate of title is issued</w:t>
            </w:r>
            <w:r w:rsidR="002E1215">
              <w:rPr>
                <w:rFonts w:ascii="Tahoma" w:hAnsi="Tahoma" w:cs="Tahoma"/>
              </w:rPr>
              <w:t xml:space="preserve">? </w:t>
            </w:r>
            <w:r>
              <w:rPr>
                <w:rFonts w:ascii="Tahoma" w:hAnsi="Tahoma" w:cs="Tahoma"/>
              </w:rPr>
              <w:t xml:space="preserve"> Will a report be issued and if so, what information will the report show?</w:t>
            </w:r>
          </w:p>
        </w:tc>
        <w:tc>
          <w:tcPr>
            <w:tcW w:w="4819" w:type="dxa"/>
          </w:tcPr>
          <w:p w:rsidR="00F45892" w:rsidRDefault="00F45892" w:rsidP="00202152">
            <w:pPr>
              <w:spacing w:after="240"/>
              <w:rPr>
                <w:rFonts w:ascii="Tahoma" w:hAnsi="Tahoma" w:cs="Tahoma"/>
                <w:i/>
              </w:rPr>
            </w:pPr>
            <w:r>
              <w:rPr>
                <w:rFonts w:ascii="Tahoma" w:hAnsi="Tahoma" w:cs="Tahoma"/>
              </w:rPr>
              <w:t xml:space="preserve">Lodgement summary reports will continue to be issued. </w:t>
            </w:r>
          </w:p>
        </w:tc>
      </w:tr>
      <w:tr w:rsidR="00F45892" w:rsidTr="000807EF">
        <w:tc>
          <w:tcPr>
            <w:tcW w:w="4819" w:type="dxa"/>
          </w:tcPr>
          <w:p w:rsidR="00F45892" w:rsidRDefault="00CE1C41" w:rsidP="00202152">
            <w:pPr>
              <w:spacing w:after="240"/>
              <w:rPr>
                <w:rFonts w:ascii="Tahoma" w:hAnsi="Tahoma" w:cs="Tahoma"/>
                <w:i/>
              </w:rPr>
            </w:pPr>
            <w:r>
              <w:rPr>
                <w:rFonts w:ascii="Tahoma" w:hAnsi="Tahoma" w:cs="Tahoma"/>
              </w:rPr>
              <w:t>A</w:t>
            </w:r>
            <w:r w:rsidR="00F45892">
              <w:rPr>
                <w:rFonts w:ascii="Tahoma" w:hAnsi="Tahoma" w:cs="Tahoma"/>
              </w:rPr>
              <w:t xml:space="preserve">ny changes to </w:t>
            </w:r>
            <w:r>
              <w:rPr>
                <w:rFonts w:ascii="Tahoma" w:hAnsi="Tahoma" w:cs="Tahoma"/>
              </w:rPr>
              <w:t xml:space="preserve">the </w:t>
            </w:r>
            <w:r w:rsidR="00F45892">
              <w:rPr>
                <w:rFonts w:ascii="Tahoma" w:hAnsi="Tahoma" w:cs="Tahoma"/>
              </w:rPr>
              <w:t xml:space="preserve">current arrangements </w:t>
            </w:r>
            <w:r>
              <w:rPr>
                <w:rFonts w:ascii="Tahoma" w:hAnsi="Tahoma" w:cs="Tahoma"/>
              </w:rPr>
              <w:t xml:space="preserve">should </w:t>
            </w:r>
            <w:r w:rsidR="00F45892">
              <w:rPr>
                <w:rFonts w:ascii="Tahoma" w:hAnsi="Tahoma" w:cs="Tahoma"/>
              </w:rPr>
              <w:t>commence during a non</w:t>
            </w:r>
            <w:r>
              <w:rPr>
                <w:rFonts w:ascii="Tahoma" w:hAnsi="Tahoma" w:cs="Tahoma"/>
              </w:rPr>
              <w:t>-</w:t>
            </w:r>
            <w:r w:rsidR="00F45892">
              <w:rPr>
                <w:rFonts w:ascii="Tahoma" w:hAnsi="Tahoma" w:cs="Tahoma"/>
              </w:rPr>
              <w:t>peak period (</w:t>
            </w:r>
            <w:proofErr w:type="spellStart"/>
            <w:r w:rsidR="00F45892">
              <w:rPr>
                <w:rFonts w:ascii="Tahoma" w:hAnsi="Tahoma" w:cs="Tahoma"/>
              </w:rPr>
              <w:t>eg</w:t>
            </w:r>
            <w:proofErr w:type="spellEnd"/>
            <w:r w:rsidR="00F45892">
              <w:rPr>
                <w:rFonts w:ascii="Tahoma" w:hAnsi="Tahoma" w:cs="Tahoma"/>
              </w:rPr>
              <w:t xml:space="preserve"> March or September). </w:t>
            </w:r>
          </w:p>
        </w:tc>
        <w:tc>
          <w:tcPr>
            <w:tcW w:w="4819" w:type="dxa"/>
          </w:tcPr>
          <w:p w:rsidR="00F45892" w:rsidRDefault="00F45892" w:rsidP="00202152">
            <w:pPr>
              <w:tabs>
                <w:tab w:val="left" w:pos="851"/>
              </w:tabs>
              <w:spacing w:after="240"/>
              <w:rPr>
                <w:rFonts w:ascii="Tahoma" w:hAnsi="Tahoma" w:cs="Tahoma"/>
                <w:i/>
              </w:rPr>
            </w:pPr>
            <w:r>
              <w:rPr>
                <w:rFonts w:ascii="Tahoma" w:hAnsi="Tahoma" w:cs="Tahoma"/>
              </w:rPr>
              <w:t xml:space="preserve">LV will </w:t>
            </w:r>
            <w:r w:rsidR="00CE1C41">
              <w:rPr>
                <w:rFonts w:ascii="Tahoma" w:hAnsi="Tahoma" w:cs="Tahoma"/>
              </w:rPr>
              <w:t xml:space="preserve">certainly </w:t>
            </w:r>
            <w:r w:rsidR="00FD4D6D">
              <w:rPr>
                <w:rFonts w:ascii="Tahoma" w:hAnsi="Tahoma" w:cs="Tahoma"/>
              </w:rPr>
              <w:t xml:space="preserve">take this into </w:t>
            </w:r>
            <w:r>
              <w:rPr>
                <w:rFonts w:ascii="Tahoma" w:hAnsi="Tahoma" w:cs="Tahoma"/>
              </w:rPr>
              <w:t>consider</w:t>
            </w:r>
            <w:r w:rsidR="00FD4D6D">
              <w:rPr>
                <w:rFonts w:ascii="Tahoma" w:hAnsi="Tahoma" w:cs="Tahoma"/>
              </w:rPr>
              <w:t>ation</w:t>
            </w:r>
            <w:r>
              <w:rPr>
                <w:rFonts w:ascii="Tahoma" w:hAnsi="Tahoma" w:cs="Tahoma"/>
              </w:rPr>
              <w:t xml:space="preserve"> in determining implementation dates for new procedures.</w:t>
            </w:r>
          </w:p>
        </w:tc>
      </w:tr>
      <w:tr w:rsidR="00F45892" w:rsidTr="000807EF">
        <w:tc>
          <w:tcPr>
            <w:tcW w:w="4819" w:type="dxa"/>
          </w:tcPr>
          <w:p w:rsidR="00F45892" w:rsidRDefault="00CE1C41" w:rsidP="00202152">
            <w:pPr>
              <w:spacing w:after="240"/>
              <w:rPr>
                <w:rFonts w:ascii="Tahoma" w:hAnsi="Tahoma" w:cs="Tahoma"/>
                <w:i/>
              </w:rPr>
            </w:pPr>
            <w:r>
              <w:rPr>
                <w:rFonts w:ascii="Tahoma" w:hAnsi="Tahoma" w:cs="Tahoma"/>
              </w:rPr>
              <w:t>N</w:t>
            </w:r>
            <w:r w:rsidR="00F45892">
              <w:rPr>
                <w:rFonts w:ascii="Tahoma" w:hAnsi="Tahoma" w:cs="Tahoma"/>
              </w:rPr>
              <w:t xml:space="preserve">ationally consistent implementation strategies </w:t>
            </w:r>
            <w:r>
              <w:rPr>
                <w:rFonts w:ascii="Tahoma" w:hAnsi="Tahoma" w:cs="Tahoma"/>
              </w:rPr>
              <w:t xml:space="preserve">should be adopted </w:t>
            </w:r>
            <w:r w:rsidR="00F45892">
              <w:rPr>
                <w:rFonts w:ascii="Tahoma" w:hAnsi="Tahoma" w:cs="Tahoma"/>
              </w:rPr>
              <w:t xml:space="preserve">in consultation with financial institutions. </w:t>
            </w:r>
          </w:p>
        </w:tc>
        <w:tc>
          <w:tcPr>
            <w:tcW w:w="4819" w:type="dxa"/>
          </w:tcPr>
          <w:p w:rsidR="00F45892" w:rsidRDefault="00F45892" w:rsidP="00202152">
            <w:pPr>
              <w:tabs>
                <w:tab w:val="left" w:pos="851"/>
              </w:tabs>
              <w:spacing w:after="240"/>
              <w:rPr>
                <w:rFonts w:ascii="Tahoma" w:hAnsi="Tahoma" w:cs="Tahoma"/>
                <w:i/>
              </w:rPr>
            </w:pPr>
            <w:r>
              <w:rPr>
                <w:rFonts w:ascii="Tahoma" w:hAnsi="Tahoma" w:cs="Tahoma"/>
              </w:rPr>
              <w:t>Land Victoria is working with other jurisdictions to make conveyancing requirements as nationally consistent as possible</w:t>
            </w:r>
            <w:r w:rsidR="0096516B">
              <w:rPr>
                <w:rFonts w:ascii="Tahoma" w:hAnsi="Tahoma" w:cs="Tahoma"/>
              </w:rPr>
              <w:t xml:space="preserve">.  </w:t>
            </w:r>
            <w:r>
              <w:rPr>
                <w:rFonts w:ascii="Tahoma" w:hAnsi="Tahoma" w:cs="Tahoma"/>
              </w:rPr>
              <w:t>Business practices and legislative requirements may mean complete national consistency is not possible.</w:t>
            </w:r>
          </w:p>
        </w:tc>
      </w:tr>
    </w:tbl>
    <w:p w:rsidR="001F1B74" w:rsidRDefault="001F1B74" w:rsidP="000807EF">
      <w:pPr>
        <w:tabs>
          <w:tab w:val="left" w:pos="851"/>
        </w:tabs>
        <w:spacing w:after="240" w:line="240" w:lineRule="auto"/>
        <w:ind w:left="567" w:hanging="567"/>
        <w:rPr>
          <w:rFonts w:ascii="Tahoma" w:hAnsi="Tahoma" w:cs="Tahoma"/>
          <w:i/>
        </w:rPr>
      </w:pPr>
    </w:p>
    <w:p w:rsidR="00FE0BF0" w:rsidRDefault="00FE0BF0" w:rsidP="003B22F1">
      <w:pPr>
        <w:keepNext/>
        <w:keepLines/>
        <w:spacing w:before="240" w:after="240" w:line="240" w:lineRule="auto"/>
        <w:rPr>
          <w:rFonts w:ascii="Tahoma" w:hAnsi="Tahoma" w:cs="Tahoma"/>
          <w:i/>
          <w:sz w:val="24"/>
          <w:szCs w:val="24"/>
          <w:u w:val="single"/>
        </w:rPr>
      </w:pPr>
      <w:bookmarkStart w:id="2" w:name="_Toc372902653"/>
      <w:r w:rsidRPr="00A40C4B">
        <w:rPr>
          <w:rFonts w:ascii="Tahoma" w:hAnsi="Tahoma" w:cs="Tahoma"/>
          <w:i/>
          <w:sz w:val="24"/>
          <w:szCs w:val="24"/>
          <w:u w:val="single"/>
        </w:rPr>
        <w:t>Applying electronic conveyancing requirements to paper conveyancing</w:t>
      </w:r>
      <w:bookmarkEnd w:id="2"/>
    </w:p>
    <w:p w:rsidR="009D781C" w:rsidRPr="00AD68CE" w:rsidRDefault="009D781C" w:rsidP="000807EF">
      <w:pPr>
        <w:spacing w:after="240" w:line="240" w:lineRule="auto"/>
        <w:rPr>
          <w:rFonts w:ascii="Tahoma" w:hAnsi="Tahoma" w:cs="Tahoma"/>
          <w:color w:val="6D5125" w:themeColor="accent5" w:themeShade="80"/>
        </w:rPr>
      </w:pPr>
      <w:r w:rsidRPr="00AD68CE">
        <w:rPr>
          <w:rFonts w:ascii="Tahoma" w:hAnsi="Tahoma" w:cs="Tahoma"/>
          <w:color w:val="6D5125" w:themeColor="accent5" w:themeShade="80"/>
        </w:rPr>
        <w:t>Questions included in Consultation Paper</w:t>
      </w:r>
    </w:p>
    <w:p w:rsidR="009D781C" w:rsidRPr="00AD68CE" w:rsidRDefault="009D781C" w:rsidP="000807EF">
      <w:pPr>
        <w:spacing w:after="240" w:line="240" w:lineRule="auto"/>
        <w:ind w:left="567" w:hanging="567"/>
        <w:rPr>
          <w:rFonts w:ascii="Tahoma" w:eastAsia="Times New Roman" w:hAnsi="Tahoma" w:cs="Tahoma"/>
          <w:color w:val="6D5125" w:themeColor="accent5" w:themeShade="80"/>
        </w:rPr>
      </w:pPr>
      <w:r w:rsidRPr="00AD68CE">
        <w:rPr>
          <w:rFonts w:ascii="Tahoma" w:eastAsia="Times New Roman" w:hAnsi="Tahoma" w:cs="Tahoma"/>
          <w:color w:val="6D5125" w:themeColor="accent5" w:themeShade="80"/>
        </w:rPr>
        <w:t>3.1:</w:t>
      </w:r>
      <w:r w:rsidRPr="00AD68CE">
        <w:rPr>
          <w:rFonts w:ascii="Tahoma" w:eastAsia="Times New Roman" w:hAnsi="Tahoma" w:cs="Tahoma"/>
          <w:color w:val="6D5125" w:themeColor="accent5" w:themeShade="80"/>
        </w:rPr>
        <w:tab/>
        <w:t>Should the requirements for paper and electronic conveyancing transactions be aligned?  If not, why not?</w:t>
      </w:r>
    </w:p>
    <w:p w:rsidR="008B4DF7" w:rsidRDefault="008B4DF7" w:rsidP="007670CC">
      <w:pPr>
        <w:tabs>
          <w:tab w:val="left" w:pos="851"/>
        </w:tabs>
        <w:spacing w:after="240" w:line="240" w:lineRule="auto"/>
        <w:ind w:left="567" w:hanging="567"/>
        <w:rPr>
          <w:rFonts w:ascii="Tahoma" w:eastAsia="Times New Roman" w:hAnsi="Tahoma" w:cs="Tahoma"/>
          <w:color w:val="6D5125" w:themeColor="accent5" w:themeShade="80"/>
          <w:sz w:val="20"/>
          <w:szCs w:val="20"/>
        </w:rPr>
      </w:pPr>
    </w:p>
    <w:p w:rsidR="008B4DF7" w:rsidRDefault="008B4DF7" w:rsidP="003F697B">
      <w:pPr>
        <w:keepNext/>
        <w:keepLines/>
        <w:tabs>
          <w:tab w:val="left" w:pos="851"/>
        </w:tabs>
        <w:spacing w:before="240" w:after="240" w:line="240" w:lineRule="auto"/>
        <w:rPr>
          <w:rFonts w:ascii="Tahoma" w:hAnsi="Tahoma" w:cs="Tahoma"/>
          <w:i/>
        </w:rPr>
      </w:pPr>
      <w:r w:rsidRPr="00D66DA3">
        <w:rPr>
          <w:rFonts w:ascii="Tahoma" w:hAnsi="Tahoma" w:cs="Tahoma"/>
          <w:i/>
        </w:rPr>
        <w:t xml:space="preserve">Overview of stakeholder response to proposed </w:t>
      </w:r>
      <w:r>
        <w:rPr>
          <w:rFonts w:ascii="Tahoma" w:hAnsi="Tahoma" w:cs="Tahoma"/>
          <w:i/>
        </w:rPr>
        <w:t xml:space="preserve">application of electronic conveyancing requirements to paper conveyancing. </w:t>
      </w:r>
    </w:p>
    <w:p w:rsidR="008B4DF7" w:rsidRDefault="00F45892" w:rsidP="00DF4230">
      <w:pPr>
        <w:numPr>
          <w:ilvl w:val="0"/>
          <w:numId w:val="3"/>
        </w:numPr>
        <w:tabs>
          <w:tab w:val="clear" w:pos="360"/>
        </w:tabs>
        <w:spacing w:after="240" w:line="240" w:lineRule="auto"/>
        <w:ind w:left="567" w:hanging="567"/>
        <w:rPr>
          <w:rFonts w:ascii="Tahoma" w:hAnsi="Tahoma" w:cs="Tahoma"/>
        </w:rPr>
      </w:pPr>
      <w:r>
        <w:rPr>
          <w:rFonts w:ascii="Tahoma" w:eastAsia="Calibri" w:hAnsi="Tahoma" w:cs="Tahoma"/>
        </w:rPr>
        <w:t>Ten</w:t>
      </w:r>
      <w:r w:rsidR="008B4DF7">
        <w:rPr>
          <w:rFonts w:ascii="Tahoma" w:eastAsia="Calibri" w:hAnsi="Tahoma" w:cs="Tahoma"/>
        </w:rPr>
        <w:t xml:space="preserve"> s</w:t>
      </w:r>
      <w:r w:rsidR="008B4DF7" w:rsidRPr="00900F26">
        <w:rPr>
          <w:rFonts w:ascii="Tahoma" w:eastAsia="Calibri" w:hAnsi="Tahoma" w:cs="Tahoma"/>
        </w:rPr>
        <w:t xml:space="preserve">ubmissions </w:t>
      </w:r>
      <w:r w:rsidR="008B4DF7" w:rsidRPr="00900F26">
        <w:rPr>
          <w:rFonts w:ascii="Tahoma" w:hAnsi="Tahoma" w:cs="Tahoma"/>
        </w:rPr>
        <w:t xml:space="preserve">supported the </w:t>
      </w:r>
      <w:r w:rsidR="00A0384F">
        <w:rPr>
          <w:rFonts w:ascii="Tahoma" w:hAnsi="Tahoma" w:cs="Tahoma"/>
        </w:rPr>
        <w:t>proposals</w:t>
      </w:r>
      <w:r w:rsidR="00CE1C41">
        <w:rPr>
          <w:rFonts w:ascii="Tahoma" w:hAnsi="Tahoma" w:cs="Tahoma"/>
        </w:rPr>
        <w:t>.  F</w:t>
      </w:r>
      <w:r>
        <w:rPr>
          <w:rFonts w:ascii="Tahoma" w:hAnsi="Tahoma" w:cs="Tahoma"/>
        </w:rPr>
        <w:t>ive</w:t>
      </w:r>
      <w:r w:rsidR="008B4DF7">
        <w:rPr>
          <w:rFonts w:ascii="Tahoma" w:hAnsi="Tahoma" w:cs="Tahoma"/>
        </w:rPr>
        <w:t xml:space="preserve"> </w:t>
      </w:r>
      <w:r w:rsidR="00CE463E">
        <w:rPr>
          <w:rFonts w:ascii="Tahoma" w:hAnsi="Tahoma" w:cs="Tahoma"/>
        </w:rPr>
        <w:t xml:space="preserve">of these </w:t>
      </w:r>
      <w:r w:rsidR="008B4DF7">
        <w:rPr>
          <w:rFonts w:ascii="Tahoma" w:hAnsi="Tahoma" w:cs="Tahoma"/>
        </w:rPr>
        <w:t xml:space="preserve">submissions </w:t>
      </w:r>
      <w:r w:rsidR="00CE463E">
        <w:rPr>
          <w:rFonts w:ascii="Tahoma" w:hAnsi="Tahoma" w:cs="Tahoma"/>
        </w:rPr>
        <w:t>r</w:t>
      </w:r>
      <w:r w:rsidR="00A0384F">
        <w:rPr>
          <w:rFonts w:ascii="Tahoma" w:hAnsi="Tahoma" w:cs="Tahoma"/>
        </w:rPr>
        <w:t xml:space="preserve">aised </w:t>
      </w:r>
      <w:r w:rsidR="008B4DF7">
        <w:rPr>
          <w:rFonts w:ascii="Tahoma" w:hAnsi="Tahoma" w:cs="Tahoma"/>
        </w:rPr>
        <w:t xml:space="preserve">issues </w:t>
      </w:r>
      <w:r w:rsidR="004577B6">
        <w:rPr>
          <w:rFonts w:ascii="Tahoma" w:hAnsi="Tahoma" w:cs="Tahoma"/>
        </w:rPr>
        <w:t xml:space="preserve">relating to </w:t>
      </w:r>
      <w:r w:rsidR="008B4DF7">
        <w:rPr>
          <w:rFonts w:ascii="Tahoma" w:hAnsi="Tahoma" w:cs="Tahoma"/>
        </w:rPr>
        <w:t xml:space="preserve">how this would </w:t>
      </w:r>
      <w:r w:rsidR="00CE1C41">
        <w:rPr>
          <w:rFonts w:ascii="Tahoma" w:hAnsi="Tahoma" w:cs="Tahoma"/>
        </w:rPr>
        <w:t xml:space="preserve">be </w:t>
      </w:r>
      <w:r w:rsidR="008B4DF7" w:rsidRPr="00900F26">
        <w:rPr>
          <w:rFonts w:ascii="Tahoma" w:hAnsi="Tahoma" w:cs="Tahoma"/>
        </w:rPr>
        <w:t>implemented</w:t>
      </w:r>
      <w:r w:rsidR="0096516B">
        <w:rPr>
          <w:rFonts w:ascii="Tahoma" w:hAnsi="Tahoma" w:cs="Tahoma"/>
        </w:rPr>
        <w:t xml:space="preserve">.  </w:t>
      </w:r>
      <w:r>
        <w:rPr>
          <w:rFonts w:ascii="Tahoma" w:hAnsi="Tahoma" w:cs="Tahoma"/>
        </w:rPr>
        <w:t>Two</w:t>
      </w:r>
      <w:r w:rsidR="008B4DF7">
        <w:rPr>
          <w:rFonts w:ascii="Tahoma" w:hAnsi="Tahoma" w:cs="Tahoma"/>
        </w:rPr>
        <w:t xml:space="preserve"> submissions made no comment on this aspect of the </w:t>
      </w:r>
      <w:r w:rsidR="00B70976">
        <w:rPr>
          <w:rFonts w:ascii="Tahoma" w:hAnsi="Tahoma" w:cs="Tahoma"/>
        </w:rPr>
        <w:t>Consultation Paper</w:t>
      </w:r>
      <w:r w:rsidR="008B4DF7">
        <w:rPr>
          <w:rFonts w:ascii="Tahoma" w:hAnsi="Tahoma" w:cs="Tahoma"/>
        </w:rPr>
        <w:t xml:space="preserve">. </w:t>
      </w:r>
      <w:r w:rsidR="008B4DF7" w:rsidRPr="00900F26">
        <w:rPr>
          <w:rFonts w:ascii="Tahoma" w:hAnsi="Tahoma" w:cs="Tahoma"/>
        </w:rPr>
        <w:t xml:space="preserve">  </w:t>
      </w:r>
    </w:p>
    <w:p w:rsidR="008B4DF7" w:rsidRDefault="008B4DF7" w:rsidP="008B4DF7">
      <w:pPr>
        <w:tabs>
          <w:tab w:val="left" w:pos="851"/>
        </w:tabs>
        <w:spacing w:after="240" w:line="240" w:lineRule="auto"/>
        <w:ind w:left="567" w:hanging="567"/>
        <w:rPr>
          <w:rFonts w:ascii="Tahoma" w:hAnsi="Tahoma" w:cs="Tahoma"/>
        </w:rPr>
      </w:pPr>
    </w:p>
    <w:p w:rsidR="008B4DF7" w:rsidRPr="00570BBC" w:rsidRDefault="008B4DF7" w:rsidP="003F697B">
      <w:pPr>
        <w:keepNext/>
        <w:keepLines/>
        <w:tabs>
          <w:tab w:val="left" w:pos="851"/>
        </w:tabs>
        <w:spacing w:before="240" w:after="240" w:line="240" w:lineRule="auto"/>
        <w:rPr>
          <w:rFonts w:ascii="Tahoma" w:hAnsi="Tahoma" w:cs="Tahoma"/>
          <w:i/>
        </w:rPr>
      </w:pPr>
      <w:r w:rsidRPr="00570BBC">
        <w:rPr>
          <w:rFonts w:ascii="Tahoma" w:hAnsi="Tahoma" w:cs="Tahoma"/>
          <w:i/>
        </w:rPr>
        <w:t>Overview of Land Victoria response to stakeholders</w:t>
      </w:r>
    </w:p>
    <w:p w:rsidR="008B4DF7" w:rsidRPr="00570BBC" w:rsidRDefault="008B4DF7" w:rsidP="008B4DF7">
      <w:pPr>
        <w:numPr>
          <w:ilvl w:val="0"/>
          <w:numId w:val="3"/>
        </w:numPr>
        <w:tabs>
          <w:tab w:val="clear" w:pos="360"/>
        </w:tabs>
        <w:spacing w:after="240" w:line="240" w:lineRule="auto"/>
        <w:ind w:left="567" w:hanging="567"/>
        <w:rPr>
          <w:rFonts w:ascii="Tahoma" w:hAnsi="Tahoma" w:cs="Tahoma"/>
        </w:rPr>
      </w:pPr>
      <w:r w:rsidRPr="00570BBC">
        <w:rPr>
          <w:rFonts w:ascii="Tahoma" w:hAnsi="Tahoma" w:cs="Tahoma"/>
        </w:rPr>
        <w:t xml:space="preserve">Land Victoria intends to proceed with </w:t>
      </w:r>
      <w:r w:rsidR="00A0384F">
        <w:rPr>
          <w:rFonts w:ascii="Tahoma" w:hAnsi="Tahoma" w:cs="Tahoma"/>
        </w:rPr>
        <w:t xml:space="preserve">applying electronic conveyancing requirements to paper conveyancing </w:t>
      </w:r>
      <w:r>
        <w:rPr>
          <w:rFonts w:ascii="Tahoma" w:hAnsi="Tahoma" w:cs="Tahoma"/>
        </w:rPr>
        <w:t xml:space="preserve">and will take into account the implementation issues raised </w:t>
      </w:r>
      <w:r w:rsidR="004577B6">
        <w:rPr>
          <w:rFonts w:ascii="Tahoma" w:hAnsi="Tahoma" w:cs="Tahoma"/>
        </w:rPr>
        <w:t xml:space="preserve">in </w:t>
      </w:r>
      <w:r>
        <w:rPr>
          <w:rFonts w:ascii="Tahoma" w:hAnsi="Tahoma" w:cs="Tahoma"/>
        </w:rPr>
        <w:t xml:space="preserve">submissions. </w:t>
      </w:r>
      <w:r w:rsidRPr="00570BBC">
        <w:rPr>
          <w:rFonts w:ascii="Tahoma" w:hAnsi="Tahoma" w:cs="Tahoma"/>
        </w:rPr>
        <w:t xml:space="preserve"> </w:t>
      </w:r>
    </w:p>
    <w:p w:rsidR="008B4DF7" w:rsidRPr="00DD6203" w:rsidRDefault="008B4DF7" w:rsidP="007670CC">
      <w:pPr>
        <w:tabs>
          <w:tab w:val="left" w:pos="851"/>
        </w:tabs>
        <w:spacing w:after="240" w:line="240" w:lineRule="auto"/>
        <w:ind w:left="567" w:hanging="567"/>
        <w:rPr>
          <w:rFonts w:ascii="Tahoma" w:eastAsia="Times New Roman" w:hAnsi="Tahoma" w:cs="Tahoma"/>
          <w:color w:val="6D5125" w:themeColor="accent5" w:themeShade="80"/>
          <w:sz w:val="20"/>
          <w:szCs w:val="20"/>
        </w:rPr>
      </w:pPr>
    </w:p>
    <w:p w:rsidR="00084212" w:rsidRDefault="00084212" w:rsidP="003F697B">
      <w:pPr>
        <w:keepNext/>
        <w:keepLines/>
        <w:tabs>
          <w:tab w:val="left" w:pos="851"/>
        </w:tabs>
        <w:spacing w:before="240" w:after="240" w:line="240" w:lineRule="auto"/>
        <w:rPr>
          <w:rFonts w:ascii="Tahoma" w:hAnsi="Tahoma" w:cs="Tahoma"/>
          <w:i/>
        </w:rPr>
      </w:pPr>
      <w:r w:rsidRPr="00570BBC">
        <w:rPr>
          <w:rFonts w:ascii="Tahoma" w:hAnsi="Tahoma" w:cs="Tahoma"/>
          <w:i/>
        </w:rPr>
        <w:t>Key issues raised by stakeholders and Land Victoria’s response to these issues</w:t>
      </w:r>
    </w:p>
    <w:tbl>
      <w:tblPr>
        <w:tblStyle w:val="TableGrid"/>
        <w:tblW w:w="9638" w:type="dxa"/>
        <w:tblLook w:val="04A0" w:firstRow="1" w:lastRow="0" w:firstColumn="1" w:lastColumn="0" w:noHBand="0" w:noVBand="1"/>
      </w:tblPr>
      <w:tblGrid>
        <w:gridCol w:w="4819"/>
        <w:gridCol w:w="4819"/>
      </w:tblGrid>
      <w:tr w:rsidR="000C4909" w:rsidRPr="00DF4230" w:rsidTr="000807EF">
        <w:trPr>
          <w:tblHeader/>
        </w:trPr>
        <w:tc>
          <w:tcPr>
            <w:tcW w:w="4819" w:type="dxa"/>
            <w:shd w:val="clear" w:color="auto" w:fill="D9D9D9" w:themeFill="background1" w:themeFillShade="D9"/>
            <w:vAlign w:val="center"/>
          </w:tcPr>
          <w:p w:rsidR="000C4909" w:rsidRPr="00DF4230" w:rsidRDefault="000C4909" w:rsidP="00DF4230">
            <w:pPr>
              <w:spacing w:before="60" w:after="60"/>
              <w:rPr>
                <w:rFonts w:ascii="Tahoma" w:hAnsi="Tahoma" w:cs="Tahoma"/>
                <w:b/>
              </w:rPr>
            </w:pPr>
            <w:r w:rsidRPr="00DF4230">
              <w:rPr>
                <w:rFonts w:ascii="Tahoma" w:hAnsi="Tahoma" w:cs="Tahoma"/>
                <w:b/>
              </w:rPr>
              <w:t>Issue</w:t>
            </w:r>
          </w:p>
        </w:tc>
        <w:tc>
          <w:tcPr>
            <w:tcW w:w="4819" w:type="dxa"/>
            <w:shd w:val="clear" w:color="auto" w:fill="D9D9D9" w:themeFill="background1" w:themeFillShade="D9"/>
            <w:vAlign w:val="center"/>
          </w:tcPr>
          <w:p w:rsidR="000C4909" w:rsidRPr="00DF4230" w:rsidRDefault="000C4909" w:rsidP="00DF4230">
            <w:pPr>
              <w:spacing w:before="60" w:after="60"/>
              <w:rPr>
                <w:rFonts w:ascii="Tahoma" w:hAnsi="Tahoma" w:cs="Tahoma"/>
                <w:b/>
              </w:rPr>
            </w:pPr>
            <w:r w:rsidRPr="00DF4230">
              <w:rPr>
                <w:rFonts w:ascii="Tahoma" w:hAnsi="Tahoma" w:cs="Tahoma"/>
                <w:b/>
              </w:rPr>
              <w:t>Land Victoria response</w:t>
            </w:r>
          </w:p>
        </w:tc>
      </w:tr>
      <w:tr w:rsidR="000C4909" w:rsidTr="000807EF">
        <w:tc>
          <w:tcPr>
            <w:tcW w:w="4819" w:type="dxa"/>
          </w:tcPr>
          <w:p w:rsidR="000C4909" w:rsidRPr="008F6E10" w:rsidRDefault="00F328E0" w:rsidP="00202152">
            <w:pPr>
              <w:spacing w:after="240"/>
              <w:rPr>
                <w:rFonts w:ascii="Tahoma" w:hAnsi="Tahoma" w:cs="Tahoma"/>
              </w:rPr>
            </w:pPr>
            <w:r>
              <w:rPr>
                <w:rFonts w:ascii="Tahoma" w:hAnsi="Tahoma" w:cs="Tahoma"/>
              </w:rPr>
              <w:t>U</w:t>
            </w:r>
            <w:r w:rsidR="000C4909">
              <w:rPr>
                <w:rFonts w:ascii="Tahoma" w:hAnsi="Tahoma" w:cs="Tahoma"/>
              </w:rPr>
              <w:t xml:space="preserve">niform procedures for paper and electronic conveyancing </w:t>
            </w:r>
            <w:r>
              <w:rPr>
                <w:rFonts w:ascii="Tahoma" w:hAnsi="Tahoma" w:cs="Tahoma"/>
              </w:rPr>
              <w:t>should be</w:t>
            </w:r>
            <w:r w:rsidR="000C4909" w:rsidRPr="008F6E10">
              <w:rPr>
                <w:rFonts w:ascii="Tahoma" w:hAnsi="Tahoma" w:cs="Tahoma"/>
              </w:rPr>
              <w:t xml:space="preserve"> nationally uniform</w:t>
            </w:r>
            <w:r>
              <w:rPr>
                <w:rFonts w:ascii="Tahoma" w:hAnsi="Tahoma" w:cs="Tahoma"/>
              </w:rPr>
              <w:t>.</w:t>
            </w:r>
          </w:p>
        </w:tc>
        <w:tc>
          <w:tcPr>
            <w:tcW w:w="4819" w:type="dxa"/>
          </w:tcPr>
          <w:p w:rsidR="00AC02DE" w:rsidRDefault="000C4909" w:rsidP="00202152">
            <w:pPr>
              <w:spacing w:after="240"/>
              <w:rPr>
                <w:rFonts w:ascii="Tahoma" w:hAnsi="Tahoma" w:cs="Tahoma"/>
              </w:rPr>
            </w:pPr>
            <w:r>
              <w:rPr>
                <w:rFonts w:ascii="Tahoma" w:hAnsi="Tahoma" w:cs="Tahoma"/>
              </w:rPr>
              <w:t>Land Victoria is working with other jurisdictions to make conveyancing requirements as nationally consistent as possible</w:t>
            </w:r>
            <w:r w:rsidR="0096516B">
              <w:rPr>
                <w:rFonts w:ascii="Tahoma" w:hAnsi="Tahoma" w:cs="Tahoma"/>
              </w:rPr>
              <w:t xml:space="preserve">.  </w:t>
            </w:r>
            <w:r>
              <w:rPr>
                <w:rFonts w:ascii="Tahoma" w:hAnsi="Tahoma" w:cs="Tahoma"/>
              </w:rPr>
              <w:t>Business practices and legislative requirements may mean complete national consistency is not possible.</w:t>
            </w:r>
          </w:p>
        </w:tc>
      </w:tr>
      <w:tr w:rsidR="000C4909" w:rsidTr="000807EF">
        <w:tc>
          <w:tcPr>
            <w:tcW w:w="4819" w:type="dxa"/>
          </w:tcPr>
          <w:p w:rsidR="000C4909" w:rsidRDefault="0096516B" w:rsidP="00202152">
            <w:pPr>
              <w:spacing w:after="240"/>
              <w:rPr>
                <w:rFonts w:ascii="Tahoma" w:hAnsi="Tahoma" w:cs="Tahoma"/>
              </w:rPr>
            </w:pPr>
            <w:r>
              <w:rPr>
                <w:rFonts w:ascii="Tahoma" w:hAnsi="Tahoma" w:cs="Tahoma"/>
              </w:rPr>
              <w:t>Requirements (especially verification of identity requirements</w:t>
            </w:r>
            <w:r w:rsidRPr="000C4909">
              <w:rPr>
                <w:rFonts w:ascii="Tahoma" w:hAnsi="Tahoma" w:cs="Tahoma"/>
              </w:rPr>
              <w:t xml:space="preserve">) </w:t>
            </w:r>
            <w:r>
              <w:rPr>
                <w:rFonts w:ascii="Tahoma" w:hAnsi="Tahoma" w:cs="Tahoma"/>
              </w:rPr>
              <w:t xml:space="preserve">need to ensure that </w:t>
            </w:r>
            <w:r w:rsidRPr="000C4909">
              <w:rPr>
                <w:rFonts w:ascii="Tahoma" w:hAnsi="Tahoma" w:cs="Tahoma"/>
              </w:rPr>
              <w:t>non–A</w:t>
            </w:r>
            <w:r>
              <w:rPr>
                <w:rFonts w:ascii="Tahoma" w:hAnsi="Tahoma" w:cs="Tahoma"/>
              </w:rPr>
              <w:t xml:space="preserve">uthorised </w:t>
            </w:r>
            <w:r w:rsidRPr="000C4909">
              <w:rPr>
                <w:rFonts w:ascii="Tahoma" w:hAnsi="Tahoma" w:cs="Tahoma"/>
              </w:rPr>
              <w:t>D</w:t>
            </w:r>
            <w:r>
              <w:rPr>
                <w:rFonts w:ascii="Tahoma" w:hAnsi="Tahoma" w:cs="Tahoma"/>
              </w:rPr>
              <w:t xml:space="preserve">eposit </w:t>
            </w:r>
            <w:r w:rsidRPr="000C4909">
              <w:rPr>
                <w:rFonts w:ascii="Tahoma" w:hAnsi="Tahoma" w:cs="Tahoma"/>
              </w:rPr>
              <w:t>I</w:t>
            </w:r>
            <w:r>
              <w:rPr>
                <w:rFonts w:ascii="Tahoma" w:hAnsi="Tahoma" w:cs="Tahoma"/>
              </w:rPr>
              <w:t>nstitution</w:t>
            </w:r>
            <w:r w:rsidRPr="000C4909">
              <w:rPr>
                <w:rFonts w:ascii="Tahoma" w:hAnsi="Tahoma" w:cs="Tahoma"/>
              </w:rPr>
              <w:t xml:space="preserve"> </w:t>
            </w:r>
            <w:r w:rsidR="00C14567">
              <w:rPr>
                <w:rFonts w:ascii="Tahoma" w:hAnsi="Tahoma" w:cs="Tahoma"/>
              </w:rPr>
              <w:t xml:space="preserve">(ADI) </w:t>
            </w:r>
            <w:r w:rsidRPr="000C4909">
              <w:rPr>
                <w:rFonts w:ascii="Tahoma" w:hAnsi="Tahoma" w:cs="Tahoma"/>
              </w:rPr>
              <w:t>lenders and lenders who do not have a large branch network</w:t>
            </w:r>
            <w:r>
              <w:rPr>
                <w:rFonts w:ascii="Tahoma" w:hAnsi="Tahoma" w:cs="Tahoma"/>
              </w:rPr>
              <w:t xml:space="preserve"> are not disadvantage.</w:t>
            </w:r>
          </w:p>
        </w:tc>
        <w:tc>
          <w:tcPr>
            <w:tcW w:w="4819" w:type="dxa"/>
          </w:tcPr>
          <w:p w:rsidR="000C4909" w:rsidRDefault="000C4909" w:rsidP="00C14567">
            <w:pPr>
              <w:spacing w:after="240"/>
              <w:rPr>
                <w:rFonts w:ascii="Tahoma" w:hAnsi="Tahoma" w:cs="Tahoma"/>
              </w:rPr>
            </w:pPr>
            <w:r>
              <w:rPr>
                <w:rFonts w:ascii="Tahoma" w:hAnsi="Tahoma" w:cs="Tahoma"/>
              </w:rPr>
              <w:t>Non</w:t>
            </w:r>
            <w:r w:rsidR="00C14567">
              <w:rPr>
                <w:rFonts w:ascii="Tahoma" w:hAnsi="Tahoma" w:cs="Tahoma"/>
              </w:rPr>
              <w:t xml:space="preserve"> ADI</w:t>
            </w:r>
            <w:r w:rsidR="004E2E4A">
              <w:rPr>
                <w:rFonts w:ascii="Tahoma" w:hAnsi="Tahoma" w:cs="Tahoma"/>
              </w:rPr>
              <w:t xml:space="preserve"> </w:t>
            </w:r>
            <w:r>
              <w:rPr>
                <w:rFonts w:ascii="Tahoma" w:hAnsi="Tahoma" w:cs="Tahoma"/>
              </w:rPr>
              <w:t xml:space="preserve">lenders and lenders without a branch network will have the option of becoming a subscriber to an electronic lodgement network. </w:t>
            </w:r>
            <w:r w:rsidR="00F328E0">
              <w:rPr>
                <w:rFonts w:ascii="Tahoma" w:hAnsi="Tahoma" w:cs="Tahoma"/>
              </w:rPr>
              <w:t xml:space="preserve"> Once a subscriber</w:t>
            </w:r>
            <w:r w:rsidR="0060108D">
              <w:rPr>
                <w:rFonts w:ascii="Tahoma" w:hAnsi="Tahoma" w:cs="Tahoma"/>
              </w:rPr>
              <w:t>,</w:t>
            </w:r>
            <w:r w:rsidR="00F328E0">
              <w:rPr>
                <w:rFonts w:ascii="Tahoma" w:hAnsi="Tahoma" w:cs="Tahoma"/>
              </w:rPr>
              <w:t xml:space="preserve"> they will be able to undertake verification of identity.  Agents may also be used.</w:t>
            </w:r>
          </w:p>
        </w:tc>
      </w:tr>
      <w:tr w:rsidR="000C4909" w:rsidTr="000807EF">
        <w:tc>
          <w:tcPr>
            <w:tcW w:w="4819" w:type="dxa"/>
          </w:tcPr>
          <w:p w:rsidR="000C4909" w:rsidRDefault="00F328E0" w:rsidP="00202152">
            <w:pPr>
              <w:spacing w:after="240"/>
              <w:rPr>
                <w:rFonts w:ascii="Tahoma" w:hAnsi="Tahoma" w:cs="Tahoma"/>
              </w:rPr>
            </w:pPr>
            <w:r>
              <w:rPr>
                <w:rFonts w:ascii="Tahoma" w:hAnsi="Tahoma" w:cs="Tahoma"/>
              </w:rPr>
              <w:t xml:space="preserve">The requirements </w:t>
            </w:r>
            <w:r w:rsidR="000C4909">
              <w:rPr>
                <w:rFonts w:ascii="Tahoma" w:hAnsi="Tahoma" w:cs="Tahoma"/>
              </w:rPr>
              <w:t>may lead to greater conveyancing costs</w:t>
            </w:r>
            <w:r>
              <w:rPr>
                <w:rFonts w:ascii="Tahoma" w:hAnsi="Tahoma" w:cs="Tahoma"/>
              </w:rPr>
              <w:t>,</w:t>
            </w:r>
            <w:r w:rsidR="000C4909">
              <w:rPr>
                <w:rFonts w:ascii="Tahoma" w:hAnsi="Tahoma" w:cs="Tahoma"/>
              </w:rPr>
              <w:t xml:space="preserve"> which may be prohibitive for smaller firms. </w:t>
            </w:r>
          </w:p>
        </w:tc>
        <w:tc>
          <w:tcPr>
            <w:tcW w:w="4819" w:type="dxa"/>
          </w:tcPr>
          <w:p w:rsidR="000C4909" w:rsidRDefault="000C4909" w:rsidP="00202152">
            <w:pPr>
              <w:spacing w:after="240"/>
              <w:rPr>
                <w:rFonts w:ascii="Tahoma" w:hAnsi="Tahoma" w:cs="Tahoma"/>
              </w:rPr>
            </w:pPr>
            <w:r>
              <w:rPr>
                <w:rFonts w:ascii="Tahoma" w:hAnsi="Tahoma" w:cs="Tahoma"/>
              </w:rPr>
              <w:t>The requirements are designed to reduce costs by making procedures consistent across the industry</w:t>
            </w:r>
            <w:r w:rsidR="0096516B">
              <w:rPr>
                <w:rFonts w:ascii="Tahoma" w:hAnsi="Tahoma" w:cs="Tahoma"/>
              </w:rPr>
              <w:t xml:space="preserve">.  </w:t>
            </w:r>
            <w:r>
              <w:rPr>
                <w:rFonts w:ascii="Tahoma" w:hAnsi="Tahoma" w:cs="Tahoma"/>
              </w:rPr>
              <w:t xml:space="preserve">Land Victoria’s view is that prudent conveyancing and mortgage practices should already entail </w:t>
            </w:r>
            <w:r w:rsidR="00323F30">
              <w:rPr>
                <w:rFonts w:ascii="Tahoma" w:hAnsi="Tahoma" w:cs="Tahoma"/>
              </w:rPr>
              <w:t xml:space="preserve">taking reasonable steps to </w:t>
            </w:r>
            <w:r>
              <w:rPr>
                <w:rFonts w:ascii="Tahoma" w:hAnsi="Tahoma" w:cs="Tahoma"/>
              </w:rPr>
              <w:t>verif</w:t>
            </w:r>
            <w:r w:rsidR="004E2E4A">
              <w:rPr>
                <w:rFonts w:ascii="Tahoma" w:hAnsi="Tahoma" w:cs="Tahoma"/>
              </w:rPr>
              <w:t xml:space="preserve">y the </w:t>
            </w:r>
            <w:r>
              <w:rPr>
                <w:rFonts w:ascii="Tahoma" w:hAnsi="Tahoma" w:cs="Tahoma"/>
              </w:rPr>
              <w:t>identity of parties.</w:t>
            </w:r>
          </w:p>
        </w:tc>
      </w:tr>
      <w:tr w:rsidR="000C4909" w:rsidTr="000807EF">
        <w:tc>
          <w:tcPr>
            <w:tcW w:w="4819" w:type="dxa"/>
          </w:tcPr>
          <w:p w:rsidR="000C4909" w:rsidRDefault="00F328E0" w:rsidP="00202152">
            <w:pPr>
              <w:spacing w:after="240"/>
              <w:rPr>
                <w:rFonts w:ascii="Tahoma" w:hAnsi="Tahoma" w:cs="Tahoma"/>
              </w:rPr>
            </w:pPr>
            <w:r>
              <w:rPr>
                <w:rFonts w:ascii="Tahoma" w:hAnsi="Tahoma" w:cs="Tahoma"/>
              </w:rPr>
              <w:t>T</w:t>
            </w:r>
            <w:r w:rsidR="000C4909">
              <w:rPr>
                <w:rFonts w:ascii="Tahoma" w:hAnsi="Tahoma" w:cs="Tahoma"/>
              </w:rPr>
              <w:t xml:space="preserve">imelines for alignment </w:t>
            </w:r>
            <w:r>
              <w:rPr>
                <w:rFonts w:ascii="Tahoma" w:hAnsi="Tahoma" w:cs="Tahoma"/>
              </w:rPr>
              <w:t>may not be</w:t>
            </w:r>
            <w:r w:rsidR="000C4909">
              <w:rPr>
                <w:rFonts w:ascii="Tahoma" w:hAnsi="Tahoma" w:cs="Tahoma"/>
              </w:rPr>
              <w:t xml:space="preserve"> feasible. </w:t>
            </w:r>
          </w:p>
        </w:tc>
        <w:tc>
          <w:tcPr>
            <w:tcW w:w="4819" w:type="dxa"/>
          </w:tcPr>
          <w:p w:rsidR="000C4909" w:rsidRDefault="000C4909" w:rsidP="00202152">
            <w:pPr>
              <w:spacing w:after="240"/>
              <w:rPr>
                <w:rFonts w:ascii="Tahoma" w:hAnsi="Tahoma" w:cs="Tahoma"/>
              </w:rPr>
            </w:pPr>
            <w:r>
              <w:rPr>
                <w:rFonts w:ascii="Tahoma" w:hAnsi="Tahoma" w:cs="Tahoma"/>
              </w:rPr>
              <w:t xml:space="preserve">Land Victoria will provide appropriate lead time before any new requirements become mandatory. </w:t>
            </w:r>
          </w:p>
        </w:tc>
      </w:tr>
      <w:tr w:rsidR="000C4909" w:rsidTr="000807EF">
        <w:tc>
          <w:tcPr>
            <w:tcW w:w="4819" w:type="dxa"/>
          </w:tcPr>
          <w:p w:rsidR="000C4909" w:rsidRDefault="00F328E0" w:rsidP="00202152">
            <w:pPr>
              <w:spacing w:after="240"/>
              <w:rPr>
                <w:rFonts w:ascii="Tahoma" w:hAnsi="Tahoma" w:cs="Tahoma"/>
              </w:rPr>
            </w:pPr>
            <w:r>
              <w:rPr>
                <w:rFonts w:ascii="Tahoma" w:hAnsi="Tahoma" w:cs="Tahoma"/>
              </w:rPr>
              <w:t>It</w:t>
            </w:r>
            <w:r w:rsidR="000C4909">
              <w:rPr>
                <w:rFonts w:ascii="Tahoma" w:hAnsi="Tahoma" w:cs="Tahoma"/>
              </w:rPr>
              <w:t xml:space="preserve"> should be </w:t>
            </w:r>
            <w:r>
              <w:rPr>
                <w:rFonts w:ascii="Tahoma" w:hAnsi="Tahoma" w:cs="Tahoma"/>
              </w:rPr>
              <w:t>possible to have electronic mortgages</w:t>
            </w:r>
            <w:r w:rsidR="000C4909">
              <w:rPr>
                <w:rFonts w:ascii="Tahoma" w:hAnsi="Tahoma" w:cs="Tahoma"/>
              </w:rPr>
              <w:t xml:space="preserve"> </w:t>
            </w:r>
            <w:r w:rsidR="0096516B">
              <w:rPr>
                <w:rFonts w:ascii="Tahoma" w:hAnsi="Tahoma" w:cs="Tahoma"/>
              </w:rPr>
              <w:t>outside the</w:t>
            </w:r>
            <w:r w:rsidR="000C4909">
              <w:rPr>
                <w:rFonts w:ascii="Tahoma" w:hAnsi="Tahoma" w:cs="Tahoma"/>
              </w:rPr>
              <w:t xml:space="preserve"> established electronic conveyancing system. </w:t>
            </w:r>
          </w:p>
        </w:tc>
        <w:tc>
          <w:tcPr>
            <w:tcW w:w="4819" w:type="dxa"/>
          </w:tcPr>
          <w:p w:rsidR="000C4909" w:rsidRDefault="000C4909" w:rsidP="003F697B">
            <w:pPr>
              <w:spacing w:after="240"/>
              <w:rPr>
                <w:rFonts w:ascii="Tahoma" w:hAnsi="Tahoma" w:cs="Tahoma"/>
              </w:rPr>
            </w:pPr>
            <w:r>
              <w:rPr>
                <w:rFonts w:ascii="Tahoma" w:hAnsi="Tahoma" w:cs="Tahoma"/>
              </w:rPr>
              <w:t>Land Victoria supports amending legislation to facilitate electronic mortgages</w:t>
            </w:r>
            <w:r w:rsidR="0096516B">
              <w:rPr>
                <w:rFonts w:ascii="Tahoma" w:hAnsi="Tahoma" w:cs="Tahoma"/>
              </w:rPr>
              <w:t xml:space="preserve">.  </w:t>
            </w:r>
            <w:r w:rsidR="00323F30">
              <w:rPr>
                <w:rFonts w:ascii="Tahoma" w:hAnsi="Tahoma" w:cs="Tahoma"/>
              </w:rPr>
              <w:t xml:space="preserve">It will be the </w:t>
            </w:r>
            <w:r w:rsidR="0096516B">
              <w:rPr>
                <w:rFonts w:ascii="Tahoma" w:hAnsi="Tahoma" w:cs="Tahoma"/>
              </w:rPr>
              <w:t xml:space="preserve">responsibility </w:t>
            </w:r>
            <w:r w:rsidR="003F697B">
              <w:rPr>
                <w:rFonts w:ascii="Tahoma" w:hAnsi="Tahoma" w:cs="Tahoma"/>
              </w:rPr>
              <w:t xml:space="preserve">of </w:t>
            </w:r>
            <w:r>
              <w:rPr>
                <w:rFonts w:ascii="Tahoma" w:hAnsi="Tahoma" w:cs="Tahoma"/>
              </w:rPr>
              <w:t>each mortgagee to assess whether a</w:t>
            </w:r>
            <w:r w:rsidR="00323F30">
              <w:rPr>
                <w:rFonts w:ascii="Tahoma" w:hAnsi="Tahoma" w:cs="Tahoma"/>
              </w:rPr>
              <w:t>n electronic</w:t>
            </w:r>
            <w:r>
              <w:rPr>
                <w:rFonts w:ascii="Tahoma" w:hAnsi="Tahoma" w:cs="Tahoma"/>
              </w:rPr>
              <w:t xml:space="preserve"> mortgage is valid or not</w:t>
            </w:r>
            <w:r w:rsidR="0096516B">
              <w:rPr>
                <w:rFonts w:ascii="Tahoma" w:hAnsi="Tahoma" w:cs="Tahoma"/>
              </w:rPr>
              <w:t>.</w:t>
            </w:r>
          </w:p>
        </w:tc>
      </w:tr>
    </w:tbl>
    <w:p w:rsidR="00A40C4B" w:rsidRPr="00A40C4B" w:rsidRDefault="00A40C4B" w:rsidP="007209C1">
      <w:pPr>
        <w:spacing w:after="120" w:line="240" w:lineRule="auto"/>
        <w:rPr>
          <w:rFonts w:ascii="Tahoma" w:hAnsi="Tahoma" w:cs="Tahoma"/>
        </w:rPr>
      </w:pPr>
    </w:p>
    <w:p w:rsidR="00FE0BF0" w:rsidRDefault="00FE0BF0" w:rsidP="003B22F1">
      <w:pPr>
        <w:keepNext/>
        <w:keepLines/>
        <w:spacing w:before="240" w:after="240" w:line="240" w:lineRule="auto"/>
        <w:rPr>
          <w:rFonts w:ascii="Tahoma" w:hAnsi="Tahoma" w:cs="Tahoma"/>
          <w:i/>
          <w:sz w:val="24"/>
          <w:szCs w:val="24"/>
          <w:u w:val="single"/>
        </w:rPr>
      </w:pPr>
      <w:bookmarkStart w:id="3" w:name="_Toc372902657"/>
      <w:r w:rsidRPr="00A40C4B">
        <w:rPr>
          <w:rFonts w:ascii="Tahoma" w:hAnsi="Tahoma" w:cs="Tahoma"/>
          <w:i/>
          <w:sz w:val="24"/>
          <w:szCs w:val="24"/>
          <w:u w:val="single"/>
        </w:rPr>
        <w:t>Verification of identity for paper conveyancing transactions</w:t>
      </w:r>
      <w:bookmarkEnd w:id="3"/>
    </w:p>
    <w:p w:rsidR="009D781C" w:rsidRPr="00B70976" w:rsidRDefault="009D781C" w:rsidP="000807EF">
      <w:pPr>
        <w:spacing w:after="240" w:line="240" w:lineRule="auto"/>
        <w:rPr>
          <w:rFonts w:ascii="Tahoma" w:hAnsi="Tahoma" w:cs="Tahoma"/>
          <w:color w:val="6D5125" w:themeColor="accent5" w:themeShade="80"/>
        </w:rPr>
      </w:pPr>
      <w:r w:rsidRPr="00B70976">
        <w:rPr>
          <w:rFonts w:ascii="Tahoma" w:hAnsi="Tahoma" w:cs="Tahoma"/>
          <w:color w:val="6D5125" w:themeColor="accent5" w:themeShade="80"/>
        </w:rPr>
        <w:t>Questions included in Consultation Paper</w:t>
      </w:r>
    </w:p>
    <w:p w:rsidR="009D781C" w:rsidRPr="00B70976" w:rsidRDefault="009D781C" w:rsidP="000807EF">
      <w:pPr>
        <w:spacing w:after="240" w:line="240" w:lineRule="auto"/>
        <w:ind w:left="567" w:hanging="567"/>
        <w:rPr>
          <w:rFonts w:ascii="Tahoma" w:eastAsia="Times New Roman" w:hAnsi="Tahoma" w:cs="Tahoma"/>
          <w:color w:val="6D5125" w:themeColor="accent5" w:themeShade="80"/>
        </w:rPr>
      </w:pPr>
      <w:r w:rsidRPr="003B22F1">
        <w:rPr>
          <w:rFonts w:ascii="Tahoma" w:eastAsia="Times New Roman" w:hAnsi="Tahoma" w:cs="Tahoma"/>
          <w:color w:val="6D5125" w:themeColor="accent5" w:themeShade="80"/>
        </w:rPr>
        <w:t>4.1:</w:t>
      </w:r>
      <w:r w:rsidRPr="003B22F1">
        <w:rPr>
          <w:rFonts w:ascii="Tahoma" w:eastAsia="Times New Roman" w:hAnsi="Tahoma" w:cs="Tahoma"/>
          <w:color w:val="6D5125" w:themeColor="accent5" w:themeShade="80"/>
        </w:rPr>
        <w:tab/>
      </w:r>
      <w:r w:rsidRPr="00B70976">
        <w:rPr>
          <w:rFonts w:ascii="Tahoma" w:eastAsia="Times New Roman" w:hAnsi="Tahoma" w:cs="Tahoma"/>
          <w:color w:val="6D5125" w:themeColor="accent5" w:themeShade="80"/>
        </w:rPr>
        <w:t>Is it reasonable to introduce verification of identity requirements for paper conveyancing transactions?  If not, why not?</w:t>
      </w:r>
    </w:p>
    <w:p w:rsidR="009D781C" w:rsidRPr="000807EF" w:rsidRDefault="009D781C" w:rsidP="000807EF">
      <w:pPr>
        <w:spacing w:after="240" w:line="240" w:lineRule="auto"/>
        <w:ind w:left="567" w:hanging="567"/>
        <w:rPr>
          <w:rFonts w:ascii="Tahoma" w:eastAsia="Times New Roman" w:hAnsi="Tahoma" w:cs="Tahoma"/>
          <w:color w:val="6D5125" w:themeColor="accent5" w:themeShade="80"/>
        </w:rPr>
      </w:pPr>
      <w:r w:rsidRPr="00DF4230">
        <w:rPr>
          <w:rFonts w:ascii="Tahoma" w:eastAsia="Times New Roman" w:hAnsi="Tahoma" w:cs="Tahoma"/>
          <w:color w:val="6D5125" w:themeColor="accent5" w:themeShade="80"/>
        </w:rPr>
        <w:lastRenderedPageBreak/>
        <w:t>4.2:</w:t>
      </w:r>
      <w:r w:rsidRPr="00DF4230">
        <w:rPr>
          <w:rFonts w:ascii="Tahoma" w:eastAsia="Times New Roman" w:hAnsi="Tahoma" w:cs="Tahoma"/>
          <w:color w:val="6D5125" w:themeColor="accent5" w:themeShade="80"/>
        </w:rPr>
        <w:tab/>
        <w:t>Is the proposed list of Verifiers appropriate?  Are there any other categories of persons who should have the authority to verify identity?</w:t>
      </w:r>
    </w:p>
    <w:p w:rsidR="009D781C" w:rsidRPr="00B70976" w:rsidRDefault="009D781C" w:rsidP="000807EF">
      <w:pPr>
        <w:spacing w:after="240" w:line="240" w:lineRule="auto"/>
        <w:ind w:left="567" w:hanging="567"/>
        <w:rPr>
          <w:rFonts w:ascii="Tahoma" w:eastAsia="Times New Roman" w:hAnsi="Tahoma" w:cs="Tahoma"/>
          <w:color w:val="6D5125" w:themeColor="accent5" w:themeShade="80"/>
        </w:rPr>
      </w:pPr>
      <w:r w:rsidRPr="00202152">
        <w:rPr>
          <w:rFonts w:ascii="Tahoma" w:eastAsia="Times New Roman" w:hAnsi="Tahoma" w:cs="Tahoma"/>
          <w:color w:val="6D5125" w:themeColor="accent5" w:themeShade="80"/>
        </w:rPr>
        <w:t>4.3:</w:t>
      </w:r>
      <w:r w:rsidRPr="00202152">
        <w:rPr>
          <w:rFonts w:ascii="Tahoma" w:eastAsia="Times New Roman" w:hAnsi="Tahoma" w:cs="Tahoma"/>
          <w:color w:val="6D5125" w:themeColor="accent5" w:themeShade="80"/>
        </w:rPr>
        <w:tab/>
        <w:t xml:space="preserve">Is the proposed list of situations where identity must be verified appropriate?  Are there any other situations where verification of identity </w:t>
      </w:r>
      <w:r w:rsidRPr="00B70976">
        <w:rPr>
          <w:rFonts w:ascii="Tahoma" w:eastAsia="Times New Roman" w:hAnsi="Tahoma" w:cs="Tahoma"/>
          <w:color w:val="6D5125" w:themeColor="accent5" w:themeShade="80"/>
        </w:rPr>
        <w:t xml:space="preserve">should be required? </w:t>
      </w:r>
    </w:p>
    <w:p w:rsidR="009D781C" w:rsidRPr="00B70976" w:rsidRDefault="009D781C" w:rsidP="000807EF">
      <w:pPr>
        <w:spacing w:after="240" w:line="240" w:lineRule="auto"/>
        <w:ind w:left="567" w:hanging="567"/>
        <w:rPr>
          <w:rFonts w:ascii="Tahoma" w:eastAsia="Times New Roman" w:hAnsi="Tahoma" w:cs="Tahoma"/>
          <w:color w:val="6D5125" w:themeColor="accent5" w:themeShade="80"/>
        </w:rPr>
      </w:pPr>
      <w:r w:rsidRPr="003B22F1">
        <w:rPr>
          <w:rFonts w:ascii="Tahoma" w:eastAsia="Times New Roman" w:hAnsi="Tahoma" w:cs="Tahoma"/>
          <w:color w:val="6D5125" w:themeColor="accent5" w:themeShade="80"/>
        </w:rPr>
        <w:t>4.4:</w:t>
      </w:r>
      <w:r w:rsidRPr="003B22F1">
        <w:rPr>
          <w:rFonts w:ascii="Tahoma" w:eastAsia="Times New Roman" w:hAnsi="Tahoma" w:cs="Tahoma"/>
          <w:color w:val="6D5125" w:themeColor="accent5" w:themeShade="80"/>
        </w:rPr>
        <w:tab/>
      </w:r>
      <w:r w:rsidRPr="00B70976">
        <w:rPr>
          <w:rFonts w:ascii="Tahoma" w:eastAsia="Times New Roman" w:hAnsi="Tahoma" w:cs="Tahoma"/>
          <w:color w:val="6D5125" w:themeColor="accent5" w:themeShade="80"/>
        </w:rPr>
        <w:t>Is the proposed seven year period for retention of documents appropriate?  If not, why not and what would be appropriate?</w:t>
      </w:r>
    </w:p>
    <w:p w:rsidR="003B22F1" w:rsidRDefault="003B22F1" w:rsidP="003B22F1">
      <w:pPr>
        <w:tabs>
          <w:tab w:val="left" w:pos="851"/>
        </w:tabs>
        <w:spacing w:before="240" w:after="240" w:line="240" w:lineRule="auto"/>
        <w:rPr>
          <w:rFonts w:ascii="Tahoma" w:hAnsi="Tahoma" w:cs="Tahoma"/>
          <w:i/>
        </w:rPr>
      </w:pPr>
    </w:p>
    <w:p w:rsidR="00FA723B" w:rsidRDefault="00FA723B" w:rsidP="003F697B">
      <w:pPr>
        <w:keepNext/>
        <w:keepLines/>
        <w:tabs>
          <w:tab w:val="left" w:pos="851"/>
        </w:tabs>
        <w:spacing w:before="240" w:after="240" w:line="240" w:lineRule="auto"/>
        <w:rPr>
          <w:rFonts w:ascii="Tahoma" w:hAnsi="Tahoma" w:cs="Tahoma"/>
          <w:i/>
        </w:rPr>
      </w:pPr>
      <w:r w:rsidRPr="00D66DA3">
        <w:rPr>
          <w:rFonts w:ascii="Tahoma" w:hAnsi="Tahoma" w:cs="Tahoma"/>
          <w:i/>
        </w:rPr>
        <w:t xml:space="preserve">Overview of stakeholder response to proposed </w:t>
      </w:r>
      <w:r>
        <w:rPr>
          <w:rFonts w:ascii="Tahoma" w:hAnsi="Tahoma" w:cs="Tahoma"/>
          <w:i/>
        </w:rPr>
        <w:t xml:space="preserve">verification of identity requirements to paper conveyancing. </w:t>
      </w:r>
    </w:p>
    <w:p w:rsidR="00FA723B" w:rsidRDefault="00BF6673" w:rsidP="00DF4230">
      <w:pPr>
        <w:numPr>
          <w:ilvl w:val="0"/>
          <w:numId w:val="3"/>
        </w:numPr>
        <w:tabs>
          <w:tab w:val="clear" w:pos="360"/>
        </w:tabs>
        <w:spacing w:after="240" w:line="240" w:lineRule="auto"/>
        <w:ind w:left="567" w:hanging="567"/>
        <w:rPr>
          <w:rFonts w:ascii="Tahoma" w:hAnsi="Tahoma" w:cs="Tahoma"/>
        </w:rPr>
      </w:pPr>
      <w:r>
        <w:rPr>
          <w:rFonts w:ascii="Tahoma" w:eastAsia="Calibri" w:hAnsi="Tahoma" w:cs="Tahoma"/>
        </w:rPr>
        <w:t>Three</w:t>
      </w:r>
      <w:r w:rsidR="00FA723B">
        <w:rPr>
          <w:rFonts w:ascii="Tahoma" w:eastAsia="Calibri" w:hAnsi="Tahoma" w:cs="Tahoma"/>
        </w:rPr>
        <w:t xml:space="preserve"> s</w:t>
      </w:r>
      <w:r w:rsidR="00FA723B" w:rsidRPr="00900F26">
        <w:rPr>
          <w:rFonts w:ascii="Tahoma" w:eastAsia="Calibri" w:hAnsi="Tahoma" w:cs="Tahoma"/>
        </w:rPr>
        <w:t xml:space="preserve">ubmissions </w:t>
      </w:r>
      <w:r w:rsidR="00FA723B" w:rsidRPr="00900F26">
        <w:rPr>
          <w:rFonts w:ascii="Tahoma" w:hAnsi="Tahoma" w:cs="Tahoma"/>
        </w:rPr>
        <w:t xml:space="preserve">supported the </w:t>
      </w:r>
      <w:r w:rsidR="00FA723B">
        <w:rPr>
          <w:rFonts w:ascii="Tahoma" w:hAnsi="Tahoma" w:cs="Tahoma"/>
        </w:rPr>
        <w:t xml:space="preserve">proposals </w:t>
      </w:r>
      <w:r w:rsidR="00EE6503">
        <w:rPr>
          <w:rFonts w:ascii="Tahoma" w:hAnsi="Tahoma" w:cs="Tahoma"/>
        </w:rPr>
        <w:t xml:space="preserve">in the </w:t>
      </w:r>
      <w:r w:rsidR="00B70976">
        <w:rPr>
          <w:rFonts w:ascii="Tahoma" w:hAnsi="Tahoma" w:cs="Tahoma"/>
        </w:rPr>
        <w:t>Consultation Paper</w:t>
      </w:r>
      <w:r w:rsidR="00EE6503">
        <w:rPr>
          <w:rFonts w:ascii="Tahoma" w:hAnsi="Tahoma" w:cs="Tahoma"/>
        </w:rPr>
        <w:t xml:space="preserve"> relating to verification of identity</w:t>
      </w:r>
      <w:r>
        <w:rPr>
          <w:rFonts w:ascii="Tahoma" w:hAnsi="Tahoma" w:cs="Tahoma"/>
        </w:rPr>
        <w:t xml:space="preserve"> (VOI)</w:t>
      </w:r>
      <w:r w:rsidR="0096516B">
        <w:rPr>
          <w:rFonts w:ascii="Tahoma" w:hAnsi="Tahoma" w:cs="Tahoma"/>
        </w:rPr>
        <w:t xml:space="preserve">.  </w:t>
      </w:r>
      <w:r>
        <w:rPr>
          <w:rFonts w:ascii="Tahoma" w:hAnsi="Tahoma" w:cs="Tahoma"/>
        </w:rPr>
        <w:t>Seven</w:t>
      </w:r>
      <w:r w:rsidR="00EE6503">
        <w:rPr>
          <w:rFonts w:ascii="Tahoma" w:hAnsi="Tahoma" w:cs="Tahoma"/>
        </w:rPr>
        <w:t xml:space="preserve"> </w:t>
      </w:r>
      <w:r w:rsidR="00FA723B">
        <w:rPr>
          <w:rFonts w:ascii="Tahoma" w:hAnsi="Tahoma" w:cs="Tahoma"/>
        </w:rPr>
        <w:t>submissions</w:t>
      </w:r>
      <w:r w:rsidR="00EE6503">
        <w:rPr>
          <w:rFonts w:ascii="Tahoma" w:hAnsi="Tahoma" w:cs="Tahoma"/>
        </w:rPr>
        <w:t xml:space="preserve">, without necessarily opposing the concept of </w:t>
      </w:r>
      <w:r>
        <w:rPr>
          <w:rFonts w:ascii="Tahoma" w:hAnsi="Tahoma" w:cs="Tahoma"/>
        </w:rPr>
        <w:t xml:space="preserve">VOI </w:t>
      </w:r>
      <w:r w:rsidR="00EE6503">
        <w:rPr>
          <w:rFonts w:ascii="Tahoma" w:hAnsi="Tahoma" w:cs="Tahoma"/>
        </w:rPr>
        <w:t xml:space="preserve">requirements, </w:t>
      </w:r>
      <w:r w:rsidR="00FA723B">
        <w:rPr>
          <w:rFonts w:ascii="Tahoma" w:hAnsi="Tahoma" w:cs="Tahoma"/>
        </w:rPr>
        <w:t xml:space="preserve">raised issues related </w:t>
      </w:r>
      <w:r w:rsidR="00A73D43">
        <w:rPr>
          <w:rFonts w:ascii="Tahoma" w:hAnsi="Tahoma" w:cs="Tahoma"/>
        </w:rPr>
        <w:t>t</w:t>
      </w:r>
      <w:r w:rsidR="00FA723B">
        <w:rPr>
          <w:rFonts w:ascii="Tahoma" w:hAnsi="Tahoma" w:cs="Tahoma"/>
        </w:rPr>
        <w:t xml:space="preserve">o </w:t>
      </w:r>
      <w:r w:rsidR="00EE6503">
        <w:rPr>
          <w:rFonts w:ascii="Tahoma" w:hAnsi="Tahoma" w:cs="Tahoma"/>
        </w:rPr>
        <w:t xml:space="preserve">the proposals in the </w:t>
      </w:r>
      <w:r w:rsidR="00B70976">
        <w:rPr>
          <w:rFonts w:ascii="Tahoma" w:hAnsi="Tahoma" w:cs="Tahoma"/>
        </w:rPr>
        <w:t>Consultation Paper</w:t>
      </w:r>
      <w:r w:rsidR="0096516B">
        <w:rPr>
          <w:rFonts w:ascii="Tahoma" w:hAnsi="Tahoma" w:cs="Tahoma"/>
        </w:rPr>
        <w:t xml:space="preserve">.  </w:t>
      </w:r>
      <w:r w:rsidR="00EE6503">
        <w:rPr>
          <w:rFonts w:ascii="Tahoma" w:hAnsi="Tahoma" w:cs="Tahoma"/>
        </w:rPr>
        <w:t xml:space="preserve">In particular, there were concerns that the proposed safe harbour standard will be too onerous in </w:t>
      </w:r>
      <w:r w:rsidR="003F697B">
        <w:rPr>
          <w:rFonts w:ascii="Tahoma" w:hAnsi="Tahoma" w:cs="Tahoma"/>
        </w:rPr>
        <w:t xml:space="preserve">some </w:t>
      </w:r>
      <w:r w:rsidR="00EE6503">
        <w:rPr>
          <w:rFonts w:ascii="Tahoma" w:hAnsi="Tahoma" w:cs="Tahoma"/>
        </w:rPr>
        <w:t>situations</w:t>
      </w:r>
      <w:r w:rsidR="0096516B">
        <w:rPr>
          <w:rFonts w:ascii="Tahoma" w:hAnsi="Tahoma" w:cs="Tahoma"/>
        </w:rPr>
        <w:t xml:space="preserve">.  </w:t>
      </w:r>
      <w:r>
        <w:rPr>
          <w:rFonts w:ascii="Tahoma" w:hAnsi="Tahoma" w:cs="Tahoma"/>
        </w:rPr>
        <w:t>Two</w:t>
      </w:r>
      <w:r w:rsidR="00FA723B">
        <w:rPr>
          <w:rFonts w:ascii="Tahoma" w:hAnsi="Tahoma" w:cs="Tahoma"/>
        </w:rPr>
        <w:t xml:space="preserve"> submissions made no comment on this aspect of the </w:t>
      </w:r>
      <w:r w:rsidR="00B70976">
        <w:rPr>
          <w:rFonts w:ascii="Tahoma" w:hAnsi="Tahoma" w:cs="Tahoma"/>
        </w:rPr>
        <w:t>Consultation Paper</w:t>
      </w:r>
      <w:r w:rsidR="00FA723B">
        <w:rPr>
          <w:rFonts w:ascii="Tahoma" w:hAnsi="Tahoma" w:cs="Tahoma"/>
        </w:rPr>
        <w:t xml:space="preserve">. </w:t>
      </w:r>
      <w:r w:rsidR="00FA723B" w:rsidRPr="00900F26">
        <w:rPr>
          <w:rFonts w:ascii="Tahoma" w:hAnsi="Tahoma" w:cs="Tahoma"/>
        </w:rPr>
        <w:t xml:space="preserve">  </w:t>
      </w:r>
    </w:p>
    <w:p w:rsidR="003B22F1" w:rsidRDefault="003B22F1" w:rsidP="003B22F1">
      <w:pPr>
        <w:tabs>
          <w:tab w:val="left" w:pos="851"/>
        </w:tabs>
        <w:spacing w:before="240" w:after="240" w:line="240" w:lineRule="auto"/>
        <w:rPr>
          <w:rFonts w:ascii="Tahoma" w:hAnsi="Tahoma" w:cs="Tahoma"/>
          <w:i/>
        </w:rPr>
      </w:pPr>
    </w:p>
    <w:p w:rsidR="00FA723B" w:rsidRPr="00570BBC" w:rsidRDefault="00FA723B" w:rsidP="003F697B">
      <w:pPr>
        <w:keepNext/>
        <w:keepLines/>
        <w:tabs>
          <w:tab w:val="left" w:pos="851"/>
        </w:tabs>
        <w:spacing w:before="240" w:after="240" w:line="240" w:lineRule="auto"/>
        <w:rPr>
          <w:rFonts w:ascii="Tahoma" w:hAnsi="Tahoma" w:cs="Tahoma"/>
          <w:i/>
        </w:rPr>
      </w:pPr>
      <w:r w:rsidRPr="00570BBC">
        <w:rPr>
          <w:rFonts w:ascii="Tahoma" w:hAnsi="Tahoma" w:cs="Tahoma"/>
          <w:i/>
        </w:rPr>
        <w:t>Overview of Land Victoria response to stakeholders</w:t>
      </w:r>
    </w:p>
    <w:p w:rsidR="00DF4230" w:rsidRPr="00DF4230" w:rsidRDefault="00FA723B" w:rsidP="00C01A9C">
      <w:pPr>
        <w:numPr>
          <w:ilvl w:val="0"/>
          <w:numId w:val="3"/>
        </w:numPr>
        <w:tabs>
          <w:tab w:val="clear" w:pos="360"/>
        </w:tabs>
        <w:spacing w:after="240" w:line="240" w:lineRule="auto"/>
        <w:ind w:left="567" w:hanging="567"/>
        <w:rPr>
          <w:rFonts w:ascii="Tahoma" w:hAnsi="Tahoma" w:cs="Tahoma"/>
          <w:i/>
        </w:rPr>
      </w:pPr>
      <w:r w:rsidRPr="00C01A9C">
        <w:rPr>
          <w:rFonts w:ascii="Tahoma" w:hAnsi="Tahoma" w:cs="Tahoma"/>
        </w:rPr>
        <w:t xml:space="preserve">Land Victoria intends to proceed with </w:t>
      </w:r>
      <w:r w:rsidR="00196A05" w:rsidRPr="00C01A9C">
        <w:rPr>
          <w:rFonts w:ascii="Tahoma" w:hAnsi="Tahoma" w:cs="Tahoma"/>
        </w:rPr>
        <w:t xml:space="preserve">its proposal </w:t>
      </w:r>
      <w:r w:rsidR="00A73D43" w:rsidRPr="00C01A9C">
        <w:rPr>
          <w:rFonts w:ascii="Tahoma" w:hAnsi="Tahoma" w:cs="Tahoma"/>
        </w:rPr>
        <w:t xml:space="preserve">to set requirements </w:t>
      </w:r>
      <w:r w:rsidR="00196A05" w:rsidRPr="00C01A9C">
        <w:rPr>
          <w:rFonts w:ascii="Tahoma" w:hAnsi="Tahoma" w:cs="Tahoma"/>
        </w:rPr>
        <w:t>that parties</w:t>
      </w:r>
      <w:r w:rsidR="00A21EB0" w:rsidRPr="00C01A9C">
        <w:rPr>
          <w:rFonts w:ascii="Tahoma" w:hAnsi="Tahoma" w:cs="Tahoma"/>
        </w:rPr>
        <w:t xml:space="preserve"> </w:t>
      </w:r>
      <w:r w:rsidR="00196A05" w:rsidRPr="00C01A9C">
        <w:rPr>
          <w:rFonts w:ascii="Tahoma" w:hAnsi="Tahoma" w:cs="Tahoma"/>
        </w:rPr>
        <w:t>take reasonable steps to verify the identity of their customers</w:t>
      </w:r>
      <w:r w:rsidR="0096516B" w:rsidRPr="00C01A9C">
        <w:rPr>
          <w:rFonts w:ascii="Tahoma" w:hAnsi="Tahoma" w:cs="Tahoma"/>
        </w:rPr>
        <w:t xml:space="preserve">.  </w:t>
      </w:r>
      <w:r w:rsidR="00A21EB0" w:rsidRPr="00C01A9C">
        <w:rPr>
          <w:rFonts w:ascii="Tahoma" w:hAnsi="Tahoma" w:cs="Tahoma"/>
        </w:rPr>
        <w:t xml:space="preserve">Land Victoria’s view is that </w:t>
      </w:r>
      <w:r w:rsidR="00BF6673" w:rsidRPr="00C01A9C">
        <w:rPr>
          <w:rFonts w:ascii="Tahoma" w:hAnsi="Tahoma" w:cs="Tahoma"/>
        </w:rPr>
        <w:t xml:space="preserve">VOI </w:t>
      </w:r>
      <w:r w:rsidR="00A21EB0" w:rsidRPr="00C01A9C">
        <w:rPr>
          <w:rFonts w:ascii="Tahoma" w:hAnsi="Tahoma" w:cs="Tahoma"/>
        </w:rPr>
        <w:t>is an essential probity and fraud mitigation measure that should already be undertaken</w:t>
      </w:r>
      <w:r w:rsidR="0096516B" w:rsidRPr="00C01A9C">
        <w:rPr>
          <w:rFonts w:ascii="Tahoma" w:hAnsi="Tahoma" w:cs="Tahoma"/>
        </w:rPr>
        <w:t xml:space="preserve">.  </w:t>
      </w:r>
      <w:r w:rsidR="00A21EB0" w:rsidRPr="00C01A9C">
        <w:rPr>
          <w:rFonts w:ascii="Tahoma" w:hAnsi="Tahoma" w:cs="Tahoma"/>
        </w:rPr>
        <w:t xml:space="preserve">It is acknowledged that the proposed safe harbour situation may not cover </w:t>
      </w:r>
      <w:r w:rsidR="003F697B">
        <w:rPr>
          <w:rFonts w:ascii="Tahoma" w:hAnsi="Tahoma" w:cs="Tahoma"/>
        </w:rPr>
        <w:t>some</w:t>
      </w:r>
      <w:r w:rsidR="003F697B" w:rsidRPr="00C01A9C">
        <w:rPr>
          <w:rFonts w:ascii="Tahoma" w:hAnsi="Tahoma" w:cs="Tahoma"/>
        </w:rPr>
        <w:t xml:space="preserve"> </w:t>
      </w:r>
      <w:r w:rsidR="00A21EB0" w:rsidRPr="00C01A9C">
        <w:rPr>
          <w:rFonts w:ascii="Tahoma" w:hAnsi="Tahoma" w:cs="Tahoma"/>
        </w:rPr>
        <w:t>situations</w:t>
      </w:r>
      <w:r w:rsidR="0096516B" w:rsidRPr="00C01A9C">
        <w:rPr>
          <w:rFonts w:ascii="Tahoma" w:hAnsi="Tahoma" w:cs="Tahoma"/>
        </w:rPr>
        <w:t xml:space="preserve">.  </w:t>
      </w:r>
      <w:r w:rsidR="00A21EB0" w:rsidRPr="00C01A9C">
        <w:rPr>
          <w:rFonts w:ascii="Tahoma" w:hAnsi="Tahoma" w:cs="Tahoma"/>
        </w:rPr>
        <w:t xml:space="preserve">However, parties can develop their own </w:t>
      </w:r>
      <w:r w:rsidR="008E2984" w:rsidRPr="00C01A9C">
        <w:rPr>
          <w:rFonts w:ascii="Tahoma" w:hAnsi="Tahoma" w:cs="Tahoma"/>
        </w:rPr>
        <w:t xml:space="preserve">VOI </w:t>
      </w:r>
      <w:r w:rsidR="00A73D43" w:rsidRPr="00C01A9C">
        <w:rPr>
          <w:rFonts w:ascii="Tahoma" w:hAnsi="Tahoma" w:cs="Tahoma"/>
        </w:rPr>
        <w:t>procedures</w:t>
      </w:r>
      <w:r w:rsidR="00A21EB0" w:rsidRPr="00C01A9C">
        <w:rPr>
          <w:rFonts w:ascii="Tahoma" w:hAnsi="Tahoma" w:cs="Tahoma"/>
        </w:rPr>
        <w:t xml:space="preserve"> to cover these situations</w:t>
      </w:r>
      <w:r w:rsidR="003F697B">
        <w:rPr>
          <w:rFonts w:ascii="Tahoma" w:hAnsi="Tahoma" w:cs="Tahoma"/>
        </w:rPr>
        <w:t>,</w:t>
      </w:r>
      <w:r w:rsidR="00A21EB0" w:rsidRPr="00C01A9C">
        <w:rPr>
          <w:rFonts w:ascii="Tahoma" w:hAnsi="Tahoma" w:cs="Tahoma"/>
        </w:rPr>
        <w:t xml:space="preserve"> provided the alternative </w:t>
      </w:r>
      <w:r w:rsidR="008E2984" w:rsidRPr="00C01A9C">
        <w:rPr>
          <w:rFonts w:ascii="Tahoma" w:hAnsi="Tahoma" w:cs="Tahoma"/>
        </w:rPr>
        <w:t xml:space="preserve">VOI </w:t>
      </w:r>
      <w:r w:rsidR="00A21EB0" w:rsidRPr="00C01A9C">
        <w:rPr>
          <w:rFonts w:ascii="Tahoma" w:hAnsi="Tahoma" w:cs="Tahoma"/>
        </w:rPr>
        <w:t xml:space="preserve">standard meets the </w:t>
      </w:r>
      <w:r w:rsidR="008E2984" w:rsidRPr="00C01A9C">
        <w:rPr>
          <w:rFonts w:ascii="Tahoma" w:hAnsi="Tahoma" w:cs="Tahoma"/>
        </w:rPr>
        <w:t>‘</w:t>
      </w:r>
      <w:r w:rsidR="00A21EB0" w:rsidRPr="00C01A9C">
        <w:rPr>
          <w:rFonts w:ascii="Tahoma" w:hAnsi="Tahoma" w:cs="Tahoma"/>
        </w:rPr>
        <w:t>reasonable steps</w:t>
      </w:r>
      <w:r w:rsidR="008E2984" w:rsidRPr="00C01A9C">
        <w:rPr>
          <w:rFonts w:ascii="Tahoma" w:hAnsi="Tahoma" w:cs="Tahoma"/>
        </w:rPr>
        <w:t>’</w:t>
      </w:r>
      <w:r w:rsidR="00A21EB0" w:rsidRPr="00C01A9C">
        <w:rPr>
          <w:rFonts w:ascii="Tahoma" w:hAnsi="Tahoma" w:cs="Tahoma"/>
        </w:rPr>
        <w:t xml:space="preserve"> threshold.</w:t>
      </w:r>
    </w:p>
    <w:p w:rsidR="003B22F1" w:rsidRDefault="003B22F1" w:rsidP="003B22F1">
      <w:pPr>
        <w:tabs>
          <w:tab w:val="left" w:pos="851"/>
        </w:tabs>
        <w:spacing w:before="240" w:after="240" w:line="240" w:lineRule="auto"/>
        <w:rPr>
          <w:rFonts w:ascii="Tahoma" w:hAnsi="Tahoma" w:cs="Tahoma"/>
          <w:i/>
        </w:rPr>
      </w:pPr>
    </w:p>
    <w:p w:rsidR="00084212" w:rsidRPr="00084212" w:rsidRDefault="00084212" w:rsidP="003F697B">
      <w:pPr>
        <w:keepNext/>
        <w:keepLines/>
        <w:tabs>
          <w:tab w:val="left" w:pos="851"/>
        </w:tabs>
        <w:spacing w:before="240" w:after="240" w:line="240" w:lineRule="auto"/>
        <w:rPr>
          <w:rFonts w:ascii="Tahoma" w:hAnsi="Tahoma" w:cs="Tahoma"/>
          <w:i/>
        </w:rPr>
      </w:pPr>
      <w:r w:rsidRPr="00084212">
        <w:rPr>
          <w:rFonts w:ascii="Tahoma" w:hAnsi="Tahoma" w:cs="Tahoma"/>
          <w:i/>
        </w:rPr>
        <w:t>Key issues raised by stakeholders and Land Victoria’s response to these issues</w:t>
      </w:r>
    </w:p>
    <w:tbl>
      <w:tblPr>
        <w:tblStyle w:val="TableGrid"/>
        <w:tblW w:w="9639" w:type="dxa"/>
        <w:tblInd w:w="108" w:type="dxa"/>
        <w:tblLayout w:type="fixed"/>
        <w:tblLook w:val="04A0" w:firstRow="1" w:lastRow="0" w:firstColumn="1" w:lastColumn="0" w:noHBand="0" w:noVBand="1"/>
      </w:tblPr>
      <w:tblGrid>
        <w:gridCol w:w="4820"/>
        <w:gridCol w:w="4819"/>
      </w:tblGrid>
      <w:tr w:rsidR="00940475" w:rsidRPr="00DF4230" w:rsidTr="000807EF">
        <w:trPr>
          <w:tblHeader/>
        </w:trPr>
        <w:tc>
          <w:tcPr>
            <w:tcW w:w="4820" w:type="dxa"/>
            <w:shd w:val="clear" w:color="auto" w:fill="D9D9D9" w:themeFill="background1" w:themeFillShade="D9"/>
            <w:vAlign w:val="center"/>
          </w:tcPr>
          <w:p w:rsidR="00940475" w:rsidRPr="00DF4230" w:rsidRDefault="00940475" w:rsidP="00DF4230">
            <w:pPr>
              <w:spacing w:before="60" w:after="60"/>
              <w:rPr>
                <w:rFonts w:ascii="Tahoma" w:hAnsi="Tahoma" w:cs="Tahoma"/>
                <w:b/>
              </w:rPr>
            </w:pPr>
            <w:r w:rsidRPr="00DF4230">
              <w:rPr>
                <w:rFonts w:ascii="Tahoma" w:hAnsi="Tahoma" w:cs="Tahoma"/>
                <w:b/>
              </w:rPr>
              <w:t>Issue</w:t>
            </w:r>
          </w:p>
        </w:tc>
        <w:tc>
          <w:tcPr>
            <w:tcW w:w="4819" w:type="dxa"/>
            <w:shd w:val="clear" w:color="auto" w:fill="D9D9D9" w:themeFill="background1" w:themeFillShade="D9"/>
            <w:vAlign w:val="center"/>
          </w:tcPr>
          <w:p w:rsidR="00940475" w:rsidRPr="00DF4230" w:rsidRDefault="00940475" w:rsidP="00DF4230">
            <w:pPr>
              <w:spacing w:before="60" w:after="60"/>
              <w:rPr>
                <w:rFonts w:ascii="Tahoma" w:hAnsi="Tahoma" w:cs="Tahoma"/>
                <w:b/>
              </w:rPr>
            </w:pPr>
            <w:r w:rsidRPr="00DF4230">
              <w:rPr>
                <w:rFonts w:ascii="Tahoma" w:hAnsi="Tahoma" w:cs="Tahoma"/>
                <w:b/>
              </w:rPr>
              <w:t>Land Victoria response</w:t>
            </w:r>
          </w:p>
        </w:tc>
      </w:tr>
      <w:tr w:rsidR="00940475" w:rsidTr="000807EF">
        <w:tc>
          <w:tcPr>
            <w:tcW w:w="4820" w:type="dxa"/>
          </w:tcPr>
          <w:p w:rsidR="00940475" w:rsidRPr="00DF4230" w:rsidRDefault="00940475" w:rsidP="00202152">
            <w:pPr>
              <w:spacing w:after="240"/>
              <w:rPr>
                <w:rFonts w:ascii="Tahoma" w:hAnsi="Tahoma" w:cs="Tahoma"/>
              </w:rPr>
            </w:pPr>
            <w:r w:rsidRPr="00DF4230">
              <w:rPr>
                <w:rFonts w:ascii="Tahoma" w:hAnsi="Tahoma" w:cs="Tahoma"/>
              </w:rPr>
              <w:t>VOI requirements will increase costs to lenders that do not transact face to face.</w:t>
            </w:r>
          </w:p>
          <w:p w:rsidR="00940475" w:rsidRPr="00DF4230" w:rsidRDefault="00940475" w:rsidP="00202152">
            <w:pPr>
              <w:spacing w:after="240"/>
              <w:rPr>
                <w:rFonts w:ascii="Tahoma" w:hAnsi="Tahoma" w:cs="Tahoma"/>
              </w:rPr>
            </w:pPr>
            <w:r w:rsidRPr="00DF4230">
              <w:rPr>
                <w:rFonts w:ascii="Tahoma" w:hAnsi="Tahoma" w:cs="Tahoma"/>
              </w:rPr>
              <w:t>VOI requirements need to be flexible enough to permit identification by mortgagees that do not have a large geographic spread and permit identification of remote clients.</w:t>
            </w:r>
          </w:p>
          <w:p w:rsidR="00940475" w:rsidRPr="00DF4230" w:rsidRDefault="00940475" w:rsidP="00202152">
            <w:pPr>
              <w:spacing w:after="240"/>
              <w:rPr>
                <w:rFonts w:ascii="Tahoma" w:hAnsi="Tahoma" w:cs="Tahoma"/>
              </w:rPr>
            </w:pPr>
            <w:r w:rsidRPr="00DF4230">
              <w:rPr>
                <w:rFonts w:ascii="Tahoma" w:hAnsi="Tahoma" w:cs="Tahoma"/>
              </w:rPr>
              <w:t xml:space="preserve">Any mortgagee should be an authorised verifier of identity. </w:t>
            </w:r>
          </w:p>
          <w:p w:rsidR="00940475" w:rsidRPr="00DF4230" w:rsidRDefault="00940475" w:rsidP="00202152">
            <w:pPr>
              <w:spacing w:after="240"/>
              <w:rPr>
                <w:rFonts w:ascii="Tahoma" w:hAnsi="Tahoma" w:cs="Tahoma"/>
              </w:rPr>
            </w:pPr>
            <w:r w:rsidRPr="00DF4230">
              <w:rPr>
                <w:rFonts w:ascii="Tahoma" w:hAnsi="Tahoma" w:cs="Tahoma"/>
              </w:rPr>
              <w:t>A broader range of authorised verifiers of identity is needed for situations where one of the parties is outside Australia.</w:t>
            </w:r>
          </w:p>
          <w:p w:rsidR="00940475" w:rsidRPr="00DF4230" w:rsidRDefault="00940475" w:rsidP="00202152">
            <w:pPr>
              <w:spacing w:after="240"/>
              <w:rPr>
                <w:rFonts w:ascii="Tahoma" w:hAnsi="Tahoma" w:cs="Tahoma"/>
              </w:rPr>
            </w:pPr>
            <w:r w:rsidRPr="00DF4230">
              <w:rPr>
                <w:rFonts w:ascii="Tahoma" w:hAnsi="Tahoma" w:cs="Tahoma"/>
              </w:rPr>
              <w:lastRenderedPageBreak/>
              <w:t xml:space="preserve">Australian lawyers should be allowed to act as an authorised verifier of identity anywhere not just within Australia. </w:t>
            </w:r>
          </w:p>
          <w:p w:rsidR="00940475" w:rsidRPr="00DF4230" w:rsidRDefault="00940475" w:rsidP="00202152">
            <w:pPr>
              <w:spacing w:after="240"/>
              <w:rPr>
                <w:rFonts w:ascii="Tahoma" w:hAnsi="Tahoma" w:cs="Tahoma"/>
              </w:rPr>
            </w:pPr>
            <w:r w:rsidRPr="00DF4230">
              <w:rPr>
                <w:rFonts w:ascii="Tahoma" w:hAnsi="Tahoma" w:cs="Tahoma"/>
              </w:rPr>
              <w:t xml:space="preserve">Australia Post should be an authorised verifier (especially to cover people living in remote areas). </w:t>
            </w:r>
          </w:p>
          <w:p w:rsidR="00940475" w:rsidRPr="00DF4230" w:rsidRDefault="00940475" w:rsidP="00202152">
            <w:pPr>
              <w:spacing w:after="240"/>
              <w:rPr>
                <w:rFonts w:ascii="Tahoma" w:hAnsi="Tahoma" w:cs="Tahoma"/>
              </w:rPr>
            </w:pPr>
            <w:r w:rsidRPr="00DF4230">
              <w:rPr>
                <w:rFonts w:ascii="Tahoma" w:hAnsi="Tahoma" w:cs="Tahoma"/>
              </w:rPr>
              <w:t xml:space="preserve">A wider range of bank staff should be included in the list of authorised verifiers.  </w:t>
            </w:r>
          </w:p>
          <w:p w:rsidR="00940475" w:rsidRPr="00DF4230" w:rsidRDefault="00940475" w:rsidP="00202152">
            <w:pPr>
              <w:spacing w:after="240"/>
              <w:rPr>
                <w:rFonts w:ascii="Tahoma" w:hAnsi="Tahoma" w:cs="Tahoma"/>
              </w:rPr>
            </w:pPr>
            <w:r w:rsidRPr="00DF4230">
              <w:rPr>
                <w:rFonts w:ascii="Tahoma" w:hAnsi="Tahoma" w:cs="Tahoma"/>
              </w:rPr>
              <w:t>Notary Publics should be able to verify identity of persons overseas</w:t>
            </w:r>
            <w:r w:rsidR="0047584A" w:rsidRPr="00DF4230">
              <w:rPr>
                <w:rFonts w:ascii="Tahoma" w:hAnsi="Tahoma" w:cs="Tahoma"/>
              </w:rPr>
              <w:t>,</w:t>
            </w:r>
            <w:r w:rsidRPr="00DF4230">
              <w:rPr>
                <w:rFonts w:ascii="Tahoma" w:hAnsi="Tahoma" w:cs="Tahoma"/>
              </w:rPr>
              <w:t xml:space="preserve"> as often persons overseas cannot readily access an Australian Consulate. </w:t>
            </w:r>
          </w:p>
          <w:p w:rsidR="00D8695F" w:rsidRPr="00DF4230" w:rsidRDefault="00D8695F" w:rsidP="00202152">
            <w:pPr>
              <w:spacing w:after="240"/>
              <w:rPr>
                <w:rFonts w:ascii="Tahoma" w:hAnsi="Tahoma" w:cs="Tahoma"/>
              </w:rPr>
            </w:pPr>
            <w:r w:rsidRPr="00DF4230">
              <w:rPr>
                <w:rFonts w:ascii="Tahoma" w:hAnsi="Tahoma" w:cs="Tahoma"/>
              </w:rPr>
              <w:t>Non-ADI financiers who are regulated under commonwealth legislation should have the same ability to perform VOI as ADIs</w:t>
            </w:r>
            <w:r w:rsidR="0096516B" w:rsidRPr="00DF4230">
              <w:rPr>
                <w:rFonts w:ascii="Tahoma" w:hAnsi="Tahoma" w:cs="Tahoma"/>
              </w:rPr>
              <w:t xml:space="preserve">.  </w:t>
            </w:r>
            <w:r w:rsidRPr="00DF4230">
              <w:rPr>
                <w:rFonts w:ascii="Tahoma" w:hAnsi="Tahoma" w:cs="Tahoma"/>
              </w:rPr>
              <w:t>Otherwise, non-ADI financiers and their customers will be discriminated against due to higher costs due to having more onerous requirements.</w:t>
            </w:r>
          </w:p>
          <w:p w:rsidR="00940475" w:rsidRPr="00E3196D" w:rsidRDefault="00D8695F" w:rsidP="00202152">
            <w:pPr>
              <w:spacing w:after="240"/>
              <w:rPr>
                <w:rFonts w:ascii="Tahoma" w:hAnsi="Tahoma" w:cs="Tahoma"/>
              </w:rPr>
            </w:pPr>
            <w:r w:rsidRPr="00DF4230">
              <w:rPr>
                <w:rFonts w:ascii="Tahoma" w:hAnsi="Tahoma" w:cs="Tahoma"/>
              </w:rPr>
              <w:t xml:space="preserve">Insurance Rules for agents engaged to perform VOI are too onerous and should be relaxed. </w:t>
            </w:r>
          </w:p>
        </w:tc>
        <w:tc>
          <w:tcPr>
            <w:tcW w:w="4819" w:type="dxa"/>
          </w:tcPr>
          <w:p w:rsidR="002C74F8" w:rsidRDefault="00940475" w:rsidP="00202152">
            <w:pPr>
              <w:spacing w:after="240"/>
              <w:rPr>
                <w:rFonts w:ascii="Tahoma" w:hAnsi="Tahoma" w:cs="Tahoma"/>
              </w:rPr>
            </w:pPr>
            <w:r>
              <w:rPr>
                <w:rFonts w:ascii="Tahoma" w:hAnsi="Tahoma" w:cs="Tahoma"/>
              </w:rPr>
              <w:lastRenderedPageBreak/>
              <w:t>The only absolute requirement is that parties take ‘reasonable steps’</w:t>
            </w:r>
            <w:r w:rsidR="0047584A">
              <w:rPr>
                <w:rFonts w:ascii="Tahoma" w:hAnsi="Tahoma" w:cs="Tahoma"/>
              </w:rPr>
              <w:t xml:space="preserve"> to verify identity</w:t>
            </w:r>
            <w:r w:rsidR="0096516B">
              <w:rPr>
                <w:rFonts w:ascii="Tahoma" w:hAnsi="Tahoma" w:cs="Tahoma"/>
              </w:rPr>
              <w:t xml:space="preserve">.  </w:t>
            </w:r>
            <w:r>
              <w:rPr>
                <w:rFonts w:ascii="Tahoma" w:hAnsi="Tahoma" w:cs="Tahoma"/>
              </w:rPr>
              <w:t>The Registrar is publishing a ‘safe harbour’ standard</w:t>
            </w:r>
            <w:r w:rsidR="0047584A">
              <w:rPr>
                <w:rFonts w:ascii="Tahoma" w:hAnsi="Tahoma" w:cs="Tahoma"/>
              </w:rPr>
              <w:t>,</w:t>
            </w:r>
            <w:r>
              <w:rPr>
                <w:rFonts w:ascii="Tahoma" w:hAnsi="Tahoma" w:cs="Tahoma"/>
              </w:rPr>
              <w:t xml:space="preserve"> use </w:t>
            </w:r>
            <w:r w:rsidR="0047584A">
              <w:rPr>
                <w:rFonts w:ascii="Tahoma" w:hAnsi="Tahoma" w:cs="Tahoma"/>
              </w:rPr>
              <w:t xml:space="preserve">of which </w:t>
            </w:r>
            <w:r>
              <w:rPr>
                <w:rFonts w:ascii="Tahoma" w:hAnsi="Tahoma" w:cs="Tahoma"/>
              </w:rPr>
              <w:t>will be optional</w:t>
            </w:r>
            <w:r w:rsidR="0096516B">
              <w:rPr>
                <w:rFonts w:ascii="Tahoma" w:hAnsi="Tahoma" w:cs="Tahoma"/>
              </w:rPr>
              <w:t xml:space="preserve">.  </w:t>
            </w:r>
            <w:r w:rsidR="0047584A">
              <w:rPr>
                <w:rFonts w:ascii="Tahoma" w:hAnsi="Tahoma" w:cs="Tahoma"/>
              </w:rPr>
              <w:t xml:space="preserve">Stakeholders </w:t>
            </w:r>
            <w:r>
              <w:rPr>
                <w:rFonts w:ascii="Tahoma" w:hAnsi="Tahoma" w:cs="Tahoma"/>
              </w:rPr>
              <w:t xml:space="preserve">will be free to develop their own </w:t>
            </w:r>
            <w:r w:rsidR="0096516B">
              <w:rPr>
                <w:rFonts w:ascii="Tahoma" w:hAnsi="Tahoma" w:cs="Tahoma"/>
              </w:rPr>
              <w:t>procedures to</w:t>
            </w:r>
            <w:r>
              <w:rPr>
                <w:rFonts w:ascii="Tahoma" w:hAnsi="Tahoma" w:cs="Tahoma"/>
              </w:rPr>
              <w:t xml:space="preserve"> meet the ‘reasonable steps’ requirement.  </w:t>
            </w:r>
          </w:p>
          <w:p w:rsidR="00940475" w:rsidRDefault="002C74F8" w:rsidP="00202152">
            <w:pPr>
              <w:spacing w:after="240"/>
              <w:rPr>
                <w:rFonts w:ascii="Tahoma" w:hAnsi="Tahoma" w:cs="Tahoma"/>
              </w:rPr>
            </w:pPr>
            <w:r>
              <w:rPr>
                <w:rFonts w:ascii="Tahoma" w:hAnsi="Tahoma" w:cs="Tahoma"/>
              </w:rPr>
              <w:t xml:space="preserve">Version 2 of ARNECC’s Model </w:t>
            </w:r>
            <w:r w:rsidR="0060108D">
              <w:rPr>
                <w:rFonts w:ascii="Tahoma" w:hAnsi="Tahoma" w:cs="Tahoma"/>
              </w:rPr>
              <w:t>Participation</w:t>
            </w:r>
            <w:r>
              <w:rPr>
                <w:rFonts w:ascii="Tahoma" w:hAnsi="Tahoma" w:cs="Tahoma"/>
              </w:rPr>
              <w:t xml:space="preserve"> Rules ha</w:t>
            </w:r>
            <w:r w:rsidR="002E1215">
              <w:rPr>
                <w:rFonts w:ascii="Tahoma" w:hAnsi="Tahoma" w:cs="Tahoma"/>
              </w:rPr>
              <w:t>s</w:t>
            </w:r>
            <w:r>
              <w:rPr>
                <w:rFonts w:ascii="Tahoma" w:hAnsi="Tahoma" w:cs="Tahoma"/>
              </w:rPr>
              <w:t xml:space="preserve"> recently been published on its website.  Some </w:t>
            </w:r>
            <w:r w:rsidR="002E1215">
              <w:rPr>
                <w:rFonts w:ascii="Tahoma" w:hAnsi="Tahoma" w:cs="Tahoma"/>
              </w:rPr>
              <w:t>amendments have</w:t>
            </w:r>
            <w:r>
              <w:rPr>
                <w:rFonts w:ascii="Tahoma" w:hAnsi="Tahoma" w:cs="Tahoma"/>
              </w:rPr>
              <w:t xml:space="preserve"> been made to the VOI Standard</w:t>
            </w:r>
            <w:r w:rsidR="0096516B">
              <w:rPr>
                <w:rFonts w:ascii="Tahoma" w:hAnsi="Tahoma" w:cs="Tahoma"/>
              </w:rPr>
              <w:t xml:space="preserve">.  </w:t>
            </w:r>
            <w:r>
              <w:rPr>
                <w:rFonts w:ascii="Tahoma" w:hAnsi="Tahoma" w:cs="Tahoma"/>
              </w:rPr>
              <w:t>The VOI Standard now permits a subscriber or its agent to conduct VOI overseas.</w:t>
            </w:r>
          </w:p>
        </w:tc>
      </w:tr>
      <w:tr w:rsidR="00940475" w:rsidTr="000807EF">
        <w:tc>
          <w:tcPr>
            <w:tcW w:w="4820" w:type="dxa"/>
          </w:tcPr>
          <w:p w:rsidR="00940475" w:rsidRPr="00E3196D" w:rsidRDefault="00940475" w:rsidP="00202152">
            <w:pPr>
              <w:spacing w:after="240"/>
              <w:rPr>
                <w:rFonts w:ascii="Tahoma" w:hAnsi="Tahoma" w:cs="Tahoma"/>
              </w:rPr>
            </w:pPr>
            <w:r w:rsidRPr="0076173E">
              <w:rPr>
                <w:rFonts w:ascii="Tahoma" w:hAnsi="Tahoma" w:cs="Tahoma"/>
              </w:rPr>
              <w:lastRenderedPageBreak/>
              <w:t>VOI requirements should be nationally uniform</w:t>
            </w:r>
            <w:r w:rsidR="002C74F8">
              <w:rPr>
                <w:rFonts w:ascii="Tahoma" w:hAnsi="Tahoma" w:cs="Tahoma"/>
              </w:rPr>
              <w:t>.  E</w:t>
            </w:r>
            <w:r w:rsidRPr="0076173E">
              <w:rPr>
                <w:rFonts w:ascii="Tahoma" w:hAnsi="Tahoma" w:cs="Tahoma"/>
              </w:rPr>
              <w:t xml:space="preserve">lements of the Victorian proposals do not accord with ARNECC models or those currently used or proposed for Western Australia or South Australia. </w:t>
            </w:r>
          </w:p>
        </w:tc>
        <w:tc>
          <w:tcPr>
            <w:tcW w:w="4819" w:type="dxa"/>
          </w:tcPr>
          <w:p w:rsidR="00940475" w:rsidRDefault="002C74F8" w:rsidP="00202152">
            <w:pPr>
              <w:spacing w:after="240"/>
              <w:rPr>
                <w:rFonts w:ascii="Tahoma" w:hAnsi="Tahoma" w:cs="Tahoma"/>
              </w:rPr>
            </w:pPr>
            <w:r>
              <w:rPr>
                <w:rFonts w:ascii="Tahoma" w:hAnsi="Tahoma" w:cs="Tahoma"/>
              </w:rPr>
              <w:t>The standard set out in ARNECC’s Model Participation Rules, as amended from time to time, will be adopted by Victoria.  This standard may require slight adjustment to accommodate paper conveyancing.</w:t>
            </w:r>
          </w:p>
        </w:tc>
      </w:tr>
      <w:tr w:rsidR="00940475" w:rsidTr="000807EF">
        <w:tc>
          <w:tcPr>
            <w:tcW w:w="4820" w:type="dxa"/>
          </w:tcPr>
          <w:p w:rsidR="00940475" w:rsidRDefault="00940475" w:rsidP="00202152">
            <w:pPr>
              <w:spacing w:after="240"/>
              <w:rPr>
                <w:rFonts w:ascii="Tahoma" w:hAnsi="Tahoma" w:cs="Tahoma"/>
              </w:rPr>
            </w:pPr>
            <w:r>
              <w:rPr>
                <w:rFonts w:ascii="Tahoma" w:hAnsi="Tahoma" w:cs="Tahoma"/>
              </w:rPr>
              <w:t xml:space="preserve">VOI requirements should only be introduced once a significant percentage of conveyancing transactions are performed electronically. </w:t>
            </w:r>
          </w:p>
        </w:tc>
        <w:tc>
          <w:tcPr>
            <w:tcW w:w="4819" w:type="dxa"/>
          </w:tcPr>
          <w:p w:rsidR="00940475" w:rsidRDefault="00940475" w:rsidP="00202152">
            <w:pPr>
              <w:spacing w:after="240"/>
              <w:rPr>
                <w:rFonts w:ascii="Tahoma" w:hAnsi="Tahoma" w:cs="Tahoma"/>
              </w:rPr>
            </w:pPr>
            <w:r>
              <w:rPr>
                <w:rFonts w:ascii="Tahoma" w:hAnsi="Tahoma" w:cs="Tahoma"/>
              </w:rPr>
              <w:t>Land Victoria’s view is that prudent conveyancing and mortgage practices should already entail verification of identity of parties.</w:t>
            </w:r>
          </w:p>
        </w:tc>
      </w:tr>
      <w:tr w:rsidR="00940475" w:rsidTr="000807EF">
        <w:tc>
          <w:tcPr>
            <w:tcW w:w="4820" w:type="dxa"/>
          </w:tcPr>
          <w:p w:rsidR="00940475" w:rsidRDefault="00940475" w:rsidP="00202152">
            <w:pPr>
              <w:spacing w:after="240"/>
              <w:rPr>
                <w:rFonts w:ascii="Tahoma" w:hAnsi="Tahoma" w:cs="Tahoma"/>
              </w:rPr>
            </w:pPr>
            <w:r>
              <w:rPr>
                <w:rFonts w:ascii="Tahoma" w:hAnsi="Tahoma" w:cs="Tahoma"/>
              </w:rPr>
              <w:t xml:space="preserve">In paper conveyancing, VOI should not be required for employees of law firms signing documents on behalf of clients. </w:t>
            </w:r>
          </w:p>
        </w:tc>
        <w:tc>
          <w:tcPr>
            <w:tcW w:w="4819" w:type="dxa"/>
          </w:tcPr>
          <w:p w:rsidR="00940475" w:rsidRDefault="00940475" w:rsidP="00202152">
            <w:pPr>
              <w:spacing w:after="240"/>
              <w:rPr>
                <w:rFonts w:ascii="Tahoma" w:hAnsi="Tahoma" w:cs="Tahoma"/>
              </w:rPr>
            </w:pPr>
            <w:r>
              <w:rPr>
                <w:rFonts w:ascii="Tahoma" w:hAnsi="Tahoma" w:cs="Tahoma"/>
              </w:rPr>
              <w:t xml:space="preserve">Verification of staff only needs to be done once. </w:t>
            </w:r>
          </w:p>
        </w:tc>
      </w:tr>
      <w:tr w:rsidR="00940475" w:rsidTr="000807EF">
        <w:tc>
          <w:tcPr>
            <w:tcW w:w="4820" w:type="dxa"/>
          </w:tcPr>
          <w:p w:rsidR="00940475" w:rsidRDefault="00940475" w:rsidP="00202152">
            <w:pPr>
              <w:spacing w:after="240"/>
              <w:rPr>
                <w:rFonts w:ascii="Tahoma" w:hAnsi="Tahoma" w:cs="Tahoma"/>
              </w:rPr>
            </w:pPr>
            <w:r>
              <w:rPr>
                <w:rFonts w:ascii="Tahoma" w:hAnsi="Tahoma" w:cs="Tahoma"/>
              </w:rPr>
              <w:t xml:space="preserve">VOI requirements </w:t>
            </w:r>
            <w:r w:rsidR="0060108D">
              <w:rPr>
                <w:rFonts w:ascii="Tahoma" w:hAnsi="Tahoma" w:cs="Tahoma"/>
              </w:rPr>
              <w:t xml:space="preserve">should </w:t>
            </w:r>
            <w:r w:rsidR="002C74F8">
              <w:rPr>
                <w:rFonts w:ascii="Tahoma" w:hAnsi="Tahoma" w:cs="Tahoma"/>
              </w:rPr>
              <w:t xml:space="preserve">not </w:t>
            </w:r>
            <w:r w:rsidR="00323F30">
              <w:rPr>
                <w:rFonts w:ascii="Tahoma" w:hAnsi="Tahoma" w:cs="Tahoma"/>
              </w:rPr>
              <w:t xml:space="preserve">be </w:t>
            </w:r>
            <w:r>
              <w:rPr>
                <w:rFonts w:ascii="Tahoma" w:hAnsi="Tahoma" w:cs="Tahoma"/>
              </w:rPr>
              <w:t xml:space="preserve">necessary for lodging caveats using paper conveyancing. </w:t>
            </w:r>
          </w:p>
        </w:tc>
        <w:tc>
          <w:tcPr>
            <w:tcW w:w="4819" w:type="dxa"/>
          </w:tcPr>
          <w:p w:rsidR="00940475" w:rsidRDefault="00940475" w:rsidP="00202152">
            <w:pPr>
              <w:spacing w:after="240"/>
              <w:rPr>
                <w:rFonts w:ascii="Tahoma" w:hAnsi="Tahoma" w:cs="Tahoma"/>
              </w:rPr>
            </w:pPr>
            <w:r>
              <w:rPr>
                <w:rFonts w:ascii="Tahoma" w:hAnsi="Tahoma" w:cs="Tahoma"/>
              </w:rPr>
              <w:t>Land Victoria believes it is necessary</w:t>
            </w:r>
            <w:r w:rsidR="003F697B">
              <w:rPr>
                <w:rFonts w:ascii="Tahoma" w:hAnsi="Tahoma" w:cs="Tahoma"/>
              </w:rPr>
              <w:t>,</w:t>
            </w:r>
            <w:r>
              <w:rPr>
                <w:rFonts w:ascii="Tahoma" w:hAnsi="Tahoma" w:cs="Tahoma"/>
              </w:rPr>
              <w:t xml:space="preserve"> given the time and expense it can take an innocent party to have a wrongly </w:t>
            </w:r>
            <w:r w:rsidR="002C74F8">
              <w:rPr>
                <w:rFonts w:ascii="Tahoma" w:hAnsi="Tahoma" w:cs="Tahoma"/>
              </w:rPr>
              <w:t>recorded</w:t>
            </w:r>
            <w:r>
              <w:rPr>
                <w:rFonts w:ascii="Tahoma" w:hAnsi="Tahoma" w:cs="Tahoma"/>
              </w:rPr>
              <w:t xml:space="preserve"> caveat removed.</w:t>
            </w:r>
          </w:p>
          <w:p w:rsidR="00940475" w:rsidRDefault="002C74F8" w:rsidP="00202152">
            <w:pPr>
              <w:spacing w:after="240"/>
              <w:rPr>
                <w:rFonts w:ascii="Tahoma" w:hAnsi="Tahoma" w:cs="Tahoma"/>
              </w:rPr>
            </w:pPr>
            <w:r>
              <w:rPr>
                <w:rFonts w:ascii="Tahoma" w:hAnsi="Tahoma" w:cs="Tahoma"/>
              </w:rPr>
              <w:t xml:space="preserve">Again, </w:t>
            </w:r>
            <w:r w:rsidRPr="002C74F8">
              <w:rPr>
                <w:rFonts w:ascii="Tahoma" w:hAnsi="Tahoma" w:cs="Tahoma"/>
              </w:rPr>
              <w:t>Land Victoria’s view is that prudent conveyancing practices should already entail verification of identity of parties.</w:t>
            </w:r>
          </w:p>
        </w:tc>
      </w:tr>
      <w:tr w:rsidR="00940475" w:rsidTr="000807EF">
        <w:tc>
          <w:tcPr>
            <w:tcW w:w="4820" w:type="dxa"/>
          </w:tcPr>
          <w:p w:rsidR="00940475" w:rsidRDefault="002C74F8" w:rsidP="00912314">
            <w:pPr>
              <w:keepNext/>
              <w:keepLines/>
              <w:spacing w:after="240"/>
              <w:rPr>
                <w:rFonts w:ascii="Tahoma" w:hAnsi="Tahoma" w:cs="Tahoma"/>
              </w:rPr>
            </w:pPr>
            <w:r>
              <w:rPr>
                <w:rFonts w:ascii="Tahoma" w:hAnsi="Tahoma" w:cs="Tahoma"/>
              </w:rPr>
              <w:lastRenderedPageBreak/>
              <w:t>I</w:t>
            </w:r>
            <w:r w:rsidR="00940475">
              <w:rPr>
                <w:rFonts w:ascii="Tahoma" w:hAnsi="Tahoma" w:cs="Tahoma"/>
              </w:rPr>
              <w:t>nformation provided to verifiers of identity may not be subject to sufficient privacy safeguards due to fact that many verifiers of identity may not be subject to privacy legislation (</w:t>
            </w:r>
            <w:proofErr w:type="spellStart"/>
            <w:r w:rsidR="00940475">
              <w:rPr>
                <w:rFonts w:ascii="Tahoma" w:hAnsi="Tahoma" w:cs="Tahoma"/>
              </w:rPr>
              <w:t>eg</w:t>
            </w:r>
            <w:proofErr w:type="spellEnd"/>
            <w:r w:rsidR="00940475">
              <w:rPr>
                <w:rFonts w:ascii="Tahoma" w:hAnsi="Tahoma" w:cs="Tahoma"/>
              </w:rPr>
              <w:t xml:space="preserve"> many small businesses are not covered by privacy legislation due to the exemption for small businesses). </w:t>
            </w:r>
            <w:r>
              <w:rPr>
                <w:rFonts w:ascii="Tahoma" w:hAnsi="Tahoma" w:cs="Tahoma"/>
              </w:rPr>
              <w:t xml:space="preserve"> </w:t>
            </w:r>
            <w:r w:rsidR="00940475">
              <w:rPr>
                <w:rFonts w:ascii="Tahoma" w:hAnsi="Tahoma" w:cs="Tahoma"/>
              </w:rPr>
              <w:t xml:space="preserve">Land Victoria </w:t>
            </w:r>
            <w:r>
              <w:rPr>
                <w:rFonts w:ascii="Tahoma" w:hAnsi="Tahoma" w:cs="Tahoma"/>
              </w:rPr>
              <w:t xml:space="preserve">should </w:t>
            </w:r>
            <w:r w:rsidR="00940475">
              <w:rPr>
                <w:rFonts w:ascii="Tahoma" w:hAnsi="Tahoma" w:cs="Tahoma"/>
              </w:rPr>
              <w:t xml:space="preserve">impose additional requirements on verifiers to ensure there are appropriate privacy safeguards on information collected during verification of identity. </w:t>
            </w:r>
          </w:p>
        </w:tc>
        <w:tc>
          <w:tcPr>
            <w:tcW w:w="4819" w:type="dxa"/>
          </w:tcPr>
          <w:p w:rsidR="00940475" w:rsidRDefault="00940475" w:rsidP="00912314">
            <w:pPr>
              <w:keepNext/>
              <w:keepLines/>
              <w:spacing w:after="240"/>
              <w:rPr>
                <w:rFonts w:ascii="Tahoma" w:hAnsi="Tahoma" w:cs="Tahoma"/>
              </w:rPr>
            </w:pPr>
            <w:r>
              <w:rPr>
                <w:rFonts w:ascii="Tahoma" w:hAnsi="Tahoma" w:cs="Tahoma"/>
              </w:rPr>
              <w:t>Land Victoria believes it is a matter for the Commonwealth Parliament the extent to which privacy requirements should apply to small businesses regulated under Commonwealth Privacy legislation</w:t>
            </w:r>
            <w:r w:rsidR="0096516B">
              <w:rPr>
                <w:rFonts w:ascii="Tahoma" w:hAnsi="Tahoma" w:cs="Tahoma"/>
              </w:rPr>
              <w:t xml:space="preserve">.  </w:t>
            </w:r>
          </w:p>
        </w:tc>
      </w:tr>
      <w:tr w:rsidR="00940475" w:rsidTr="000807EF">
        <w:tc>
          <w:tcPr>
            <w:tcW w:w="4820" w:type="dxa"/>
          </w:tcPr>
          <w:p w:rsidR="00940475" w:rsidRDefault="002C74F8" w:rsidP="00202152">
            <w:pPr>
              <w:spacing w:after="240"/>
              <w:rPr>
                <w:rFonts w:ascii="Tahoma" w:hAnsi="Tahoma" w:cs="Tahoma"/>
              </w:rPr>
            </w:pPr>
            <w:r>
              <w:rPr>
                <w:rFonts w:ascii="Tahoma" w:hAnsi="Tahoma" w:cs="Tahoma"/>
              </w:rPr>
              <w:t>Can</w:t>
            </w:r>
            <w:r w:rsidR="00940475">
              <w:rPr>
                <w:rFonts w:ascii="Tahoma" w:hAnsi="Tahoma" w:cs="Tahoma"/>
              </w:rPr>
              <w:t xml:space="preserve"> any bank employee perform VOI</w:t>
            </w:r>
            <w:r>
              <w:rPr>
                <w:rFonts w:ascii="Tahoma" w:hAnsi="Tahoma" w:cs="Tahoma"/>
              </w:rPr>
              <w:t>?</w:t>
            </w:r>
          </w:p>
        </w:tc>
        <w:tc>
          <w:tcPr>
            <w:tcW w:w="4819" w:type="dxa"/>
          </w:tcPr>
          <w:p w:rsidR="00940475" w:rsidRDefault="002C74F8" w:rsidP="00202152">
            <w:pPr>
              <w:spacing w:after="240"/>
              <w:rPr>
                <w:rFonts w:ascii="Tahoma" w:hAnsi="Tahoma" w:cs="Tahoma"/>
              </w:rPr>
            </w:pPr>
            <w:r>
              <w:rPr>
                <w:rFonts w:ascii="Tahoma" w:hAnsi="Tahoma" w:cs="Tahoma"/>
              </w:rPr>
              <w:t>This is a</w:t>
            </w:r>
            <w:r w:rsidR="00940475">
              <w:rPr>
                <w:rFonts w:ascii="Tahoma" w:hAnsi="Tahoma" w:cs="Tahoma"/>
              </w:rPr>
              <w:t xml:space="preserve"> decision for each individual financial institution</w:t>
            </w:r>
            <w:r>
              <w:rPr>
                <w:rFonts w:ascii="Tahoma" w:hAnsi="Tahoma" w:cs="Tahoma"/>
              </w:rPr>
              <w:t xml:space="preserve">, in assessing what constitutes </w:t>
            </w:r>
            <w:r w:rsidR="0060108D">
              <w:rPr>
                <w:rFonts w:ascii="Tahoma" w:hAnsi="Tahoma" w:cs="Tahoma"/>
              </w:rPr>
              <w:t>‘</w:t>
            </w:r>
            <w:r>
              <w:rPr>
                <w:rFonts w:ascii="Tahoma" w:hAnsi="Tahoma" w:cs="Tahoma"/>
              </w:rPr>
              <w:t>reasonable steps</w:t>
            </w:r>
            <w:r w:rsidR="0060108D">
              <w:rPr>
                <w:rFonts w:ascii="Tahoma" w:hAnsi="Tahoma" w:cs="Tahoma"/>
              </w:rPr>
              <w:t>’</w:t>
            </w:r>
            <w:r w:rsidR="00940475">
              <w:rPr>
                <w:rFonts w:ascii="Tahoma" w:hAnsi="Tahoma" w:cs="Tahoma"/>
              </w:rPr>
              <w:t xml:space="preserve">. </w:t>
            </w:r>
          </w:p>
        </w:tc>
      </w:tr>
      <w:tr w:rsidR="00940475" w:rsidTr="000807EF">
        <w:tc>
          <w:tcPr>
            <w:tcW w:w="4820" w:type="dxa"/>
          </w:tcPr>
          <w:p w:rsidR="00940475" w:rsidRDefault="00940475" w:rsidP="00202152">
            <w:pPr>
              <w:spacing w:after="240"/>
              <w:rPr>
                <w:rFonts w:ascii="Tahoma" w:hAnsi="Tahoma" w:cs="Tahoma"/>
              </w:rPr>
            </w:pPr>
            <w:r>
              <w:rPr>
                <w:rFonts w:ascii="Tahoma" w:hAnsi="Tahoma" w:cs="Tahoma"/>
              </w:rPr>
              <w:t>Will it be possible for a VOI to be performed once and held on record</w:t>
            </w:r>
            <w:r w:rsidR="002E1215">
              <w:rPr>
                <w:rFonts w:ascii="Tahoma" w:hAnsi="Tahoma" w:cs="Tahoma"/>
              </w:rPr>
              <w:t>?</w:t>
            </w:r>
            <w:r>
              <w:rPr>
                <w:rFonts w:ascii="Tahoma" w:hAnsi="Tahoma" w:cs="Tahoma"/>
              </w:rPr>
              <w:t xml:space="preserve"> </w:t>
            </w:r>
          </w:p>
        </w:tc>
        <w:tc>
          <w:tcPr>
            <w:tcW w:w="4819" w:type="dxa"/>
          </w:tcPr>
          <w:p w:rsidR="00940475" w:rsidRDefault="00864C41" w:rsidP="00202152">
            <w:pPr>
              <w:spacing w:after="240"/>
              <w:rPr>
                <w:rFonts w:ascii="Tahoma" w:hAnsi="Tahoma" w:cs="Tahoma"/>
              </w:rPr>
            </w:pPr>
            <w:r>
              <w:rPr>
                <w:rFonts w:ascii="Tahoma" w:hAnsi="Tahoma" w:cs="Tahoma"/>
              </w:rPr>
              <w:t>The r</w:t>
            </w:r>
            <w:r w:rsidR="00940475">
              <w:rPr>
                <w:rFonts w:ascii="Tahoma" w:hAnsi="Tahoma" w:cs="Tahoma"/>
              </w:rPr>
              <w:t>equirement is to take reasonable steps</w:t>
            </w:r>
            <w:r w:rsidR="0096516B">
              <w:rPr>
                <w:rFonts w:ascii="Tahoma" w:hAnsi="Tahoma" w:cs="Tahoma"/>
              </w:rPr>
              <w:t xml:space="preserve">.  </w:t>
            </w:r>
            <w:r w:rsidR="00940475">
              <w:rPr>
                <w:rFonts w:ascii="Tahoma" w:hAnsi="Tahoma" w:cs="Tahoma"/>
              </w:rPr>
              <w:t xml:space="preserve">It is for each financial institution/conveyancer/lawyer to assess whether relying on a previous VOI is reasonable in the circumstances. </w:t>
            </w:r>
          </w:p>
        </w:tc>
      </w:tr>
      <w:tr w:rsidR="00940475" w:rsidTr="000807EF">
        <w:tc>
          <w:tcPr>
            <w:tcW w:w="4820" w:type="dxa"/>
          </w:tcPr>
          <w:p w:rsidR="00940475" w:rsidRDefault="006C4991" w:rsidP="00202152">
            <w:pPr>
              <w:spacing w:after="240"/>
              <w:rPr>
                <w:rFonts w:ascii="Tahoma" w:hAnsi="Tahoma" w:cs="Tahoma"/>
              </w:rPr>
            </w:pPr>
            <w:r>
              <w:rPr>
                <w:rFonts w:ascii="Tahoma" w:hAnsi="Tahoma" w:cs="Tahoma"/>
              </w:rPr>
              <w:t>W</w:t>
            </w:r>
            <w:r w:rsidR="00940475">
              <w:rPr>
                <w:rFonts w:ascii="Tahoma" w:hAnsi="Tahoma" w:cs="Tahoma"/>
              </w:rPr>
              <w:t xml:space="preserve">hy </w:t>
            </w:r>
            <w:r>
              <w:rPr>
                <w:rFonts w:ascii="Tahoma" w:hAnsi="Tahoma" w:cs="Tahoma"/>
              </w:rPr>
              <w:t xml:space="preserve">are </w:t>
            </w:r>
            <w:r w:rsidR="00940475">
              <w:rPr>
                <w:rFonts w:ascii="Tahoma" w:hAnsi="Tahoma" w:cs="Tahoma"/>
              </w:rPr>
              <w:t>VOI requirements commenc</w:t>
            </w:r>
            <w:r>
              <w:rPr>
                <w:rFonts w:ascii="Tahoma" w:hAnsi="Tahoma" w:cs="Tahoma"/>
              </w:rPr>
              <w:t>ing</w:t>
            </w:r>
            <w:r w:rsidR="00940475">
              <w:rPr>
                <w:rFonts w:ascii="Tahoma" w:hAnsi="Tahoma" w:cs="Tahoma"/>
              </w:rPr>
              <w:t xml:space="preserve"> on 1 January 2015</w:t>
            </w:r>
            <w:r>
              <w:rPr>
                <w:rFonts w:ascii="Tahoma" w:hAnsi="Tahoma" w:cs="Tahoma"/>
              </w:rPr>
              <w:t>,</w:t>
            </w:r>
            <w:r w:rsidR="00940475">
              <w:rPr>
                <w:rFonts w:ascii="Tahoma" w:hAnsi="Tahoma" w:cs="Tahoma"/>
              </w:rPr>
              <w:t xml:space="preserve"> when </w:t>
            </w:r>
            <w:r>
              <w:rPr>
                <w:rFonts w:ascii="Tahoma" w:hAnsi="Tahoma" w:cs="Tahoma"/>
              </w:rPr>
              <w:t>PEXA</w:t>
            </w:r>
            <w:r w:rsidR="00940475">
              <w:rPr>
                <w:rFonts w:ascii="Tahoma" w:hAnsi="Tahoma" w:cs="Tahoma"/>
              </w:rPr>
              <w:t xml:space="preserve"> proposes to deploy all functions in Victoria from October 2014</w:t>
            </w:r>
            <w:r>
              <w:rPr>
                <w:rFonts w:ascii="Tahoma" w:hAnsi="Tahoma" w:cs="Tahoma"/>
              </w:rPr>
              <w:t xml:space="preserve">? </w:t>
            </w:r>
            <w:r w:rsidR="00940475">
              <w:rPr>
                <w:rFonts w:ascii="Tahoma" w:hAnsi="Tahoma" w:cs="Tahoma"/>
              </w:rPr>
              <w:t xml:space="preserve"> Why are these two dates </w:t>
            </w:r>
            <w:r>
              <w:rPr>
                <w:rFonts w:ascii="Tahoma" w:hAnsi="Tahoma" w:cs="Tahoma"/>
              </w:rPr>
              <w:t xml:space="preserve">not </w:t>
            </w:r>
            <w:r w:rsidR="00940475">
              <w:rPr>
                <w:rFonts w:ascii="Tahoma" w:hAnsi="Tahoma" w:cs="Tahoma"/>
              </w:rPr>
              <w:t>aligned</w:t>
            </w:r>
            <w:r w:rsidR="0096516B">
              <w:rPr>
                <w:rFonts w:ascii="Tahoma" w:hAnsi="Tahoma" w:cs="Tahoma"/>
              </w:rPr>
              <w:t xml:space="preserve">?  </w:t>
            </w:r>
            <w:r w:rsidR="00940475">
              <w:rPr>
                <w:rFonts w:ascii="Tahoma" w:hAnsi="Tahoma" w:cs="Tahoma"/>
              </w:rPr>
              <w:t>How will matters be processed during the period between October 2014 and January 2015?</w:t>
            </w:r>
          </w:p>
        </w:tc>
        <w:tc>
          <w:tcPr>
            <w:tcW w:w="4819" w:type="dxa"/>
          </w:tcPr>
          <w:p w:rsidR="00940475" w:rsidRDefault="00D8695F" w:rsidP="00202152">
            <w:pPr>
              <w:spacing w:after="240"/>
              <w:rPr>
                <w:rFonts w:ascii="Tahoma" w:hAnsi="Tahoma" w:cs="Tahoma"/>
              </w:rPr>
            </w:pPr>
            <w:r>
              <w:rPr>
                <w:rFonts w:ascii="Tahoma" w:hAnsi="Tahoma" w:cs="Tahoma"/>
              </w:rPr>
              <w:t>The p</w:t>
            </w:r>
            <w:r w:rsidR="00940475">
              <w:rPr>
                <w:rFonts w:ascii="Tahoma" w:hAnsi="Tahoma" w:cs="Tahoma"/>
              </w:rPr>
              <w:t>roposed 1 January 2015 date is to allow stakeholders sufficient lead in time before new requirements commence</w:t>
            </w:r>
            <w:r w:rsidR="0096516B">
              <w:rPr>
                <w:rFonts w:ascii="Tahoma" w:hAnsi="Tahoma" w:cs="Tahoma"/>
              </w:rPr>
              <w:t xml:space="preserve">.  </w:t>
            </w:r>
            <w:r w:rsidR="00940475">
              <w:rPr>
                <w:rFonts w:ascii="Tahoma" w:hAnsi="Tahoma" w:cs="Tahoma"/>
              </w:rPr>
              <w:t>Individuals are free to commence using VOI requirements before 2015 if they wish (</w:t>
            </w:r>
            <w:proofErr w:type="spellStart"/>
            <w:r w:rsidR="00940475">
              <w:rPr>
                <w:rFonts w:ascii="Tahoma" w:hAnsi="Tahoma" w:cs="Tahoma"/>
              </w:rPr>
              <w:t>eg</w:t>
            </w:r>
            <w:proofErr w:type="spellEnd"/>
            <w:r w:rsidR="00940475">
              <w:rPr>
                <w:rFonts w:ascii="Tahoma" w:hAnsi="Tahoma" w:cs="Tahoma"/>
              </w:rPr>
              <w:t xml:space="preserve"> to align with </w:t>
            </w:r>
            <w:r w:rsidR="00C14567">
              <w:rPr>
                <w:rFonts w:ascii="Tahoma" w:hAnsi="Tahoma" w:cs="Tahoma"/>
              </w:rPr>
              <w:t xml:space="preserve">PEXA </w:t>
            </w:r>
            <w:r w:rsidR="00940475">
              <w:rPr>
                <w:rFonts w:ascii="Tahoma" w:hAnsi="Tahoma" w:cs="Tahoma"/>
              </w:rPr>
              <w:t xml:space="preserve">start date). </w:t>
            </w:r>
          </w:p>
          <w:p w:rsidR="00940475" w:rsidRDefault="006C4991" w:rsidP="00202152">
            <w:pPr>
              <w:spacing w:after="240"/>
              <w:rPr>
                <w:rFonts w:ascii="Tahoma" w:hAnsi="Tahoma" w:cs="Tahoma"/>
              </w:rPr>
            </w:pPr>
            <w:r w:rsidRPr="006C4991">
              <w:rPr>
                <w:rFonts w:ascii="Tahoma" w:hAnsi="Tahoma" w:cs="Tahoma"/>
              </w:rPr>
              <w:t>Land Victoria’s view is that prudent conveyancing and mortgage practices should already entail verification of identity of parties.</w:t>
            </w:r>
          </w:p>
        </w:tc>
      </w:tr>
      <w:tr w:rsidR="00940475" w:rsidTr="000807EF">
        <w:tc>
          <w:tcPr>
            <w:tcW w:w="4820" w:type="dxa"/>
          </w:tcPr>
          <w:p w:rsidR="00940475" w:rsidRDefault="006C4991" w:rsidP="00202152">
            <w:pPr>
              <w:spacing w:after="240"/>
              <w:rPr>
                <w:rFonts w:ascii="Tahoma" w:hAnsi="Tahoma" w:cs="Tahoma"/>
              </w:rPr>
            </w:pPr>
            <w:r>
              <w:rPr>
                <w:rFonts w:ascii="Tahoma" w:hAnsi="Tahoma" w:cs="Tahoma"/>
              </w:rPr>
              <w:t>Why is</w:t>
            </w:r>
            <w:r w:rsidR="00940475">
              <w:rPr>
                <w:rFonts w:ascii="Tahoma" w:hAnsi="Tahoma" w:cs="Tahoma"/>
              </w:rPr>
              <w:t xml:space="preserve"> </w:t>
            </w:r>
            <w:r w:rsidR="0096516B">
              <w:rPr>
                <w:rFonts w:ascii="Tahoma" w:hAnsi="Tahoma" w:cs="Tahoma"/>
              </w:rPr>
              <w:t>VOI required</w:t>
            </w:r>
            <w:r w:rsidR="00940475">
              <w:rPr>
                <w:rFonts w:ascii="Tahoma" w:hAnsi="Tahoma" w:cs="Tahoma"/>
              </w:rPr>
              <w:t xml:space="preserve"> if the Registrar will not be itself collecting VOI information</w:t>
            </w:r>
            <w:r>
              <w:rPr>
                <w:rFonts w:ascii="Tahoma" w:hAnsi="Tahoma" w:cs="Tahoma"/>
              </w:rPr>
              <w:t>?</w:t>
            </w:r>
            <w:r w:rsidR="00940475">
              <w:rPr>
                <w:rFonts w:ascii="Tahoma" w:hAnsi="Tahoma" w:cs="Tahoma"/>
              </w:rPr>
              <w:t xml:space="preserve"> </w:t>
            </w:r>
          </w:p>
        </w:tc>
        <w:tc>
          <w:tcPr>
            <w:tcW w:w="4819" w:type="dxa"/>
          </w:tcPr>
          <w:p w:rsidR="00940475" w:rsidRDefault="00940475" w:rsidP="00202152">
            <w:pPr>
              <w:spacing w:after="240"/>
              <w:rPr>
                <w:rFonts w:ascii="Tahoma" w:hAnsi="Tahoma" w:cs="Tahoma"/>
              </w:rPr>
            </w:pPr>
            <w:r>
              <w:rPr>
                <w:rFonts w:ascii="Tahoma" w:hAnsi="Tahoma" w:cs="Tahoma"/>
              </w:rPr>
              <w:t xml:space="preserve">VOI is essential for probity and fraud mitigation. </w:t>
            </w:r>
          </w:p>
          <w:p w:rsidR="00940475" w:rsidRDefault="006C4991" w:rsidP="00202152">
            <w:pPr>
              <w:spacing w:after="240"/>
              <w:rPr>
                <w:rFonts w:ascii="Tahoma" w:hAnsi="Tahoma" w:cs="Tahoma"/>
              </w:rPr>
            </w:pPr>
            <w:r w:rsidRPr="006C4991">
              <w:rPr>
                <w:rFonts w:ascii="Tahoma" w:hAnsi="Tahoma" w:cs="Tahoma"/>
              </w:rPr>
              <w:t>Land Victoria’s view is that prudent conveyancing and mortgage practices should already entail verification of identity of parties.</w:t>
            </w:r>
          </w:p>
        </w:tc>
      </w:tr>
      <w:tr w:rsidR="00940475" w:rsidTr="000807EF">
        <w:tc>
          <w:tcPr>
            <w:tcW w:w="4820" w:type="dxa"/>
          </w:tcPr>
          <w:p w:rsidR="00940475" w:rsidRDefault="001F03BB" w:rsidP="00202152">
            <w:pPr>
              <w:spacing w:after="240"/>
              <w:rPr>
                <w:rFonts w:ascii="Tahoma" w:hAnsi="Tahoma" w:cs="Tahoma"/>
              </w:rPr>
            </w:pPr>
            <w:r>
              <w:rPr>
                <w:rFonts w:ascii="Tahoma" w:hAnsi="Tahoma" w:cs="Tahoma"/>
              </w:rPr>
              <w:t>W</w:t>
            </w:r>
            <w:r w:rsidR="00940475">
              <w:rPr>
                <w:rFonts w:ascii="Tahoma" w:hAnsi="Tahoma" w:cs="Tahoma"/>
              </w:rPr>
              <w:t xml:space="preserve">hose responsibility will </w:t>
            </w:r>
            <w:r>
              <w:rPr>
                <w:rFonts w:ascii="Tahoma" w:hAnsi="Tahoma" w:cs="Tahoma"/>
              </w:rPr>
              <w:t xml:space="preserve">it </w:t>
            </w:r>
            <w:r w:rsidR="00940475">
              <w:rPr>
                <w:rFonts w:ascii="Tahoma" w:hAnsi="Tahoma" w:cs="Tahoma"/>
              </w:rPr>
              <w:t>be to ensure VOI and Client Authorisations have been completed</w:t>
            </w:r>
            <w:r>
              <w:rPr>
                <w:rFonts w:ascii="Tahoma" w:hAnsi="Tahoma" w:cs="Tahoma"/>
              </w:rPr>
              <w:t>?</w:t>
            </w:r>
            <w:r w:rsidR="00940475">
              <w:rPr>
                <w:rFonts w:ascii="Tahoma" w:hAnsi="Tahoma" w:cs="Tahoma"/>
              </w:rPr>
              <w:t xml:space="preserve"> </w:t>
            </w:r>
          </w:p>
        </w:tc>
        <w:tc>
          <w:tcPr>
            <w:tcW w:w="4819" w:type="dxa"/>
          </w:tcPr>
          <w:p w:rsidR="00940475" w:rsidRDefault="001F03BB" w:rsidP="00202152">
            <w:pPr>
              <w:spacing w:after="240"/>
              <w:rPr>
                <w:rFonts w:ascii="Tahoma" w:hAnsi="Tahoma" w:cs="Tahoma"/>
              </w:rPr>
            </w:pPr>
            <w:r>
              <w:rPr>
                <w:rFonts w:ascii="Tahoma" w:hAnsi="Tahoma" w:cs="Tahoma"/>
              </w:rPr>
              <w:t>The r</w:t>
            </w:r>
            <w:r w:rsidR="00940475">
              <w:rPr>
                <w:rFonts w:ascii="Tahoma" w:hAnsi="Tahoma" w:cs="Tahoma"/>
              </w:rPr>
              <w:t>esponsibility will rest with whoever provided the relevant certification</w:t>
            </w:r>
            <w:r w:rsidR="0096516B">
              <w:rPr>
                <w:rFonts w:ascii="Tahoma" w:hAnsi="Tahoma" w:cs="Tahoma"/>
              </w:rPr>
              <w:t xml:space="preserve">.  </w:t>
            </w:r>
          </w:p>
        </w:tc>
      </w:tr>
      <w:tr w:rsidR="00940475" w:rsidTr="000807EF">
        <w:tc>
          <w:tcPr>
            <w:tcW w:w="4820" w:type="dxa"/>
          </w:tcPr>
          <w:p w:rsidR="00940475" w:rsidRDefault="00052347" w:rsidP="00202152">
            <w:pPr>
              <w:spacing w:after="240"/>
              <w:rPr>
                <w:rFonts w:ascii="Tahoma" w:hAnsi="Tahoma" w:cs="Tahoma"/>
              </w:rPr>
            </w:pPr>
            <w:r>
              <w:rPr>
                <w:rFonts w:ascii="Tahoma" w:hAnsi="Tahoma" w:cs="Tahoma"/>
              </w:rPr>
              <w:t xml:space="preserve">The </w:t>
            </w:r>
            <w:r w:rsidR="00940475">
              <w:rPr>
                <w:rFonts w:ascii="Tahoma" w:hAnsi="Tahoma" w:cs="Tahoma"/>
              </w:rPr>
              <w:t xml:space="preserve">national </w:t>
            </w:r>
            <w:r>
              <w:rPr>
                <w:rFonts w:ascii="Tahoma" w:hAnsi="Tahoma" w:cs="Tahoma"/>
              </w:rPr>
              <w:t xml:space="preserve">VOI Standard should be based on </w:t>
            </w:r>
            <w:r w:rsidR="00940475">
              <w:rPr>
                <w:rFonts w:ascii="Tahoma" w:hAnsi="Tahoma" w:cs="Tahoma"/>
              </w:rPr>
              <w:t>the current NSW provision</w:t>
            </w:r>
            <w:r>
              <w:rPr>
                <w:rFonts w:ascii="Tahoma" w:hAnsi="Tahoma" w:cs="Tahoma"/>
              </w:rPr>
              <w:t>,</w:t>
            </w:r>
            <w:r w:rsidR="00940475">
              <w:rPr>
                <w:rFonts w:ascii="Tahoma" w:hAnsi="Tahoma" w:cs="Tahoma"/>
              </w:rPr>
              <w:t xml:space="preserve"> under which compliance with Commonwealth Anti-Money </w:t>
            </w:r>
            <w:r>
              <w:rPr>
                <w:rFonts w:ascii="Tahoma" w:hAnsi="Tahoma" w:cs="Tahoma"/>
              </w:rPr>
              <w:t>L</w:t>
            </w:r>
            <w:r w:rsidR="00940475">
              <w:rPr>
                <w:rFonts w:ascii="Tahoma" w:hAnsi="Tahoma" w:cs="Tahoma"/>
              </w:rPr>
              <w:t xml:space="preserve">aundering and </w:t>
            </w:r>
            <w:r>
              <w:rPr>
                <w:rFonts w:ascii="Tahoma" w:hAnsi="Tahoma" w:cs="Tahoma"/>
              </w:rPr>
              <w:t>C</w:t>
            </w:r>
            <w:r w:rsidR="00940475">
              <w:rPr>
                <w:rFonts w:ascii="Tahoma" w:hAnsi="Tahoma" w:cs="Tahoma"/>
              </w:rPr>
              <w:t xml:space="preserve">ounter </w:t>
            </w:r>
            <w:r>
              <w:rPr>
                <w:rFonts w:ascii="Tahoma" w:hAnsi="Tahoma" w:cs="Tahoma"/>
              </w:rPr>
              <w:t>T</w:t>
            </w:r>
            <w:r w:rsidR="00940475">
              <w:rPr>
                <w:rFonts w:ascii="Tahoma" w:hAnsi="Tahoma" w:cs="Tahoma"/>
              </w:rPr>
              <w:t xml:space="preserve">errorism </w:t>
            </w:r>
            <w:r w:rsidR="007947AC">
              <w:rPr>
                <w:rFonts w:ascii="Tahoma" w:hAnsi="Tahoma" w:cs="Tahoma"/>
              </w:rPr>
              <w:t xml:space="preserve">Financing </w:t>
            </w:r>
            <w:r w:rsidR="00940475">
              <w:rPr>
                <w:rFonts w:ascii="Tahoma" w:hAnsi="Tahoma" w:cs="Tahoma"/>
              </w:rPr>
              <w:t>requirements is deemed to constitute appropriate steps for undertaking verification of identity</w:t>
            </w:r>
            <w:r w:rsidR="0096516B">
              <w:rPr>
                <w:rFonts w:ascii="Tahoma" w:hAnsi="Tahoma" w:cs="Tahoma"/>
              </w:rPr>
              <w:t xml:space="preserve">.  </w:t>
            </w:r>
            <w:r w:rsidR="00940475">
              <w:rPr>
                <w:rFonts w:ascii="Tahoma" w:hAnsi="Tahoma" w:cs="Tahoma"/>
              </w:rPr>
              <w:t xml:space="preserve">This will also address concerns </w:t>
            </w:r>
            <w:r w:rsidR="00940475">
              <w:rPr>
                <w:rFonts w:ascii="Tahoma" w:hAnsi="Tahoma" w:cs="Tahoma"/>
              </w:rPr>
              <w:lastRenderedPageBreak/>
              <w:t xml:space="preserve">that the proposed Victorian standard will not address desires for </w:t>
            </w:r>
            <w:r w:rsidR="002E1215">
              <w:rPr>
                <w:rFonts w:ascii="Tahoma" w:hAnsi="Tahoma" w:cs="Tahoma"/>
              </w:rPr>
              <w:t>non-face</w:t>
            </w:r>
            <w:r w:rsidR="00940475">
              <w:rPr>
                <w:rFonts w:ascii="Tahoma" w:hAnsi="Tahoma" w:cs="Tahoma"/>
              </w:rPr>
              <w:t xml:space="preserve"> to face means of identity verification. </w:t>
            </w:r>
          </w:p>
        </w:tc>
        <w:tc>
          <w:tcPr>
            <w:tcW w:w="4819" w:type="dxa"/>
          </w:tcPr>
          <w:p w:rsidR="00940475" w:rsidRDefault="00940475" w:rsidP="00202152">
            <w:pPr>
              <w:spacing w:after="240"/>
              <w:rPr>
                <w:rFonts w:ascii="Tahoma" w:hAnsi="Tahoma" w:cs="Tahoma"/>
              </w:rPr>
            </w:pPr>
            <w:r>
              <w:rPr>
                <w:rFonts w:ascii="Tahoma" w:hAnsi="Tahoma" w:cs="Tahoma"/>
              </w:rPr>
              <w:lastRenderedPageBreak/>
              <w:t xml:space="preserve">Other jurisdictions are expected to replace any existing VOI requirements with </w:t>
            </w:r>
            <w:r w:rsidR="007947AC">
              <w:rPr>
                <w:rFonts w:ascii="Tahoma" w:hAnsi="Tahoma" w:cs="Tahoma"/>
              </w:rPr>
              <w:t>those recently published by ARNECC</w:t>
            </w:r>
            <w:r>
              <w:rPr>
                <w:rFonts w:ascii="Tahoma" w:hAnsi="Tahoma" w:cs="Tahoma"/>
              </w:rPr>
              <w:t xml:space="preserve">. </w:t>
            </w:r>
          </w:p>
        </w:tc>
      </w:tr>
      <w:tr w:rsidR="00940475" w:rsidTr="000807EF">
        <w:tc>
          <w:tcPr>
            <w:tcW w:w="4820" w:type="dxa"/>
          </w:tcPr>
          <w:p w:rsidR="00940475" w:rsidRDefault="00226B12" w:rsidP="00202152">
            <w:pPr>
              <w:spacing w:after="240"/>
              <w:rPr>
                <w:rFonts w:ascii="Tahoma" w:hAnsi="Tahoma" w:cs="Tahoma"/>
              </w:rPr>
            </w:pPr>
            <w:r>
              <w:rPr>
                <w:rFonts w:ascii="Tahoma" w:hAnsi="Tahoma" w:cs="Tahoma"/>
              </w:rPr>
              <w:lastRenderedPageBreak/>
              <w:t>Why is</w:t>
            </w:r>
            <w:r w:rsidR="00940475">
              <w:rPr>
                <w:rFonts w:ascii="Tahoma" w:hAnsi="Tahoma" w:cs="Tahoma"/>
              </w:rPr>
              <w:t xml:space="preserve"> a seven year document retention </w:t>
            </w:r>
            <w:r w:rsidR="0096516B">
              <w:rPr>
                <w:rFonts w:ascii="Tahoma" w:hAnsi="Tahoma" w:cs="Tahoma"/>
              </w:rPr>
              <w:t>period required</w:t>
            </w:r>
            <w:r w:rsidR="002E1215">
              <w:rPr>
                <w:rFonts w:ascii="Tahoma" w:hAnsi="Tahoma" w:cs="Tahoma"/>
              </w:rPr>
              <w:t xml:space="preserve">? </w:t>
            </w:r>
            <w:r w:rsidR="00940475">
              <w:rPr>
                <w:rFonts w:ascii="Tahoma" w:hAnsi="Tahoma" w:cs="Tahoma"/>
              </w:rPr>
              <w:t xml:space="preserve"> Banks should be free to choose what and for how long they will retain documents as they see fit</w:t>
            </w:r>
            <w:r w:rsidR="00324160">
              <w:rPr>
                <w:rFonts w:ascii="Tahoma" w:hAnsi="Tahoma" w:cs="Tahoma"/>
              </w:rPr>
              <w:t>?</w:t>
            </w:r>
            <w:r w:rsidR="00940475">
              <w:rPr>
                <w:rFonts w:ascii="Tahoma" w:hAnsi="Tahoma" w:cs="Tahoma"/>
              </w:rPr>
              <w:t xml:space="preserve"> </w:t>
            </w:r>
          </w:p>
        </w:tc>
        <w:tc>
          <w:tcPr>
            <w:tcW w:w="4819" w:type="dxa"/>
          </w:tcPr>
          <w:p w:rsidR="00940475" w:rsidRDefault="00226B12" w:rsidP="00202152">
            <w:pPr>
              <w:spacing w:after="240"/>
              <w:rPr>
                <w:rFonts w:ascii="Tahoma" w:hAnsi="Tahoma" w:cs="Tahoma"/>
              </w:rPr>
            </w:pPr>
            <w:r>
              <w:rPr>
                <w:rFonts w:ascii="Tahoma" w:hAnsi="Tahoma" w:cs="Tahoma"/>
              </w:rPr>
              <w:t xml:space="preserve">This aligns with the requirements in ARNECC’s Model </w:t>
            </w:r>
            <w:r w:rsidR="00324160">
              <w:rPr>
                <w:rFonts w:ascii="Tahoma" w:hAnsi="Tahoma" w:cs="Tahoma"/>
              </w:rPr>
              <w:t>Participation</w:t>
            </w:r>
            <w:r>
              <w:rPr>
                <w:rFonts w:ascii="Tahoma" w:hAnsi="Tahoma" w:cs="Tahoma"/>
              </w:rPr>
              <w:t xml:space="preserve"> Rules</w:t>
            </w:r>
            <w:r w:rsidR="0096516B">
              <w:rPr>
                <w:rFonts w:ascii="Tahoma" w:hAnsi="Tahoma" w:cs="Tahoma"/>
              </w:rPr>
              <w:t xml:space="preserve">.  </w:t>
            </w:r>
          </w:p>
        </w:tc>
      </w:tr>
      <w:tr w:rsidR="00940475" w:rsidTr="000807EF">
        <w:tc>
          <w:tcPr>
            <w:tcW w:w="4820" w:type="dxa"/>
          </w:tcPr>
          <w:p w:rsidR="00940475" w:rsidRDefault="00940475" w:rsidP="00202152">
            <w:pPr>
              <w:spacing w:after="240"/>
              <w:rPr>
                <w:rFonts w:ascii="Tahoma" w:hAnsi="Tahoma" w:cs="Tahoma"/>
              </w:rPr>
            </w:pPr>
            <w:r>
              <w:rPr>
                <w:rFonts w:ascii="Tahoma" w:hAnsi="Tahoma" w:cs="Tahoma"/>
              </w:rPr>
              <w:t xml:space="preserve">VOI should not be required for paper transactions, given the costs this will impose, until the majority of transactions are performed electronically. </w:t>
            </w:r>
          </w:p>
        </w:tc>
        <w:tc>
          <w:tcPr>
            <w:tcW w:w="4819" w:type="dxa"/>
          </w:tcPr>
          <w:p w:rsidR="00940475" w:rsidRDefault="00940475" w:rsidP="00202152">
            <w:pPr>
              <w:spacing w:after="240"/>
              <w:rPr>
                <w:rFonts w:ascii="Tahoma" w:hAnsi="Tahoma" w:cs="Tahoma"/>
              </w:rPr>
            </w:pPr>
            <w:r>
              <w:rPr>
                <w:rFonts w:ascii="Tahoma" w:hAnsi="Tahoma" w:cs="Tahoma"/>
              </w:rPr>
              <w:t>Land Victoria’s view is that prudent conveyancing and mortgage practices should already entail verification of identity of parties.</w:t>
            </w:r>
          </w:p>
        </w:tc>
      </w:tr>
      <w:tr w:rsidR="00940475" w:rsidTr="000807EF">
        <w:tc>
          <w:tcPr>
            <w:tcW w:w="4820" w:type="dxa"/>
          </w:tcPr>
          <w:p w:rsidR="00940475" w:rsidRDefault="00226B12" w:rsidP="00202152">
            <w:pPr>
              <w:spacing w:after="240"/>
              <w:rPr>
                <w:rFonts w:ascii="Tahoma" w:hAnsi="Tahoma" w:cs="Tahoma"/>
              </w:rPr>
            </w:pPr>
            <w:r>
              <w:rPr>
                <w:rFonts w:ascii="Tahoma" w:hAnsi="Tahoma" w:cs="Tahoma"/>
              </w:rPr>
              <w:t xml:space="preserve">A </w:t>
            </w:r>
            <w:r w:rsidR="00940475">
              <w:rPr>
                <w:rFonts w:ascii="Tahoma" w:hAnsi="Tahoma" w:cs="Tahoma"/>
              </w:rPr>
              <w:t xml:space="preserve">document verification service </w:t>
            </w:r>
            <w:r>
              <w:rPr>
                <w:rFonts w:ascii="Tahoma" w:hAnsi="Tahoma" w:cs="Tahoma"/>
              </w:rPr>
              <w:t xml:space="preserve">should be used </w:t>
            </w:r>
            <w:r w:rsidR="00940475">
              <w:rPr>
                <w:rFonts w:ascii="Tahoma" w:hAnsi="Tahoma" w:cs="Tahoma"/>
              </w:rPr>
              <w:t xml:space="preserve">to enhance the reliability of VOI. </w:t>
            </w:r>
          </w:p>
        </w:tc>
        <w:tc>
          <w:tcPr>
            <w:tcW w:w="4819" w:type="dxa"/>
          </w:tcPr>
          <w:p w:rsidR="00940475" w:rsidRDefault="00226B12" w:rsidP="00202152">
            <w:pPr>
              <w:spacing w:after="240"/>
              <w:rPr>
                <w:rFonts w:ascii="Tahoma" w:hAnsi="Tahoma" w:cs="Tahoma"/>
              </w:rPr>
            </w:pPr>
            <w:r>
              <w:rPr>
                <w:rFonts w:ascii="Tahoma" w:hAnsi="Tahoma" w:cs="Tahoma"/>
              </w:rPr>
              <w:t>Stakeholders are</w:t>
            </w:r>
            <w:r w:rsidR="00940475">
              <w:rPr>
                <w:rFonts w:ascii="Tahoma" w:hAnsi="Tahoma" w:cs="Tahoma"/>
              </w:rPr>
              <w:t xml:space="preserve"> welcome to use a document verification service if they wish</w:t>
            </w:r>
            <w:r w:rsidR="0096516B">
              <w:rPr>
                <w:rFonts w:ascii="Tahoma" w:hAnsi="Tahoma" w:cs="Tahoma"/>
              </w:rPr>
              <w:t xml:space="preserve">.  </w:t>
            </w:r>
          </w:p>
        </w:tc>
      </w:tr>
      <w:tr w:rsidR="00940475" w:rsidTr="000807EF">
        <w:tc>
          <w:tcPr>
            <w:tcW w:w="4820" w:type="dxa"/>
          </w:tcPr>
          <w:p w:rsidR="00940475" w:rsidRDefault="00940475" w:rsidP="00202152">
            <w:pPr>
              <w:spacing w:after="240"/>
              <w:rPr>
                <w:rFonts w:ascii="Tahoma" w:hAnsi="Tahoma" w:cs="Tahoma"/>
              </w:rPr>
            </w:pPr>
            <w:r>
              <w:rPr>
                <w:rFonts w:ascii="Tahoma" w:hAnsi="Tahoma" w:cs="Tahoma"/>
              </w:rPr>
              <w:t xml:space="preserve">Mortgagees should have the option of using either a defined safe harbour VOI standard or their own process. </w:t>
            </w:r>
          </w:p>
        </w:tc>
        <w:tc>
          <w:tcPr>
            <w:tcW w:w="4819" w:type="dxa"/>
          </w:tcPr>
          <w:p w:rsidR="00940475" w:rsidRDefault="00940475" w:rsidP="00202152">
            <w:pPr>
              <w:spacing w:after="240"/>
              <w:rPr>
                <w:rFonts w:ascii="Tahoma" w:hAnsi="Tahoma" w:cs="Tahoma"/>
              </w:rPr>
            </w:pPr>
            <w:r>
              <w:rPr>
                <w:rFonts w:ascii="Tahoma" w:hAnsi="Tahoma" w:cs="Tahoma"/>
              </w:rPr>
              <w:t>This is what Land Victoria proposes</w:t>
            </w:r>
            <w:r w:rsidR="0096516B">
              <w:rPr>
                <w:rFonts w:ascii="Tahoma" w:hAnsi="Tahoma" w:cs="Tahoma"/>
              </w:rPr>
              <w:t xml:space="preserve">.  </w:t>
            </w:r>
            <w:r>
              <w:rPr>
                <w:rFonts w:ascii="Tahoma" w:hAnsi="Tahoma" w:cs="Tahoma"/>
              </w:rPr>
              <w:t xml:space="preserve">If mortgagees have their own processes it will need to meet the </w:t>
            </w:r>
            <w:r w:rsidR="003F697B">
              <w:rPr>
                <w:rFonts w:ascii="Tahoma" w:hAnsi="Tahoma" w:cs="Tahoma"/>
              </w:rPr>
              <w:t>‘</w:t>
            </w:r>
            <w:r>
              <w:rPr>
                <w:rFonts w:ascii="Tahoma" w:hAnsi="Tahoma" w:cs="Tahoma"/>
              </w:rPr>
              <w:t>reasonable steps</w:t>
            </w:r>
            <w:r w:rsidR="003F697B">
              <w:rPr>
                <w:rFonts w:ascii="Tahoma" w:hAnsi="Tahoma" w:cs="Tahoma"/>
              </w:rPr>
              <w:t>’</w:t>
            </w:r>
            <w:r>
              <w:rPr>
                <w:rFonts w:ascii="Tahoma" w:hAnsi="Tahoma" w:cs="Tahoma"/>
              </w:rPr>
              <w:t xml:space="preserve"> requirement.</w:t>
            </w:r>
          </w:p>
        </w:tc>
      </w:tr>
    </w:tbl>
    <w:p w:rsidR="008F6E10" w:rsidRDefault="008F6E10" w:rsidP="008F6E10">
      <w:pPr>
        <w:keepNext/>
        <w:keepLines/>
        <w:spacing w:after="120" w:line="240" w:lineRule="auto"/>
        <w:rPr>
          <w:rFonts w:ascii="Tahoma" w:hAnsi="Tahoma" w:cs="Tahoma"/>
        </w:rPr>
      </w:pPr>
    </w:p>
    <w:p w:rsidR="00FE0BF0" w:rsidRDefault="00FE0BF0" w:rsidP="003B22F1">
      <w:pPr>
        <w:keepNext/>
        <w:keepLines/>
        <w:spacing w:before="240" w:after="240" w:line="240" w:lineRule="auto"/>
        <w:rPr>
          <w:rFonts w:ascii="Tahoma" w:hAnsi="Tahoma" w:cs="Tahoma"/>
          <w:i/>
          <w:sz w:val="24"/>
          <w:szCs w:val="24"/>
          <w:u w:val="single"/>
        </w:rPr>
      </w:pPr>
      <w:bookmarkStart w:id="4" w:name="_Toc372902658"/>
      <w:r w:rsidRPr="00A40C4B">
        <w:rPr>
          <w:rFonts w:ascii="Tahoma" w:hAnsi="Tahoma" w:cs="Tahoma"/>
          <w:i/>
          <w:sz w:val="24"/>
          <w:szCs w:val="24"/>
          <w:u w:val="single"/>
        </w:rPr>
        <w:t>Client authorisation</w:t>
      </w:r>
      <w:bookmarkEnd w:id="4"/>
      <w:r w:rsidR="00366E21">
        <w:rPr>
          <w:rFonts w:ascii="Tahoma" w:hAnsi="Tahoma" w:cs="Tahoma"/>
          <w:i/>
          <w:sz w:val="24"/>
          <w:szCs w:val="24"/>
          <w:u w:val="single"/>
        </w:rPr>
        <w:t>s</w:t>
      </w:r>
    </w:p>
    <w:p w:rsidR="009D781C" w:rsidRPr="00B70976" w:rsidRDefault="009D781C" w:rsidP="000807EF">
      <w:pPr>
        <w:spacing w:after="240" w:line="240" w:lineRule="auto"/>
        <w:rPr>
          <w:rFonts w:ascii="Tahoma" w:hAnsi="Tahoma" w:cs="Tahoma"/>
          <w:color w:val="6D5125" w:themeColor="accent5" w:themeShade="80"/>
        </w:rPr>
      </w:pPr>
      <w:r w:rsidRPr="00B70976">
        <w:rPr>
          <w:rFonts w:ascii="Tahoma" w:hAnsi="Tahoma" w:cs="Tahoma"/>
          <w:color w:val="6D5125" w:themeColor="accent5" w:themeShade="80"/>
        </w:rPr>
        <w:t>Questions included in Consultation Paper</w:t>
      </w:r>
    </w:p>
    <w:p w:rsidR="0088495F" w:rsidRPr="003B22F1" w:rsidRDefault="0088495F" w:rsidP="000807EF">
      <w:pPr>
        <w:spacing w:after="240" w:line="240" w:lineRule="auto"/>
        <w:ind w:left="567" w:hanging="567"/>
        <w:rPr>
          <w:rFonts w:ascii="Tahoma" w:eastAsia="Times New Roman" w:hAnsi="Tahoma" w:cs="Tahoma"/>
          <w:color w:val="6D5125" w:themeColor="accent5" w:themeShade="80"/>
        </w:rPr>
      </w:pPr>
      <w:r w:rsidRPr="003B22F1">
        <w:rPr>
          <w:rFonts w:ascii="Tahoma" w:eastAsia="Times New Roman" w:hAnsi="Tahoma" w:cs="Tahoma"/>
          <w:color w:val="6D5125" w:themeColor="accent5" w:themeShade="80"/>
        </w:rPr>
        <w:t>5.1:</w:t>
      </w:r>
      <w:r w:rsidRPr="003B22F1">
        <w:rPr>
          <w:rFonts w:ascii="Tahoma" w:eastAsia="Times New Roman" w:hAnsi="Tahoma" w:cs="Tahoma"/>
          <w:color w:val="6D5125" w:themeColor="accent5" w:themeShade="80"/>
        </w:rPr>
        <w:tab/>
        <w:t>Is the introduction of client authorisation requirements appropriate for paper conveyancing transactions?  If not, why not?</w:t>
      </w:r>
    </w:p>
    <w:p w:rsidR="000744AF" w:rsidRDefault="000744AF" w:rsidP="007670CC">
      <w:pPr>
        <w:tabs>
          <w:tab w:val="left" w:pos="851"/>
        </w:tabs>
        <w:spacing w:after="240" w:line="240" w:lineRule="auto"/>
        <w:ind w:left="567" w:hanging="567"/>
        <w:rPr>
          <w:rFonts w:ascii="Tahoma" w:eastAsia="Times New Roman" w:hAnsi="Tahoma" w:cs="Tahoma"/>
          <w:color w:val="6D5125" w:themeColor="accent5" w:themeShade="80"/>
          <w:sz w:val="20"/>
          <w:szCs w:val="20"/>
        </w:rPr>
      </w:pPr>
    </w:p>
    <w:p w:rsidR="000744AF" w:rsidRDefault="000744AF" w:rsidP="003F697B">
      <w:pPr>
        <w:keepNext/>
        <w:keepLines/>
        <w:tabs>
          <w:tab w:val="left" w:pos="851"/>
        </w:tabs>
        <w:spacing w:before="240" w:after="240" w:line="240" w:lineRule="auto"/>
        <w:rPr>
          <w:rFonts w:ascii="Tahoma" w:hAnsi="Tahoma" w:cs="Tahoma"/>
          <w:i/>
        </w:rPr>
      </w:pPr>
      <w:r w:rsidRPr="00D66DA3">
        <w:rPr>
          <w:rFonts w:ascii="Tahoma" w:hAnsi="Tahoma" w:cs="Tahoma"/>
          <w:i/>
        </w:rPr>
        <w:t xml:space="preserve">Overview of stakeholder response to proposed </w:t>
      </w:r>
      <w:r w:rsidR="00366C8B">
        <w:rPr>
          <w:rFonts w:ascii="Tahoma" w:hAnsi="Tahoma" w:cs="Tahoma"/>
          <w:i/>
        </w:rPr>
        <w:t>client authorisation requirements</w:t>
      </w:r>
      <w:r>
        <w:rPr>
          <w:rFonts w:ascii="Tahoma" w:hAnsi="Tahoma" w:cs="Tahoma"/>
          <w:i/>
        </w:rPr>
        <w:t xml:space="preserve"> </w:t>
      </w:r>
    </w:p>
    <w:p w:rsidR="000744AF" w:rsidRDefault="007F41C5" w:rsidP="006D3025">
      <w:pPr>
        <w:numPr>
          <w:ilvl w:val="0"/>
          <w:numId w:val="3"/>
        </w:numPr>
        <w:tabs>
          <w:tab w:val="clear" w:pos="360"/>
        </w:tabs>
        <w:spacing w:after="240" w:line="240" w:lineRule="auto"/>
        <w:ind w:left="567" w:hanging="567"/>
        <w:rPr>
          <w:rFonts w:ascii="Tahoma" w:hAnsi="Tahoma" w:cs="Tahoma"/>
        </w:rPr>
      </w:pPr>
      <w:r>
        <w:rPr>
          <w:rFonts w:ascii="Tahoma" w:eastAsia="Calibri" w:hAnsi="Tahoma" w:cs="Tahoma"/>
        </w:rPr>
        <w:t>Three</w:t>
      </w:r>
      <w:r w:rsidR="000744AF">
        <w:rPr>
          <w:rFonts w:ascii="Tahoma" w:eastAsia="Calibri" w:hAnsi="Tahoma" w:cs="Tahoma"/>
        </w:rPr>
        <w:t xml:space="preserve"> s</w:t>
      </w:r>
      <w:r w:rsidR="000744AF" w:rsidRPr="00900F26">
        <w:rPr>
          <w:rFonts w:ascii="Tahoma" w:eastAsia="Calibri" w:hAnsi="Tahoma" w:cs="Tahoma"/>
        </w:rPr>
        <w:t xml:space="preserve">ubmissions </w:t>
      </w:r>
      <w:r w:rsidR="000744AF" w:rsidRPr="00900F26">
        <w:rPr>
          <w:rFonts w:ascii="Tahoma" w:hAnsi="Tahoma" w:cs="Tahoma"/>
        </w:rPr>
        <w:t xml:space="preserve">supported the </w:t>
      </w:r>
      <w:r w:rsidR="000744AF">
        <w:rPr>
          <w:rFonts w:ascii="Tahoma" w:hAnsi="Tahoma" w:cs="Tahoma"/>
        </w:rPr>
        <w:t xml:space="preserve">proposals in the </w:t>
      </w:r>
      <w:r w:rsidR="00B70976">
        <w:rPr>
          <w:rFonts w:ascii="Tahoma" w:hAnsi="Tahoma" w:cs="Tahoma"/>
        </w:rPr>
        <w:t>Consultation Paper</w:t>
      </w:r>
      <w:r w:rsidR="000744AF">
        <w:rPr>
          <w:rFonts w:ascii="Tahoma" w:hAnsi="Tahoma" w:cs="Tahoma"/>
        </w:rPr>
        <w:t xml:space="preserve"> relating to </w:t>
      </w:r>
      <w:r w:rsidR="00432DA2">
        <w:rPr>
          <w:rFonts w:ascii="Tahoma" w:hAnsi="Tahoma" w:cs="Tahoma"/>
        </w:rPr>
        <w:t>client authorisations</w:t>
      </w:r>
      <w:r w:rsidR="0096516B">
        <w:rPr>
          <w:rFonts w:ascii="Tahoma" w:hAnsi="Tahoma" w:cs="Tahoma"/>
        </w:rPr>
        <w:t xml:space="preserve">.  </w:t>
      </w:r>
      <w:r>
        <w:rPr>
          <w:rFonts w:ascii="Tahoma" w:hAnsi="Tahoma" w:cs="Tahoma"/>
        </w:rPr>
        <w:t>Four</w:t>
      </w:r>
      <w:r w:rsidR="000744AF">
        <w:rPr>
          <w:rFonts w:ascii="Tahoma" w:hAnsi="Tahoma" w:cs="Tahoma"/>
        </w:rPr>
        <w:t xml:space="preserve"> submissions, without necessarily opposing the concept of </w:t>
      </w:r>
      <w:r w:rsidR="00432DA2">
        <w:rPr>
          <w:rFonts w:ascii="Tahoma" w:hAnsi="Tahoma" w:cs="Tahoma"/>
        </w:rPr>
        <w:t>client authorisations</w:t>
      </w:r>
      <w:r w:rsidR="000744AF">
        <w:rPr>
          <w:rFonts w:ascii="Tahoma" w:hAnsi="Tahoma" w:cs="Tahoma"/>
        </w:rPr>
        <w:t>, raised issues relat</w:t>
      </w:r>
      <w:r w:rsidR="00432DA2">
        <w:rPr>
          <w:rFonts w:ascii="Tahoma" w:hAnsi="Tahoma" w:cs="Tahoma"/>
        </w:rPr>
        <w:t>ing to how their use would be implemented</w:t>
      </w:r>
      <w:r w:rsidR="0096516B">
        <w:rPr>
          <w:rFonts w:ascii="Tahoma" w:hAnsi="Tahoma" w:cs="Tahoma"/>
        </w:rPr>
        <w:t xml:space="preserve">.  </w:t>
      </w:r>
      <w:r>
        <w:rPr>
          <w:rFonts w:ascii="Tahoma" w:hAnsi="Tahoma" w:cs="Tahoma"/>
        </w:rPr>
        <w:t>One</w:t>
      </w:r>
      <w:r w:rsidR="00366C8B">
        <w:rPr>
          <w:rFonts w:ascii="Tahoma" w:hAnsi="Tahoma" w:cs="Tahoma"/>
        </w:rPr>
        <w:t xml:space="preserve"> submission opposed the use of client authorisations in paper conveyancing</w:t>
      </w:r>
      <w:r w:rsidR="0096516B">
        <w:rPr>
          <w:rFonts w:ascii="Tahoma" w:hAnsi="Tahoma" w:cs="Tahoma"/>
        </w:rPr>
        <w:t xml:space="preserve">.  </w:t>
      </w:r>
      <w:r>
        <w:rPr>
          <w:rFonts w:ascii="Tahoma" w:hAnsi="Tahoma" w:cs="Tahoma"/>
        </w:rPr>
        <w:t>Four</w:t>
      </w:r>
      <w:r w:rsidR="000744AF">
        <w:rPr>
          <w:rFonts w:ascii="Tahoma" w:hAnsi="Tahoma" w:cs="Tahoma"/>
        </w:rPr>
        <w:t xml:space="preserve"> submissions made no comment on this aspect of the </w:t>
      </w:r>
      <w:r w:rsidR="00B70976">
        <w:rPr>
          <w:rFonts w:ascii="Tahoma" w:hAnsi="Tahoma" w:cs="Tahoma"/>
        </w:rPr>
        <w:t>Consultation Paper</w:t>
      </w:r>
      <w:r w:rsidR="000744AF">
        <w:rPr>
          <w:rFonts w:ascii="Tahoma" w:hAnsi="Tahoma" w:cs="Tahoma"/>
        </w:rPr>
        <w:t xml:space="preserve">. </w:t>
      </w:r>
      <w:r w:rsidR="000744AF" w:rsidRPr="00900F26">
        <w:rPr>
          <w:rFonts w:ascii="Tahoma" w:hAnsi="Tahoma" w:cs="Tahoma"/>
        </w:rPr>
        <w:t xml:space="preserve">  </w:t>
      </w:r>
    </w:p>
    <w:p w:rsidR="003B22F1" w:rsidRDefault="003B22F1" w:rsidP="003B22F1">
      <w:pPr>
        <w:tabs>
          <w:tab w:val="left" w:pos="851"/>
        </w:tabs>
        <w:spacing w:before="240" w:after="240" w:line="240" w:lineRule="auto"/>
        <w:rPr>
          <w:rFonts w:ascii="Tahoma" w:hAnsi="Tahoma" w:cs="Tahoma"/>
          <w:i/>
        </w:rPr>
      </w:pPr>
    </w:p>
    <w:p w:rsidR="000744AF" w:rsidRPr="00570BBC" w:rsidRDefault="000744AF" w:rsidP="003F697B">
      <w:pPr>
        <w:keepNext/>
        <w:keepLines/>
        <w:tabs>
          <w:tab w:val="left" w:pos="851"/>
        </w:tabs>
        <w:spacing w:before="240" w:after="240" w:line="240" w:lineRule="auto"/>
        <w:rPr>
          <w:rFonts w:ascii="Tahoma" w:hAnsi="Tahoma" w:cs="Tahoma"/>
          <w:i/>
        </w:rPr>
      </w:pPr>
      <w:r w:rsidRPr="00570BBC">
        <w:rPr>
          <w:rFonts w:ascii="Tahoma" w:hAnsi="Tahoma" w:cs="Tahoma"/>
          <w:i/>
        </w:rPr>
        <w:t>Overview of Land Victoria response to stakeholders</w:t>
      </w:r>
    </w:p>
    <w:p w:rsidR="000744AF" w:rsidRPr="00570BBC" w:rsidRDefault="000744AF" w:rsidP="000744AF">
      <w:pPr>
        <w:numPr>
          <w:ilvl w:val="0"/>
          <w:numId w:val="3"/>
        </w:numPr>
        <w:tabs>
          <w:tab w:val="clear" w:pos="360"/>
        </w:tabs>
        <w:spacing w:after="240" w:line="240" w:lineRule="auto"/>
        <w:ind w:left="567" w:hanging="567"/>
        <w:rPr>
          <w:rFonts w:ascii="Tahoma" w:hAnsi="Tahoma" w:cs="Tahoma"/>
        </w:rPr>
      </w:pPr>
      <w:r w:rsidRPr="00570BBC">
        <w:rPr>
          <w:rFonts w:ascii="Tahoma" w:hAnsi="Tahoma" w:cs="Tahoma"/>
        </w:rPr>
        <w:t xml:space="preserve">Land Victoria intends to proceed with </w:t>
      </w:r>
      <w:r w:rsidR="00366C8B">
        <w:rPr>
          <w:rFonts w:ascii="Tahoma" w:hAnsi="Tahoma" w:cs="Tahoma"/>
        </w:rPr>
        <w:t>the</w:t>
      </w:r>
      <w:r w:rsidR="00425AB0">
        <w:rPr>
          <w:rFonts w:ascii="Tahoma" w:hAnsi="Tahoma" w:cs="Tahoma"/>
        </w:rPr>
        <w:t xml:space="preserve"> proposal that lawyers and conveyancers enter into a client authorisation with their client before undertaking a </w:t>
      </w:r>
      <w:r w:rsidR="00366C8B">
        <w:rPr>
          <w:rFonts w:ascii="Tahoma" w:hAnsi="Tahoma" w:cs="Tahoma"/>
        </w:rPr>
        <w:t xml:space="preserve">paper </w:t>
      </w:r>
      <w:r w:rsidR="00425AB0">
        <w:rPr>
          <w:rFonts w:ascii="Tahoma" w:hAnsi="Tahoma" w:cs="Tahoma"/>
        </w:rPr>
        <w:t>conveyancing transaction</w:t>
      </w:r>
      <w:r w:rsidR="0096516B">
        <w:rPr>
          <w:rFonts w:ascii="Tahoma" w:hAnsi="Tahoma" w:cs="Tahoma"/>
        </w:rPr>
        <w:t xml:space="preserve">.  </w:t>
      </w:r>
      <w:r w:rsidR="004577B6">
        <w:rPr>
          <w:rFonts w:ascii="Tahoma" w:hAnsi="Tahoma" w:cs="Tahoma"/>
        </w:rPr>
        <w:t xml:space="preserve">As </w:t>
      </w:r>
      <w:r w:rsidR="00366C8B">
        <w:rPr>
          <w:rFonts w:ascii="Tahoma" w:hAnsi="Tahoma" w:cs="Tahoma"/>
        </w:rPr>
        <w:t xml:space="preserve">it will be uncertain at the onset whether a particular transaction will proceed in the electronic or paper medium, </w:t>
      </w:r>
      <w:r w:rsidR="00AE1BE0">
        <w:rPr>
          <w:rFonts w:ascii="Tahoma" w:hAnsi="Tahoma" w:cs="Tahoma"/>
        </w:rPr>
        <w:t xml:space="preserve">Land Victoria considers it desirable that the same requirements that apply to electronic conveyancing apply to paper conveyancing as </w:t>
      </w:r>
      <w:r w:rsidR="004577B6">
        <w:rPr>
          <w:rFonts w:ascii="Tahoma" w:hAnsi="Tahoma" w:cs="Tahoma"/>
        </w:rPr>
        <w:t xml:space="preserve">far </w:t>
      </w:r>
      <w:r w:rsidR="00AE1BE0">
        <w:rPr>
          <w:rFonts w:ascii="Tahoma" w:hAnsi="Tahoma" w:cs="Tahoma"/>
        </w:rPr>
        <w:t>as practicable</w:t>
      </w:r>
      <w:r w:rsidR="0096516B">
        <w:rPr>
          <w:rFonts w:ascii="Tahoma" w:hAnsi="Tahoma" w:cs="Tahoma"/>
        </w:rPr>
        <w:t xml:space="preserve">.  </w:t>
      </w:r>
      <w:r w:rsidR="00366C8B">
        <w:rPr>
          <w:rFonts w:ascii="Tahoma" w:hAnsi="Tahoma" w:cs="Tahoma"/>
        </w:rPr>
        <w:t xml:space="preserve">The implementation issues raised by </w:t>
      </w:r>
      <w:r w:rsidR="00366C8B">
        <w:rPr>
          <w:rFonts w:ascii="Tahoma" w:hAnsi="Tahoma" w:cs="Tahoma"/>
        </w:rPr>
        <w:lastRenderedPageBreak/>
        <w:t xml:space="preserve">stakeholders are addressed in the table below. </w:t>
      </w:r>
      <w:r w:rsidR="00323F30">
        <w:rPr>
          <w:rFonts w:ascii="Tahoma" w:hAnsi="Tahoma" w:cs="Tahoma"/>
        </w:rPr>
        <w:t xml:space="preserve"> Land Victoria will consult further with industry on these issues prior to implementation. </w:t>
      </w:r>
      <w:r w:rsidR="00323F30" w:rsidRPr="00570BBC">
        <w:rPr>
          <w:rFonts w:ascii="Tahoma" w:hAnsi="Tahoma" w:cs="Tahoma"/>
        </w:rPr>
        <w:t xml:space="preserve"> </w:t>
      </w:r>
    </w:p>
    <w:p w:rsidR="003B22F1" w:rsidRDefault="003B22F1" w:rsidP="003B22F1">
      <w:pPr>
        <w:tabs>
          <w:tab w:val="left" w:pos="851"/>
        </w:tabs>
        <w:spacing w:before="240" w:after="240" w:line="240" w:lineRule="auto"/>
        <w:rPr>
          <w:rFonts w:ascii="Tahoma" w:hAnsi="Tahoma" w:cs="Tahoma"/>
          <w:i/>
        </w:rPr>
      </w:pPr>
    </w:p>
    <w:p w:rsidR="00084212" w:rsidRDefault="00084212" w:rsidP="003F697B">
      <w:pPr>
        <w:keepNext/>
        <w:keepLines/>
        <w:tabs>
          <w:tab w:val="left" w:pos="851"/>
        </w:tabs>
        <w:spacing w:before="240" w:after="240" w:line="240" w:lineRule="auto"/>
        <w:rPr>
          <w:rFonts w:ascii="Tahoma" w:hAnsi="Tahoma" w:cs="Tahoma"/>
          <w:i/>
        </w:rPr>
      </w:pPr>
      <w:r w:rsidRPr="00570BBC">
        <w:rPr>
          <w:rFonts w:ascii="Tahoma" w:hAnsi="Tahoma" w:cs="Tahoma"/>
          <w:i/>
        </w:rPr>
        <w:t>Key issues raised by stakeholders and Land Victoria’s response to these issues</w:t>
      </w:r>
    </w:p>
    <w:tbl>
      <w:tblPr>
        <w:tblStyle w:val="TableGrid"/>
        <w:tblW w:w="9638" w:type="dxa"/>
        <w:tblLook w:val="04A0" w:firstRow="1" w:lastRow="0" w:firstColumn="1" w:lastColumn="0" w:noHBand="0" w:noVBand="1"/>
      </w:tblPr>
      <w:tblGrid>
        <w:gridCol w:w="4819"/>
        <w:gridCol w:w="4819"/>
      </w:tblGrid>
      <w:tr w:rsidR="008C5EC8" w:rsidRPr="00DF4230" w:rsidTr="000807EF">
        <w:trPr>
          <w:tblHeader/>
        </w:trPr>
        <w:tc>
          <w:tcPr>
            <w:tcW w:w="4819" w:type="dxa"/>
            <w:shd w:val="clear" w:color="auto" w:fill="D9D9D9" w:themeFill="background1" w:themeFillShade="D9"/>
            <w:vAlign w:val="center"/>
          </w:tcPr>
          <w:p w:rsidR="008C5EC8" w:rsidRPr="00DF4230" w:rsidRDefault="008C5EC8" w:rsidP="00DF4230">
            <w:pPr>
              <w:spacing w:before="60" w:after="60"/>
              <w:rPr>
                <w:rFonts w:ascii="Tahoma" w:hAnsi="Tahoma" w:cs="Tahoma"/>
                <w:b/>
              </w:rPr>
            </w:pPr>
            <w:r w:rsidRPr="00DF4230">
              <w:rPr>
                <w:rFonts w:ascii="Tahoma" w:hAnsi="Tahoma" w:cs="Tahoma"/>
                <w:b/>
              </w:rPr>
              <w:t>Issue</w:t>
            </w:r>
          </w:p>
        </w:tc>
        <w:tc>
          <w:tcPr>
            <w:tcW w:w="4819" w:type="dxa"/>
            <w:shd w:val="clear" w:color="auto" w:fill="D9D9D9" w:themeFill="background1" w:themeFillShade="D9"/>
            <w:vAlign w:val="center"/>
          </w:tcPr>
          <w:p w:rsidR="008C5EC8" w:rsidRPr="00DF4230" w:rsidRDefault="008C5EC8" w:rsidP="00DF4230">
            <w:pPr>
              <w:spacing w:before="60" w:after="60"/>
              <w:rPr>
                <w:rFonts w:ascii="Tahoma" w:hAnsi="Tahoma" w:cs="Tahoma"/>
                <w:b/>
              </w:rPr>
            </w:pPr>
            <w:r w:rsidRPr="00DF4230">
              <w:rPr>
                <w:rFonts w:ascii="Tahoma" w:hAnsi="Tahoma" w:cs="Tahoma"/>
                <w:b/>
              </w:rPr>
              <w:t>Land Victoria response</w:t>
            </w:r>
          </w:p>
        </w:tc>
      </w:tr>
      <w:tr w:rsidR="008C5EC8" w:rsidTr="000807EF">
        <w:tc>
          <w:tcPr>
            <w:tcW w:w="4819" w:type="dxa"/>
          </w:tcPr>
          <w:p w:rsidR="008C5EC8" w:rsidRDefault="008C5EC8" w:rsidP="00202152">
            <w:pPr>
              <w:spacing w:after="240"/>
              <w:rPr>
                <w:rFonts w:ascii="Tahoma" w:hAnsi="Tahoma" w:cs="Tahoma"/>
              </w:rPr>
            </w:pPr>
            <w:r>
              <w:rPr>
                <w:rFonts w:ascii="Tahoma" w:hAnsi="Tahoma" w:cs="Tahoma"/>
              </w:rPr>
              <w:t>Client authorisations should only be required when a client uses a legal representative to execute documents on their behalf</w:t>
            </w:r>
            <w:r w:rsidR="0096516B">
              <w:rPr>
                <w:rFonts w:ascii="Tahoma" w:hAnsi="Tahoma" w:cs="Tahoma"/>
              </w:rPr>
              <w:t xml:space="preserve">.  </w:t>
            </w:r>
            <w:r>
              <w:rPr>
                <w:rFonts w:ascii="Tahoma" w:hAnsi="Tahoma" w:cs="Tahoma"/>
              </w:rPr>
              <w:t xml:space="preserve">No client authorisation should be required when a client executes documents themselves. </w:t>
            </w:r>
          </w:p>
        </w:tc>
        <w:tc>
          <w:tcPr>
            <w:tcW w:w="4819" w:type="dxa"/>
          </w:tcPr>
          <w:p w:rsidR="008C5EC8" w:rsidRDefault="00323F30" w:rsidP="00202152">
            <w:pPr>
              <w:spacing w:after="240"/>
              <w:rPr>
                <w:rFonts w:ascii="Tahoma" w:hAnsi="Tahoma" w:cs="Tahoma"/>
              </w:rPr>
            </w:pPr>
            <w:r>
              <w:rPr>
                <w:rFonts w:ascii="Tahoma" w:hAnsi="Tahoma" w:cs="Tahoma"/>
              </w:rPr>
              <w:t xml:space="preserve">The use of client authorisations in paper conveyancing will be required because, at the onset of a transaction (when the client engages a professional), it may not be apparent which medium (electronic or paper) will be used for the transaction. </w:t>
            </w:r>
          </w:p>
        </w:tc>
      </w:tr>
      <w:tr w:rsidR="008C5EC8" w:rsidTr="000807EF">
        <w:tc>
          <w:tcPr>
            <w:tcW w:w="4819" w:type="dxa"/>
          </w:tcPr>
          <w:p w:rsidR="008C5EC8" w:rsidRDefault="00381BCA" w:rsidP="00202152">
            <w:pPr>
              <w:spacing w:after="240"/>
              <w:rPr>
                <w:rFonts w:ascii="Tahoma" w:hAnsi="Tahoma" w:cs="Tahoma"/>
              </w:rPr>
            </w:pPr>
            <w:r>
              <w:rPr>
                <w:rFonts w:ascii="Tahoma" w:hAnsi="Tahoma" w:cs="Tahoma"/>
              </w:rPr>
              <w:t xml:space="preserve">Which </w:t>
            </w:r>
            <w:r w:rsidR="008C5EC8">
              <w:rPr>
                <w:rFonts w:ascii="Tahoma" w:hAnsi="Tahoma" w:cs="Tahoma"/>
              </w:rPr>
              <w:t>version of the client authorisation form is to be used</w:t>
            </w:r>
            <w:r>
              <w:rPr>
                <w:rFonts w:ascii="Tahoma" w:hAnsi="Tahoma" w:cs="Tahoma"/>
              </w:rPr>
              <w:t>?</w:t>
            </w:r>
          </w:p>
        </w:tc>
        <w:tc>
          <w:tcPr>
            <w:tcW w:w="4819" w:type="dxa"/>
          </w:tcPr>
          <w:p w:rsidR="008C5EC8" w:rsidRDefault="002E7542" w:rsidP="00202152">
            <w:pPr>
              <w:spacing w:after="240"/>
              <w:rPr>
                <w:rFonts w:ascii="Tahoma" w:hAnsi="Tahoma" w:cs="Tahoma"/>
              </w:rPr>
            </w:pPr>
            <w:r>
              <w:rPr>
                <w:rFonts w:ascii="Tahoma" w:hAnsi="Tahoma" w:cs="Tahoma"/>
              </w:rPr>
              <w:t>The c</w:t>
            </w:r>
            <w:r w:rsidR="00381BCA">
              <w:rPr>
                <w:rFonts w:ascii="Tahoma" w:hAnsi="Tahoma" w:cs="Tahoma"/>
              </w:rPr>
              <w:t xml:space="preserve">lient </w:t>
            </w:r>
            <w:r>
              <w:rPr>
                <w:rFonts w:ascii="Tahoma" w:hAnsi="Tahoma" w:cs="Tahoma"/>
              </w:rPr>
              <w:t>a</w:t>
            </w:r>
            <w:r w:rsidR="00381BCA">
              <w:rPr>
                <w:rFonts w:ascii="Tahoma" w:hAnsi="Tahoma" w:cs="Tahoma"/>
              </w:rPr>
              <w:t>uthorisation contained in ARNECC’s Model Participation Rules, as amended from time to time</w:t>
            </w:r>
            <w:r w:rsidR="008C5EC8">
              <w:rPr>
                <w:rFonts w:ascii="Tahoma" w:hAnsi="Tahoma" w:cs="Tahoma"/>
              </w:rPr>
              <w:t xml:space="preserve">. </w:t>
            </w:r>
          </w:p>
        </w:tc>
      </w:tr>
      <w:tr w:rsidR="008C5EC8" w:rsidTr="000807EF">
        <w:tc>
          <w:tcPr>
            <w:tcW w:w="4819" w:type="dxa"/>
          </w:tcPr>
          <w:p w:rsidR="008C5EC8" w:rsidRDefault="002E7542" w:rsidP="00202152">
            <w:pPr>
              <w:spacing w:after="240"/>
              <w:rPr>
                <w:rFonts w:ascii="Tahoma" w:hAnsi="Tahoma" w:cs="Tahoma"/>
              </w:rPr>
            </w:pPr>
            <w:r>
              <w:rPr>
                <w:rFonts w:ascii="Tahoma" w:hAnsi="Tahoma" w:cs="Tahoma"/>
              </w:rPr>
              <w:t>W</w:t>
            </w:r>
            <w:r w:rsidR="008C5EC8">
              <w:rPr>
                <w:rFonts w:ascii="Tahoma" w:hAnsi="Tahoma" w:cs="Tahoma"/>
              </w:rPr>
              <w:t xml:space="preserve">hy </w:t>
            </w:r>
            <w:r>
              <w:rPr>
                <w:rFonts w:ascii="Tahoma" w:hAnsi="Tahoma" w:cs="Tahoma"/>
              </w:rPr>
              <w:t>would c</w:t>
            </w:r>
            <w:r w:rsidR="008C5EC8">
              <w:rPr>
                <w:rFonts w:ascii="Tahoma" w:hAnsi="Tahoma" w:cs="Tahoma"/>
              </w:rPr>
              <w:t xml:space="preserve">lient </w:t>
            </w:r>
            <w:r>
              <w:rPr>
                <w:rFonts w:ascii="Tahoma" w:hAnsi="Tahoma" w:cs="Tahoma"/>
              </w:rPr>
              <w:t>a</w:t>
            </w:r>
            <w:r w:rsidR="008C5EC8">
              <w:rPr>
                <w:rFonts w:ascii="Tahoma" w:hAnsi="Tahoma" w:cs="Tahoma"/>
              </w:rPr>
              <w:t>uthorisation requirements commence on 1 January 2015</w:t>
            </w:r>
            <w:r>
              <w:rPr>
                <w:rFonts w:ascii="Tahoma" w:hAnsi="Tahoma" w:cs="Tahoma"/>
              </w:rPr>
              <w:t>,</w:t>
            </w:r>
            <w:r w:rsidR="008C5EC8">
              <w:rPr>
                <w:rFonts w:ascii="Tahoma" w:hAnsi="Tahoma" w:cs="Tahoma"/>
              </w:rPr>
              <w:t xml:space="preserve"> when </w:t>
            </w:r>
            <w:r>
              <w:rPr>
                <w:rFonts w:ascii="Tahoma" w:hAnsi="Tahoma" w:cs="Tahoma"/>
              </w:rPr>
              <w:t>PEXA</w:t>
            </w:r>
            <w:r w:rsidR="008C5EC8">
              <w:rPr>
                <w:rFonts w:ascii="Tahoma" w:hAnsi="Tahoma" w:cs="Tahoma"/>
              </w:rPr>
              <w:t xml:space="preserve"> proposes to deploy all functions in Victoria from October 2014</w:t>
            </w:r>
            <w:r w:rsidR="0096516B">
              <w:rPr>
                <w:rFonts w:ascii="Tahoma" w:hAnsi="Tahoma" w:cs="Tahoma"/>
              </w:rPr>
              <w:t xml:space="preserve">.  </w:t>
            </w:r>
            <w:r w:rsidR="008C5EC8">
              <w:rPr>
                <w:rFonts w:ascii="Tahoma" w:hAnsi="Tahoma" w:cs="Tahoma"/>
              </w:rPr>
              <w:t xml:space="preserve">Why are these two dates </w:t>
            </w:r>
            <w:r>
              <w:rPr>
                <w:rFonts w:ascii="Tahoma" w:hAnsi="Tahoma" w:cs="Tahoma"/>
              </w:rPr>
              <w:t xml:space="preserve">not </w:t>
            </w:r>
            <w:r w:rsidR="008C5EC8">
              <w:rPr>
                <w:rFonts w:ascii="Tahoma" w:hAnsi="Tahoma" w:cs="Tahoma"/>
              </w:rPr>
              <w:t>aligned</w:t>
            </w:r>
            <w:r w:rsidR="0096516B">
              <w:rPr>
                <w:rFonts w:ascii="Tahoma" w:hAnsi="Tahoma" w:cs="Tahoma"/>
              </w:rPr>
              <w:t xml:space="preserve">?  </w:t>
            </w:r>
            <w:r w:rsidR="008C5EC8">
              <w:rPr>
                <w:rFonts w:ascii="Tahoma" w:hAnsi="Tahoma" w:cs="Tahoma"/>
              </w:rPr>
              <w:t>How will matters be processed during the period between October 2014 and January 2015?</w:t>
            </w:r>
          </w:p>
        </w:tc>
        <w:tc>
          <w:tcPr>
            <w:tcW w:w="4819" w:type="dxa"/>
          </w:tcPr>
          <w:p w:rsidR="008C5EC8" w:rsidRDefault="002E7542" w:rsidP="004577B6">
            <w:pPr>
              <w:spacing w:after="240"/>
              <w:rPr>
                <w:rFonts w:ascii="Tahoma" w:hAnsi="Tahoma" w:cs="Tahoma"/>
              </w:rPr>
            </w:pPr>
            <w:r>
              <w:rPr>
                <w:rFonts w:ascii="Tahoma" w:hAnsi="Tahoma" w:cs="Tahoma"/>
              </w:rPr>
              <w:t xml:space="preserve">Land Victoria proposes to introduce client authorisations sometime in 2015, </w:t>
            </w:r>
            <w:r w:rsidR="008C5EC8">
              <w:rPr>
                <w:rFonts w:ascii="Tahoma" w:hAnsi="Tahoma" w:cs="Tahoma"/>
              </w:rPr>
              <w:t xml:space="preserve">to allow stakeholders sufficient lead time before new requirements commence. </w:t>
            </w:r>
            <w:r>
              <w:rPr>
                <w:rFonts w:ascii="Tahoma" w:hAnsi="Tahoma" w:cs="Tahoma"/>
              </w:rPr>
              <w:t xml:space="preserve"> Stakeholders</w:t>
            </w:r>
            <w:r w:rsidR="008C5EC8">
              <w:rPr>
                <w:rFonts w:ascii="Tahoma" w:hAnsi="Tahoma" w:cs="Tahoma"/>
              </w:rPr>
              <w:t xml:space="preserve"> are free to commence using client authorisation forms before 2015 if they wish (</w:t>
            </w:r>
            <w:proofErr w:type="spellStart"/>
            <w:r w:rsidR="008C5EC8">
              <w:rPr>
                <w:rFonts w:ascii="Tahoma" w:hAnsi="Tahoma" w:cs="Tahoma"/>
              </w:rPr>
              <w:t>eg</w:t>
            </w:r>
            <w:proofErr w:type="spellEnd"/>
            <w:r w:rsidR="008C5EC8">
              <w:rPr>
                <w:rFonts w:ascii="Tahoma" w:hAnsi="Tahoma" w:cs="Tahoma"/>
              </w:rPr>
              <w:t xml:space="preserve"> to align with </w:t>
            </w:r>
            <w:r>
              <w:rPr>
                <w:rFonts w:ascii="Tahoma" w:hAnsi="Tahoma" w:cs="Tahoma"/>
              </w:rPr>
              <w:t>PEXA</w:t>
            </w:r>
            <w:r w:rsidR="008C5EC8">
              <w:rPr>
                <w:rFonts w:ascii="Tahoma" w:hAnsi="Tahoma" w:cs="Tahoma"/>
              </w:rPr>
              <w:t xml:space="preserve"> start date). </w:t>
            </w:r>
          </w:p>
        </w:tc>
      </w:tr>
      <w:tr w:rsidR="008C5EC8" w:rsidTr="000807EF">
        <w:tc>
          <w:tcPr>
            <w:tcW w:w="4819" w:type="dxa"/>
          </w:tcPr>
          <w:p w:rsidR="008C5EC8" w:rsidRDefault="000A0951" w:rsidP="00202152">
            <w:pPr>
              <w:spacing w:after="240"/>
              <w:rPr>
                <w:rFonts w:ascii="Tahoma" w:hAnsi="Tahoma" w:cs="Tahoma"/>
              </w:rPr>
            </w:pPr>
            <w:r>
              <w:rPr>
                <w:rFonts w:ascii="Tahoma" w:hAnsi="Tahoma" w:cs="Tahoma"/>
              </w:rPr>
              <w:t xml:space="preserve">Will </w:t>
            </w:r>
            <w:r w:rsidR="008C5EC8">
              <w:rPr>
                <w:rFonts w:ascii="Tahoma" w:hAnsi="Tahoma" w:cs="Tahoma"/>
              </w:rPr>
              <w:t>financial institutions and their agents need to use client authorisations</w:t>
            </w:r>
            <w:r>
              <w:rPr>
                <w:rFonts w:ascii="Tahoma" w:hAnsi="Tahoma" w:cs="Tahoma"/>
              </w:rPr>
              <w:t>?</w:t>
            </w:r>
          </w:p>
        </w:tc>
        <w:tc>
          <w:tcPr>
            <w:tcW w:w="4819" w:type="dxa"/>
          </w:tcPr>
          <w:p w:rsidR="00AC02DE" w:rsidRDefault="008C5EC8" w:rsidP="00202152">
            <w:pPr>
              <w:spacing w:after="240"/>
              <w:rPr>
                <w:rFonts w:ascii="Tahoma" w:hAnsi="Tahoma" w:cs="Tahoma"/>
              </w:rPr>
            </w:pPr>
            <w:r>
              <w:rPr>
                <w:rFonts w:ascii="Tahoma" w:hAnsi="Tahoma" w:cs="Tahoma"/>
              </w:rPr>
              <w:t xml:space="preserve">Only conveyancers </w:t>
            </w:r>
            <w:r w:rsidR="000A0951">
              <w:rPr>
                <w:rFonts w:ascii="Tahoma" w:hAnsi="Tahoma" w:cs="Tahoma"/>
              </w:rPr>
              <w:t xml:space="preserve">and lawyers </w:t>
            </w:r>
            <w:r>
              <w:rPr>
                <w:rFonts w:ascii="Tahoma" w:hAnsi="Tahoma" w:cs="Tahoma"/>
              </w:rPr>
              <w:t>will be required to use the client authorisation form</w:t>
            </w:r>
            <w:r w:rsidR="00406626">
              <w:rPr>
                <w:rFonts w:ascii="Tahoma" w:hAnsi="Tahoma" w:cs="Tahoma"/>
              </w:rPr>
              <w:t xml:space="preserve"> when they represent a client</w:t>
            </w:r>
            <w:r>
              <w:rPr>
                <w:rFonts w:ascii="Tahoma" w:hAnsi="Tahoma" w:cs="Tahoma"/>
              </w:rPr>
              <w:t xml:space="preserve">. </w:t>
            </w:r>
            <w:r w:rsidR="000A0951">
              <w:rPr>
                <w:rFonts w:ascii="Tahoma" w:hAnsi="Tahoma" w:cs="Tahoma"/>
              </w:rPr>
              <w:t xml:space="preserve"> A financial institution may enter into one as the client of a conveyancer or lawyer.</w:t>
            </w:r>
          </w:p>
        </w:tc>
      </w:tr>
      <w:tr w:rsidR="008C5EC8" w:rsidTr="000807EF">
        <w:tc>
          <w:tcPr>
            <w:tcW w:w="4819" w:type="dxa"/>
          </w:tcPr>
          <w:p w:rsidR="008C5EC8" w:rsidRDefault="000A0951" w:rsidP="00202152">
            <w:pPr>
              <w:spacing w:after="240"/>
              <w:rPr>
                <w:rFonts w:ascii="Tahoma" w:hAnsi="Tahoma" w:cs="Tahoma"/>
              </w:rPr>
            </w:pPr>
            <w:r>
              <w:rPr>
                <w:rFonts w:ascii="Tahoma" w:hAnsi="Tahoma" w:cs="Tahoma"/>
              </w:rPr>
              <w:t>H</w:t>
            </w:r>
            <w:r w:rsidR="008C5EC8">
              <w:rPr>
                <w:rFonts w:ascii="Tahoma" w:hAnsi="Tahoma" w:cs="Tahoma"/>
              </w:rPr>
              <w:t xml:space="preserve">ow </w:t>
            </w:r>
            <w:r>
              <w:rPr>
                <w:rFonts w:ascii="Tahoma" w:hAnsi="Tahoma" w:cs="Tahoma"/>
              </w:rPr>
              <w:t xml:space="preserve">will </w:t>
            </w:r>
            <w:r w:rsidR="008C5EC8">
              <w:rPr>
                <w:rFonts w:ascii="Tahoma" w:hAnsi="Tahoma" w:cs="Tahoma"/>
              </w:rPr>
              <w:t>the use of client authorisations affect self-represented parties</w:t>
            </w:r>
            <w:r>
              <w:rPr>
                <w:rFonts w:ascii="Tahoma" w:hAnsi="Tahoma" w:cs="Tahoma"/>
              </w:rPr>
              <w:t>?</w:t>
            </w:r>
            <w:r w:rsidR="008C5EC8">
              <w:rPr>
                <w:rFonts w:ascii="Tahoma" w:hAnsi="Tahoma" w:cs="Tahoma"/>
              </w:rPr>
              <w:t xml:space="preserve"> </w:t>
            </w:r>
          </w:p>
        </w:tc>
        <w:tc>
          <w:tcPr>
            <w:tcW w:w="4819" w:type="dxa"/>
          </w:tcPr>
          <w:p w:rsidR="008C5EC8" w:rsidRDefault="008C5EC8" w:rsidP="00202152">
            <w:pPr>
              <w:spacing w:after="240"/>
              <w:rPr>
                <w:rFonts w:ascii="Tahoma" w:hAnsi="Tahoma" w:cs="Tahoma"/>
              </w:rPr>
            </w:pPr>
            <w:r>
              <w:rPr>
                <w:rFonts w:ascii="Tahoma" w:hAnsi="Tahoma" w:cs="Tahoma"/>
              </w:rPr>
              <w:t>Self-represented parties will not use client authorisations</w:t>
            </w:r>
            <w:r w:rsidR="0096516B">
              <w:rPr>
                <w:rFonts w:ascii="Tahoma" w:hAnsi="Tahoma" w:cs="Tahoma"/>
              </w:rPr>
              <w:t xml:space="preserve">.  </w:t>
            </w:r>
          </w:p>
        </w:tc>
      </w:tr>
      <w:tr w:rsidR="008C5EC8" w:rsidTr="000807EF">
        <w:tc>
          <w:tcPr>
            <w:tcW w:w="4819" w:type="dxa"/>
          </w:tcPr>
          <w:p w:rsidR="000A0951" w:rsidRDefault="000A0951" w:rsidP="00202152">
            <w:pPr>
              <w:spacing w:after="240"/>
              <w:rPr>
                <w:rFonts w:ascii="Tahoma" w:hAnsi="Tahoma" w:cs="Tahoma"/>
              </w:rPr>
            </w:pPr>
            <w:r>
              <w:rPr>
                <w:rFonts w:ascii="Tahoma" w:hAnsi="Tahoma" w:cs="Tahoma"/>
              </w:rPr>
              <w:t>C</w:t>
            </w:r>
            <w:r w:rsidR="008C5EC8">
              <w:rPr>
                <w:rFonts w:ascii="Tahoma" w:hAnsi="Tahoma" w:cs="Tahoma"/>
              </w:rPr>
              <w:t xml:space="preserve">lient authorisations are </w:t>
            </w:r>
            <w:r>
              <w:rPr>
                <w:rFonts w:ascii="Tahoma" w:hAnsi="Tahoma" w:cs="Tahoma"/>
              </w:rPr>
              <w:t xml:space="preserve">not </w:t>
            </w:r>
            <w:r w:rsidR="008C5EC8">
              <w:rPr>
                <w:rFonts w:ascii="Tahoma" w:hAnsi="Tahoma" w:cs="Tahoma"/>
              </w:rPr>
              <w:t xml:space="preserve">needed for paper conveyancing. </w:t>
            </w:r>
          </w:p>
          <w:p w:rsidR="000A0951" w:rsidRDefault="000A0951" w:rsidP="00202152">
            <w:pPr>
              <w:spacing w:after="240"/>
              <w:rPr>
                <w:rFonts w:ascii="Tahoma" w:hAnsi="Tahoma" w:cs="Tahoma"/>
              </w:rPr>
            </w:pPr>
          </w:p>
          <w:p w:rsidR="00202152" w:rsidRDefault="00202152" w:rsidP="00202152">
            <w:pPr>
              <w:spacing w:after="240"/>
              <w:rPr>
                <w:rFonts w:ascii="Tahoma" w:hAnsi="Tahoma" w:cs="Tahoma"/>
              </w:rPr>
            </w:pPr>
          </w:p>
          <w:p w:rsidR="008C5EC8" w:rsidRDefault="008C5EC8" w:rsidP="00202152">
            <w:pPr>
              <w:spacing w:after="240"/>
              <w:rPr>
                <w:rFonts w:ascii="Tahoma" w:hAnsi="Tahoma" w:cs="Tahoma"/>
              </w:rPr>
            </w:pPr>
            <w:r>
              <w:rPr>
                <w:rFonts w:ascii="Tahoma" w:hAnsi="Tahoma" w:cs="Tahoma"/>
              </w:rPr>
              <w:t xml:space="preserve">If introduced, they should mirror as far as possible, the client authorisations used for electronic conveyancing but with changes to reduce confusion between the two lodgement mediums. </w:t>
            </w:r>
          </w:p>
        </w:tc>
        <w:tc>
          <w:tcPr>
            <w:tcW w:w="4819" w:type="dxa"/>
          </w:tcPr>
          <w:p w:rsidR="000A0951" w:rsidRDefault="008C5EC8" w:rsidP="00202152">
            <w:pPr>
              <w:spacing w:after="240"/>
              <w:rPr>
                <w:rFonts w:ascii="Tahoma" w:hAnsi="Tahoma" w:cs="Tahoma"/>
              </w:rPr>
            </w:pPr>
            <w:r>
              <w:rPr>
                <w:rFonts w:ascii="Tahoma" w:hAnsi="Tahoma" w:cs="Tahoma"/>
              </w:rPr>
              <w:t xml:space="preserve">The use of client authorisations in paper conveyancing will be required because, at the onset of a transaction (when the client engages a professional), it may not be apparent which medium (electronic or paper) will be used for the transaction. </w:t>
            </w:r>
          </w:p>
          <w:p w:rsidR="008C5EC8" w:rsidRDefault="008C5EC8" w:rsidP="00202152">
            <w:pPr>
              <w:spacing w:after="240"/>
              <w:rPr>
                <w:rFonts w:ascii="Tahoma" w:hAnsi="Tahoma" w:cs="Tahoma"/>
              </w:rPr>
            </w:pPr>
            <w:r>
              <w:rPr>
                <w:rFonts w:ascii="Tahoma" w:hAnsi="Tahoma" w:cs="Tahoma"/>
              </w:rPr>
              <w:t xml:space="preserve">The same </w:t>
            </w:r>
            <w:r w:rsidR="000A0951">
              <w:rPr>
                <w:rFonts w:ascii="Tahoma" w:hAnsi="Tahoma" w:cs="Tahoma"/>
              </w:rPr>
              <w:t>forms</w:t>
            </w:r>
            <w:r>
              <w:rPr>
                <w:rFonts w:ascii="Tahoma" w:hAnsi="Tahoma" w:cs="Tahoma"/>
              </w:rPr>
              <w:t xml:space="preserve"> will be used for client authorisations irrespective of whether the transaction ultimately proceeds in paper or electronically. </w:t>
            </w:r>
          </w:p>
        </w:tc>
      </w:tr>
    </w:tbl>
    <w:p w:rsidR="00A40C4B" w:rsidRPr="00A40C4B" w:rsidRDefault="00A40C4B" w:rsidP="00A40C4B">
      <w:pPr>
        <w:spacing w:after="120" w:line="240" w:lineRule="auto"/>
        <w:rPr>
          <w:rFonts w:ascii="Tahoma" w:hAnsi="Tahoma" w:cs="Tahoma"/>
        </w:rPr>
      </w:pPr>
    </w:p>
    <w:p w:rsidR="00FE0BF0" w:rsidRPr="00A40C4B" w:rsidRDefault="00FE0BF0" w:rsidP="007209C1">
      <w:pPr>
        <w:spacing w:after="120" w:line="240" w:lineRule="auto"/>
        <w:rPr>
          <w:rFonts w:ascii="Tahoma" w:hAnsi="Tahoma" w:cs="Tahoma"/>
        </w:rPr>
      </w:pPr>
    </w:p>
    <w:p w:rsidR="00FE0BF0" w:rsidRDefault="00FE0BF0" w:rsidP="003B22F1">
      <w:pPr>
        <w:keepNext/>
        <w:keepLines/>
        <w:spacing w:before="240" w:after="240" w:line="240" w:lineRule="auto"/>
        <w:rPr>
          <w:rFonts w:ascii="Tahoma" w:hAnsi="Tahoma" w:cs="Tahoma"/>
          <w:i/>
          <w:sz w:val="24"/>
          <w:szCs w:val="24"/>
          <w:u w:val="single"/>
        </w:rPr>
      </w:pPr>
      <w:bookmarkStart w:id="5" w:name="_Toc372902734"/>
      <w:r w:rsidRPr="00A40C4B">
        <w:rPr>
          <w:rFonts w:ascii="Tahoma" w:hAnsi="Tahoma" w:cs="Tahoma"/>
          <w:i/>
          <w:sz w:val="24"/>
          <w:szCs w:val="24"/>
          <w:u w:val="single"/>
        </w:rPr>
        <w:lastRenderedPageBreak/>
        <w:t>Certifications</w:t>
      </w:r>
      <w:bookmarkEnd w:id="5"/>
    </w:p>
    <w:p w:rsidR="009D781C" w:rsidRPr="00B70976" w:rsidRDefault="009D781C" w:rsidP="000807EF">
      <w:pPr>
        <w:spacing w:after="240" w:line="240" w:lineRule="auto"/>
        <w:rPr>
          <w:rFonts w:ascii="Tahoma" w:hAnsi="Tahoma" w:cs="Tahoma"/>
          <w:color w:val="6D5125" w:themeColor="accent5" w:themeShade="80"/>
        </w:rPr>
      </w:pPr>
      <w:r w:rsidRPr="00B70976">
        <w:rPr>
          <w:rFonts w:ascii="Tahoma" w:hAnsi="Tahoma" w:cs="Tahoma"/>
          <w:color w:val="6D5125" w:themeColor="accent5" w:themeShade="80"/>
        </w:rPr>
        <w:t>Questions included in Consultation Paper</w:t>
      </w:r>
    </w:p>
    <w:p w:rsidR="0088495F" w:rsidRPr="003B22F1" w:rsidRDefault="0088495F" w:rsidP="000807EF">
      <w:pPr>
        <w:spacing w:after="240" w:line="240" w:lineRule="auto"/>
        <w:ind w:left="567" w:hanging="567"/>
        <w:rPr>
          <w:rFonts w:ascii="Tahoma" w:eastAsia="Times New Roman" w:hAnsi="Tahoma" w:cs="Tahoma"/>
          <w:color w:val="6D5125" w:themeColor="accent5" w:themeShade="80"/>
        </w:rPr>
      </w:pPr>
      <w:r w:rsidRPr="003B22F1">
        <w:rPr>
          <w:rFonts w:ascii="Tahoma" w:eastAsia="Times New Roman" w:hAnsi="Tahoma" w:cs="Tahoma"/>
          <w:color w:val="6D5125" w:themeColor="accent5" w:themeShade="80"/>
        </w:rPr>
        <w:t>6.1:</w:t>
      </w:r>
      <w:r w:rsidRPr="003B22F1">
        <w:rPr>
          <w:rFonts w:ascii="Tahoma" w:eastAsia="Times New Roman" w:hAnsi="Tahoma" w:cs="Tahoma"/>
          <w:color w:val="6D5125" w:themeColor="accent5" w:themeShade="80"/>
        </w:rPr>
        <w:tab/>
        <w:t>Is it reasonable to require certifications for paper conveyancing transactions?  If not, why not?</w:t>
      </w:r>
    </w:p>
    <w:p w:rsidR="0088495F" w:rsidRPr="003B22F1" w:rsidRDefault="0088495F" w:rsidP="000807EF">
      <w:pPr>
        <w:spacing w:after="240" w:line="240" w:lineRule="auto"/>
        <w:ind w:left="567" w:hanging="567"/>
        <w:rPr>
          <w:rFonts w:ascii="Tahoma" w:eastAsia="Times New Roman" w:hAnsi="Tahoma" w:cs="Tahoma"/>
          <w:color w:val="6D5125" w:themeColor="accent5" w:themeShade="80"/>
        </w:rPr>
      </w:pPr>
      <w:r w:rsidRPr="003B22F1">
        <w:rPr>
          <w:rFonts w:ascii="Tahoma" w:eastAsia="Times New Roman" w:hAnsi="Tahoma" w:cs="Tahoma"/>
          <w:color w:val="6D5125" w:themeColor="accent5" w:themeShade="80"/>
        </w:rPr>
        <w:t>6.2:</w:t>
      </w:r>
      <w:r w:rsidRPr="003B22F1">
        <w:rPr>
          <w:rFonts w:ascii="Tahoma" w:eastAsia="Times New Roman" w:hAnsi="Tahoma" w:cs="Tahoma"/>
          <w:color w:val="6D5125" w:themeColor="accent5" w:themeShade="80"/>
        </w:rPr>
        <w:tab/>
        <w:t>Are the proposed persons who can give certifications appropriate?  Are there any other categories of persons who should have the authority to give certifications?</w:t>
      </w:r>
    </w:p>
    <w:p w:rsidR="00BB79B4" w:rsidRDefault="00BB79B4" w:rsidP="007670CC">
      <w:pPr>
        <w:tabs>
          <w:tab w:val="left" w:pos="851"/>
        </w:tabs>
        <w:spacing w:after="240" w:line="240" w:lineRule="auto"/>
        <w:ind w:left="567" w:hanging="567"/>
        <w:rPr>
          <w:rFonts w:ascii="Tahoma" w:eastAsia="Times New Roman" w:hAnsi="Tahoma" w:cs="Tahoma"/>
          <w:color w:val="6D5125" w:themeColor="accent5" w:themeShade="80"/>
          <w:sz w:val="20"/>
          <w:szCs w:val="20"/>
        </w:rPr>
      </w:pPr>
    </w:p>
    <w:p w:rsidR="00BB79B4" w:rsidRDefault="00BB79B4" w:rsidP="003F697B">
      <w:pPr>
        <w:keepNext/>
        <w:keepLines/>
        <w:tabs>
          <w:tab w:val="left" w:pos="851"/>
        </w:tabs>
        <w:spacing w:before="240" w:after="240" w:line="240" w:lineRule="auto"/>
        <w:rPr>
          <w:rFonts w:ascii="Tahoma" w:hAnsi="Tahoma" w:cs="Tahoma"/>
          <w:i/>
        </w:rPr>
      </w:pPr>
      <w:r w:rsidRPr="00D66DA3">
        <w:rPr>
          <w:rFonts w:ascii="Tahoma" w:hAnsi="Tahoma" w:cs="Tahoma"/>
          <w:i/>
        </w:rPr>
        <w:t xml:space="preserve">Overview of stakeholder response to proposed </w:t>
      </w:r>
      <w:r w:rsidR="00747F27">
        <w:rPr>
          <w:rFonts w:ascii="Tahoma" w:hAnsi="Tahoma" w:cs="Tahoma"/>
          <w:i/>
        </w:rPr>
        <w:t xml:space="preserve">certification requirements. </w:t>
      </w:r>
      <w:r>
        <w:rPr>
          <w:rFonts w:ascii="Tahoma" w:hAnsi="Tahoma" w:cs="Tahoma"/>
          <w:i/>
        </w:rPr>
        <w:t xml:space="preserve"> </w:t>
      </w:r>
    </w:p>
    <w:p w:rsidR="00BB79B4" w:rsidRDefault="00FB63E8" w:rsidP="006D3025">
      <w:pPr>
        <w:numPr>
          <w:ilvl w:val="0"/>
          <w:numId w:val="3"/>
        </w:numPr>
        <w:tabs>
          <w:tab w:val="clear" w:pos="360"/>
        </w:tabs>
        <w:spacing w:after="240" w:line="240" w:lineRule="auto"/>
        <w:ind w:left="567" w:hanging="567"/>
        <w:rPr>
          <w:rFonts w:ascii="Tahoma" w:hAnsi="Tahoma" w:cs="Tahoma"/>
        </w:rPr>
      </w:pPr>
      <w:r>
        <w:rPr>
          <w:rFonts w:ascii="Tahoma" w:eastAsia="Calibri" w:hAnsi="Tahoma" w:cs="Tahoma"/>
        </w:rPr>
        <w:t>Three</w:t>
      </w:r>
      <w:r w:rsidR="00BB79B4">
        <w:rPr>
          <w:rFonts w:ascii="Tahoma" w:eastAsia="Calibri" w:hAnsi="Tahoma" w:cs="Tahoma"/>
        </w:rPr>
        <w:t xml:space="preserve"> s</w:t>
      </w:r>
      <w:r w:rsidR="00BB79B4" w:rsidRPr="00900F26">
        <w:rPr>
          <w:rFonts w:ascii="Tahoma" w:eastAsia="Calibri" w:hAnsi="Tahoma" w:cs="Tahoma"/>
        </w:rPr>
        <w:t xml:space="preserve">ubmissions </w:t>
      </w:r>
      <w:r w:rsidR="00BB79B4" w:rsidRPr="00900F26">
        <w:rPr>
          <w:rFonts w:ascii="Tahoma" w:hAnsi="Tahoma" w:cs="Tahoma"/>
        </w:rPr>
        <w:t xml:space="preserve">supported the </w:t>
      </w:r>
      <w:r w:rsidR="00BB79B4">
        <w:rPr>
          <w:rFonts w:ascii="Tahoma" w:hAnsi="Tahoma" w:cs="Tahoma"/>
        </w:rPr>
        <w:t xml:space="preserve">proposals in the </w:t>
      </w:r>
      <w:r w:rsidR="00B70976">
        <w:rPr>
          <w:rFonts w:ascii="Tahoma" w:hAnsi="Tahoma" w:cs="Tahoma"/>
        </w:rPr>
        <w:t>Consultation Paper</w:t>
      </w:r>
      <w:r w:rsidR="00BB79B4">
        <w:rPr>
          <w:rFonts w:ascii="Tahoma" w:hAnsi="Tahoma" w:cs="Tahoma"/>
        </w:rPr>
        <w:t xml:space="preserve"> relating to c</w:t>
      </w:r>
      <w:r w:rsidR="00D21AA8">
        <w:rPr>
          <w:rFonts w:ascii="Tahoma" w:hAnsi="Tahoma" w:cs="Tahoma"/>
        </w:rPr>
        <w:t>ertifications</w:t>
      </w:r>
      <w:r w:rsidR="0096516B">
        <w:rPr>
          <w:rFonts w:ascii="Tahoma" w:hAnsi="Tahoma" w:cs="Tahoma"/>
        </w:rPr>
        <w:t xml:space="preserve">.  </w:t>
      </w:r>
      <w:r>
        <w:rPr>
          <w:rFonts w:ascii="Tahoma" w:hAnsi="Tahoma" w:cs="Tahoma"/>
        </w:rPr>
        <w:t>Three</w:t>
      </w:r>
      <w:r w:rsidR="00BB79B4">
        <w:rPr>
          <w:rFonts w:ascii="Tahoma" w:hAnsi="Tahoma" w:cs="Tahoma"/>
        </w:rPr>
        <w:t xml:space="preserve"> submissions, without necessarily opposing the </w:t>
      </w:r>
      <w:r w:rsidR="00D21AA8">
        <w:rPr>
          <w:rFonts w:ascii="Tahoma" w:hAnsi="Tahoma" w:cs="Tahoma"/>
        </w:rPr>
        <w:t xml:space="preserve">overall thrust of </w:t>
      </w:r>
      <w:r w:rsidR="0057143F">
        <w:rPr>
          <w:rFonts w:ascii="Tahoma" w:hAnsi="Tahoma" w:cs="Tahoma"/>
        </w:rPr>
        <w:t xml:space="preserve">the </w:t>
      </w:r>
      <w:r w:rsidR="00D21AA8">
        <w:rPr>
          <w:rFonts w:ascii="Tahoma" w:hAnsi="Tahoma" w:cs="Tahoma"/>
        </w:rPr>
        <w:t xml:space="preserve">proposals in the </w:t>
      </w:r>
      <w:r w:rsidR="00B70976">
        <w:rPr>
          <w:rFonts w:ascii="Tahoma" w:hAnsi="Tahoma" w:cs="Tahoma"/>
        </w:rPr>
        <w:t>Consultation Paper</w:t>
      </w:r>
      <w:r w:rsidR="00BB79B4">
        <w:rPr>
          <w:rFonts w:ascii="Tahoma" w:hAnsi="Tahoma" w:cs="Tahoma"/>
        </w:rPr>
        <w:t>, raised issues relating to how their use would be implemented</w:t>
      </w:r>
      <w:r w:rsidR="0096516B">
        <w:rPr>
          <w:rFonts w:ascii="Tahoma" w:hAnsi="Tahoma" w:cs="Tahoma"/>
        </w:rPr>
        <w:t xml:space="preserve">.  </w:t>
      </w:r>
      <w:r>
        <w:rPr>
          <w:rFonts w:ascii="Tahoma" w:hAnsi="Tahoma" w:cs="Tahoma"/>
        </w:rPr>
        <w:t>One</w:t>
      </w:r>
      <w:r w:rsidR="00D21AA8">
        <w:rPr>
          <w:rFonts w:ascii="Tahoma" w:hAnsi="Tahoma" w:cs="Tahoma"/>
        </w:rPr>
        <w:t xml:space="preserve"> submission opposed the introduction of certifications for paper conveyancing. </w:t>
      </w:r>
      <w:r w:rsidR="00BB79B4">
        <w:rPr>
          <w:rFonts w:ascii="Tahoma" w:hAnsi="Tahoma" w:cs="Tahoma"/>
        </w:rPr>
        <w:t xml:space="preserve"> </w:t>
      </w:r>
      <w:r>
        <w:rPr>
          <w:rFonts w:ascii="Tahoma" w:hAnsi="Tahoma" w:cs="Tahoma"/>
        </w:rPr>
        <w:t>Five</w:t>
      </w:r>
      <w:r w:rsidR="00BB79B4">
        <w:rPr>
          <w:rFonts w:ascii="Tahoma" w:hAnsi="Tahoma" w:cs="Tahoma"/>
        </w:rPr>
        <w:t xml:space="preserve"> submissions made no comment on this aspect of the </w:t>
      </w:r>
      <w:r w:rsidR="00B70976">
        <w:rPr>
          <w:rFonts w:ascii="Tahoma" w:hAnsi="Tahoma" w:cs="Tahoma"/>
        </w:rPr>
        <w:t>Consultation Paper</w:t>
      </w:r>
      <w:r w:rsidR="00BB79B4">
        <w:rPr>
          <w:rFonts w:ascii="Tahoma" w:hAnsi="Tahoma" w:cs="Tahoma"/>
        </w:rPr>
        <w:t xml:space="preserve">. </w:t>
      </w:r>
      <w:r w:rsidR="00BB79B4" w:rsidRPr="00900F26">
        <w:rPr>
          <w:rFonts w:ascii="Tahoma" w:hAnsi="Tahoma" w:cs="Tahoma"/>
        </w:rPr>
        <w:t xml:space="preserve">  </w:t>
      </w:r>
    </w:p>
    <w:p w:rsidR="003B22F1" w:rsidRDefault="003B22F1" w:rsidP="003B22F1">
      <w:pPr>
        <w:tabs>
          <w:tab w:val="left" w:pos="851"/>
        </w:tabs>
        <w:spacing w:before="240" w:after="240" w:line="240" w:lineRule="auto"/>
        <w:rPr>
          <w:rFonts w:ascii="Tahoma" w:hAnsi="Tahoma" w:cs="Tahoma"/>
          <w:i/>
        </w:rPr>
      </w:pPr>
    </w:p>
    <w:p w:rsidR="00BB79B4" w:rsidRPr="00570BBC" w:rsidRDefault="00BB79B4" w:rsidP="003F697B">
      <w:pPr>
        <w:keepNext/>
        <w:keepLines/>
        <w:tabs>
          <w:tab w:val="left" w:pos="851"/>
        </w:tabs>
        <w:spacing w:before="240" w:after="240" w:line="240" w:lineRule="auto"/>
        <w:rPr>
          <w:rFonts w:ascii="Tahoma" w:hAnsi="Tahoma" w:cs="Tahoma"/>
          <w:i/>
        </w:rPr>
      </w:pPr>
      <w:r w:rsidRPr="00570BBC">
        <w:rPr>
          <w:rFonts w:ascii="Tahoma" w:hAnsi="Tahoma" w:cs="Tahoma"/>
          <w:i/>
        </w:rPr>
        <w:t>Overview of Land Victoria response to stakeholders</w:t>
      </w:r>
    </w:p>
    <w:p w:rsidR="000F12D8" w:rsidRPr="00570BBC" w:rsidRDefault="00BB79B4" w:rsidP="006D3025">
      <w:pPr>
        <w:numPr>
          <w:ilvl w:val="0"/>
          <w:numId w:val="3"/>
        </w:numPr>
        <w:tabs>
          <w:tab w:val="clear" w:pos="360"/>
        </w:tabs>
        <w:spacing w:after="240" w:line="240" w:lineRule="auto"/>
        <w:ind w:left="567" w:hanging="567"/>
        <w:rPr>
          <w:rFonts w:ascii="Tahoma" w:hAnsi="Tahoma" w:cs="Tahoma"/>
        </w:rPr>
      </w:pPr>
      <w:r w:rsidRPr="00570BBC">
        <w:rPr>
          <w:rFonts w:ascii="Tahoma" w:hAnsi="Tahoma" w:cs="Tahoma"/>
        </w:rPr>
        <w:t>Land Victoria intends to</w:t>
      </w:r>
      <w:r>
        <w:rPr>
          <w:rFonts w:ascii="Tahoma" w:hAnsi="Tahoma" w:cs="Tahoma"/>
        </w:rPr>
        <w:t xml:space="preserve"> </w:t>
      </w:r>
      <w:r w:rsidR="000F12D8" w:rsidRPr="00570BBC">
        <w:rPr>
          <w:rFonts w:ascii="Tahoma" w:hAnsi="Tahoma" w:cs="Tahoma"/>
        </w:rPr>
        <w:t xml:space="preserve">proceed with </w:t>
      </w:r>
      <w:r w:rsidR="000F12D8">
        <w:rPr>
          <w:rFonts w:ascii="Tahoma" w:hAnsi="Tahoma" w:cs="Tahoma"/>
        </w:rPr>
        <w:t>the proposal that conveyancers</w:t>
      </w:r>
      <w:r w:rsidR="0057143F">
        <w:rPr>
          <w:rFonts w:ascii="Tahoma" w:hAnsi="Tahoma" w:cs="Tahoma"/>
        </w:rPr>
        <w:t>, lawyers and mortgagees</w:t>
      </w:r>
      <w:r w:rsidR="000F12D8">
        <w:rPr>
          <w:rFonts w:ascii="Tahoma" w:hAnsi="Tahoma" w:cs="Tahoma"/>
        </w:rPr>
        <w:t xml:space="preserve"> provide certifications when undertaking a paper conveyancing transaction</w:t>
      </w:r>
      <w:r w:rsidR="0096516B">
        <w:rPr>
          <w:rFonts w:ascii="Tahoma" w:hAnsi="Tahoma" w:cs="Tahoma"/>
        </w:rPr>
        <w:t xml:space="preserve">.  </w:t>
      </w:r>
      <w:r w:rsidR="000F12D8">
        <w:rPr>
          <w:rFonts w:ascii="Tahoma" w:hAnsi="Tahoma" w:cs="Tahoma"/>
        </w:rPr>
        <w:t>Land Victoria considers certifications an effective measure in aiding the integrity and probity of the conveyancing process</w:t>
      </w:r>
      <w:r w:rsidR="0096516B">
        <w:rPr>
          <w:rFonts w:ascii="Tahoma" w:hAnsi="Tahoma" w:cs="Tahoma"/>
        </w:rPr>
        <w:t xml:space="preserve">.  </w:t>
      </w:r>
      <w:r w:rsidR="000F12D8">
        <w:rPr>
          <w:rFonts w:ascii="Tahoma" w:hAnsi="Tahoma" w:cs="Tahoma"/>
        </w:rPr>
        <w:t xml:space="preserve">The implementation issues raised by stakeholders are addressed in the table below. </w:t>
      </w:r>
      <w:r w:rsidR="00323F30">
        <w:rPr>
          <w:rFonts w:ascii="Tahoma" w:hAnsi="Tahoma" w:cs="Tahoma"/>
        </w:rPr>
        <w:t xml:space="preserve"> Land Victoria will consult further with industry on these issues prior to implementation. </w:t>
      </w:r>
      <w:r w:rsidR="00323F30" w:rsidRPr="00570BBC">
        <w:rPr>
          <w:rFonts w:ascii="Tahoma" w:hAnsi="Tahoma" w:cs="Tahoma"/>
        </w:rPr>
        <w:t xml:space="preserve"> </w:t>
      </w:r>
    </w:p>
    <w:p w:rsidR="00BB79B4" w:rsidRPr="00570BBC" w:rsidRDefault="00BB79B4" w:rsidP="003B22F1">
      <w:pPr>
        <w:spacing w:after="240" w:line="240" w:lineRule="auto"/>
        <w:rPr>
          <w:rFonts w:ascii="Tahoma" w:hAnsi="Tahoma" w:cs="Tahoma"/>
        </w:rPr>
      </w:pPr>
    </w:p>
    <w:p w:rsidR="00084212" w:rsidRDefault="00084212" w:rsidP="003F697B">
      <w:pPr>
        <w:keepNext/>
        <w:keepLines/>
        <w:tabs>
          <w:tab w:val="left" w:pos="851"/>
        </w:tabs>
        <w:spacing w:before="240" w:after="240" w:line="240" w:lineRule="auto"/>
        <w:rPr>
          <w:rFonts w:ascii="Tahoma" w:hAnsi="Tahoma" w:cs="Tahoma"/>
          <w:i/>
        </w:rPr>
      </w:pPr>
      <w:r w:rsidRPr="00570BBC">
        <w:rPr>
          <w:rFonts w:ascii="Tahoma" w:hAnsi="Tahoma" w:cs="Tahoma"/>
          <w:i/>
        </w:rPr>
        <w:t>Key issues raised by stakeholders and Land Victoria’s response to these issues</w:t>
      </w:r>
    </w:p>
    <w:tbl>
      <w:tblPr>
        <w:tblStyle w:val="TableGrid"/>
        <w:tblW w:w="9638" w:type="dxa"/>
        <w:tblLook w:val="04A0" w:firstRow="1" w:lastRow="0" w:firstColumn="1" w:lastColumn="0" w:noHBand="0" w:noVBand="1"/>
      </w:tblPr>
      <w:tblGrid>
        <w:gridCol w:w="4819"/>
        <w:gridCol w:w="4819"/>
      </w:tblGrid>
      <w:tr w:rsidR="00ED72C0" w:rsidRPr="00DF4230" w:rsidTr="000807EF">
        <w:trPr>
          <w:tblHeader/>
        </w:trPr>
        <w:tc>
          <w:tcPr>
            <w:tcW w:w="4819" w:type="dxa"/>
            <w:shd w:val="clear" w:color="auto" w:fill="D9D9D9" w:themeFill="background1" w:themeFillShade="D9"/>
            <w:vAlign w:val="center"/>
          </w:tcPr>
          <w:p w:rsidR="00ED72C0" w:rsidRPr="00DF4230" w:rsidRDefault="00ED72C0" w:rsidP="00DF4230">
            <w:pPr>
              <w:spacing w:before="60" w:after="60"/>
              <w:rPr>
                <w:rFonts w:ascii="Tahoma" w:hAnsi="Tahoma" w:cs="Tahoma"/>
                <w:b/>
              </w:rPr>
            </w:pPr>
            <w:r w:rsidRPr="00DF4230">
              <w:rPr>
                <w:rFonts w:ascii="Tahoma" w:hAnsi="Tahoma" w:cs="Tahoma"/>
                <w:b/>
              </w:rPr>
              <w:t>Issue</w:t>
            </w:r>
          </w:p>
        </w:tc>
        <w:tc>
          <w:tcPr>
            <w:tcW w:w="4819" w:type="dxa"/>
            <w:shd w:val="clear" w:color="auto" w:fill="D9D9D9" w:themeFill="background1" w:themeFillShade="D9"/>
            <w:vAlign w:val="center"/>
          </w:tcPr>
          <w:p w:rsidR="00ED72C0" w:rsidRPr="00DF4230" w:rsidRDefault="00ED72C0" w:rsidP="00DF4230">
            <w:pPr>
              <w:spacing w:before="60" w:after="60"/>
              <w:rPr>
                <w:rFonts w:ascii="Tahoma" w:hAnsi="Tahoma" w:cs="Tahoma"/>
                <w:b/>
              </w:rPr>
            </w:pPr>
            <w:r w:rsidRPr="00DF4230">
              <w:rPr>
                <w:rFonts w:ascii="Tahoma" w:hAnsi="Tahoma" w:cs="Tahoma"/>
                <w:b/>
              </w:rPr>
              <w:t>Land Victoria response</w:t>
            </w:r>
          </w:p>
        </w:tc>
      </w:tr>
      <w:tr w:rsidR="00ED72C0" w:rsidTr="000807EF">
        <w:tc>
          <w:tcPr>
            <w:tcW w:w="4819" w:type="dxa"/>
          </w:tcPr>
          <w:p w:rsidR="00ED72C0" w:rsidRDefault="00CB6D14" w:rsidP="00202152">
            <w:pPr>
              <w:spacing w:after="240"/>
              <w:rPr>
                <w:rFonts w:ascii="Tahoma" w:hAnsi="Tahoma" w:cs="Tahoma"/>
              </w:rPr>
            </w:pPr>
            <w:r>
              <w:rPr>
                <w:rFonts w:ascii="Tahoma" w:hAnsi="Tahoma" w:cs="Tahoma"/>
              </w:rPr>
              <w:t>T</w:t>
            </w:r>
            <w:r w:rsidR="00ED72C0">
              <w:rPr>
                <w:rFonts w:ascii="Tahoma" w:hAnsi="Tahoma" w:cs="Tahoma"/>
              </w:rPr>
              <w:t xml:space="preserve">he proposed form of certifications </w:t>
            </w:r>
            <w:r>
              <w:rPr>
                <w:rFonts w:ascii="Tahoma" w:hAnsi="Tahoma" w:cs="Tahoma"/>
              </w:rPr>
              <w:t xml:space="preserve">should </w:t>
            </w:r>
            <w:r w:rsidR="00ED72C0">
              <w:rPr>
                <w:rFonts w:ascii="Tahoma" w:hAnsi="Tahoma" w:cs="Tahoma"/>
              </w:rPr>
              <w:t xml:space="preserve">be amended to reflect the fact that in some situations, relevant documents referred to in the current proposed form of certifications may not exist. </w:t>
            </w:r>
          </w:p>
        </w:tc>
        <w:tc>
          <w:tcPr>
            <w:tcW w:w="4819" w:type="dxa"/>
          </w:tcPr>
          <w:p w:rsidR="00ED72C0" w:rsidRDefault="00ED72C0" w:rsidP="00202152">
            <w:pPr>
              <w:spacing w:after="240"/>
              <w:rPr>
                <w:rFonts w:ascii="Tahoma" w:hAnsi="Tahoma" w:cs="Tahoma"/>
              </w:rPr>
            </w:pPr>
            <w:r>
              <w:rPr>
                <w:rFonts w:ascii="Tahoma" w:hAnsi="Tahoma" w:cs="Tahoma"/>
              </w:rPr>
              <w:t>Land Victoria believes the proposed wording in the Consultation Paper are sufficiently generic</w:t>
            </w:r>
            <w:r w:rsidR="0096516B">
              <w:rPr>
                <w:rFonts w:ascii="Tahoma" w:hAnsi="Tahoma" w:cs="Tahoma"/>
              </w:rPr>
              <w:t xml:space="preserve">.  </w:t>
            </w:r>
            <w:r>
              <w:rPr>
                <w:rFonts w:ascii="Tahoma" w:hAnsi="Tahoma" w:cs="Tahoma"/>
              </w:rPr>
              <w:t>Supporting documents are what the conveyancer</w:t>
            </w:r>
            <w:r w:rsidR="00CB6D14">
              <w:rPr>
                <w:rFonts w:ascii="Tahoma" w:hAnsi="Tahoma" w:cs="Tahoma"/>
              </w:rPr>
              <w:t>, lawyer or mortgagee</w:t>
            </w:r>
            <w:r>
              <w:rPr>
                <w:rFonts w:ascii="Tahoma" w:hAnsi="Tahoma" w:cs="Tahoma"/>
              </w:rPr>
              <w:t xml:space="preserve"> relied upon to satisfy themselves the transaction was legitimate</w:t>
            </w:r>
            <w:r w:rsidR="0096516B">
              <w:rPr>
                <w:rFonts w:ascii="Tahoma" w:hAnsi="Tahoma" w:cs="Tahoma"/>
              </w:rPr>
              <w:t xml:space="preserve">.  </w:t>
            </w:r>
          </w:p>
        </w:tc>
      </w:tr>
      <w:tr w:rsidR="00ED72C0" w:rsidTr="000807EF">
        <w:tc>
          <w:tcPr>
            <w:tcW w:w="4819" w:type="dxa"/>
          </w:tcPr>
          <w:p w:rsidR="00ED72C0" w:rsidRDefault="00CB6D14" w:rsidP="00202152">
            <w:pPr>
              <w:spacing w:after="240"/>
              <w:rPr>
                <w:rFonts w:ascii="Tahoma" w:hAnsi="Tahoma" w:cs="Tahoma"/>
              </w:rPr>
            </w:pPr>
            <w:r>
              <w:rPr>
                <w:rFonts w:ascii="Tahoma" w:hAnsi="Tahoma" w:cs="Tahoma"/>
              </w:rPr>
              <w:t xml:space="preserve">Will </w:t>
            </w:r>
            <w:r w:rsidR="00ED72C0">
              <w:rPr>
                <w:rFonts w:ascii="Tahoma" w:hAnsi="Tahoma" w:cs="Tahoma"/>
              </w:rPr>
              <w:t>a mortgage service provider be able to provide certifications on behalf of a financial institution</w:t>
            </w:r>
            <w:r w:rsidR="002E1215">
              <w:rPr>
                <w:rFonts w:ascii="Tahoma" w:hAnsi="Tahoma" w:cs="Tahoma"/>
              </w:rPr>
              <w:t>?</w:t>
            </w:r>
            <w:r w:rsidR="00ED72C0">
              <w:rPr>
                <w:rFonts w:ascii="Tahoma" w:hAnsi="Tahoma" w:cs="Tahoma"/>
              </w:rPr>
              <w:t xml:space="preserve"> </w:t>
            </w:r>
          </w:p>
        </w:tc>
        <w:tc>
          <w:tcPr>
            <w:tcW w:w="4819" w:type="dxa"/>
          </w:tcPr>
          <w:p w:rsidR="00ED72C0" w:rsidRDefault="00ED72C0" w:rsidP="00202152">
            <w:pPr>
              <w:spacing w:after="240"/>
              <w:rPr>
                <w:rFonts w:ascii="Tahoma" w:hAnsi="Tahoma" w:cs="Tahoma"/>
              </w:rPr>
            </w:pPr>
            <w:r>
              <w:rPr>
                <w:rFonts w:ascii="Tahoma" w:hAnsi="Tahoma" w:cs="Tahoma"/>
              </w:rPr>
              <w:t xml:space="preserve">Yes, if acting </w:t>
            </w:r>
            <w:r w:rsidR="00CB6D14">
              <w:rPr>
                <w:rFonts w:ascii="Tahoma" w:hAnsi="Tahoma" w:cs="Tahoma"/>
              </w:rPr>
              <w:t>under</w:t>
            </w:r>
            <w:r>
              <w:rPr>
                <w:rFonts w:ascii="Tahoma" w:hAnsi="Tahoma" w:cs="Tahoma"/>
              </w:rPr>
              <w:t xml:space="preserve"> a power of attorney from the financial institution</w:t>
            </w:r>
            <w:r w:rsidR="0096516B">
              <w:rPr>
                <w:rFonts w:ascii="Tahoma" w:hAnsi="Tahoma" w:cs="Tahoma"/>
              </w:rPr>
              <w:t xml:space="preserve">.  </w:t>
            </w:r>
          </w:p>
        </w:tc>
      </w:tr>
      <w:tr w:rsidR="00ED72C0" w:rsidTr="000807EF">
        <w:tc>
          <w:tcPr>
            <w:tcW w:w="4819" w:type="dxa"/>
          </w:tcPr>
          <w:p w:rsidR="00ED72C0" w:rsidRDefault="00CB6D14" w:rsidP="00912314">
            <w:pPr>
              <w:keepNext/>
              <w:keepLines/>
              <w:spacing w:after="240"/>
              <w:rPr>
                <w:rFonts w:ascii="Tahoma" w:hAnsi="Tahoma" w:cs="Tahoma"/>
              </w:rPr>
            </w:pPr>
            <w:r>
              <w:rPr>
                <w:rFonts w:ascii="Tahoma" w:hAnsi="Tahoma" w:cs="Tahoma"/>
              </w:rPr>
              <w:lastRenderedPageBreak/>
              <w:t>S</w:t>
            </w:r>
            <w:r w:rsidR="00ED72C0">
              <w:rPr>
                <w:rFonts w:ascii="Tahoma" w:hAnsi="Tahoma" w:cs="Tahoma"/>
              </w:rPr>
              <w:t xml:space="preserve">ome of the proposed certifications that banks will be expected to provide are not appropriate and should be amended to more appropriately reflect the information that banks can attest to.  </w:t>
            </w:r>
          </w:p>
        </w:tc>
        <w:tc>
          <w:tcPr>
            <w:tcW w:w="4819" w:type="dxa"/>
          </w:tcPr>
          <w:p w:rsidR="00ED72C0" w:rsidRDefault="00ED72C0" w:rsidP="00912314">
            <w:pPr>
              <w:keepNext/>
              <w:keepLines/>
              <w:spacing w:after="240"/>
              <w:rPr>
                <w:rFonts w:ascii="Tahoma" w:hAnsi="Tahoma" w:cs="Tahoma"/>
              </w:rPr>
            </w:pPr>
            <w:r>
              <w:rPr>
                <w:rFonts w:ascii="Tahoma" w:hAnsi="Tahoma" w:cs="Tahoma"/>
              </w:rPr>
              <w:t>Land Victoria believes the proposed wording in the Consultation Paper are sufficiently generic</w:t>
            </w:r>
            <w:r w:rsidR="0096516B">
              <w:rPr>
                <w:rFonts w:ascii="Tahoma" w:hAnsi="Tahoma" w:cs="Tahoma"/>
              </w:rPr>
              <w:t xml:space="preserve">.  </w:t>
            </w:r>
            <w:r>
              <w:rPr>
                <w:rFonts w:ascii="Tahoma" w:hAnsi="Tahoma" w:cs="Tahoma"/>
              </w:rPr>
              <w:t>The financial institution needs to attest that it has sufficient documentation to satisfy itself the transaction is legitimate.</w:t>
            </w:r>
          </w:p>
        </w:tc>
      </w:tr>
      <w:tr w:rsidR="00ED72C0" w:rsidTr="000807EF">
        <w:tc>
          <w:tcPr>
            <w:tcW w:w="4819" w:type="dxa"/>
          </w:tcPr>
          <w:p w:rsidR="00ED72C0" w:rsidRDefault="00CB6D14" w:rsidP="00202152">
            <w:pPr>
              <w:spacing w:after="240"/>
              <w:rPr>
                <w:rFonts w:ascii="Tahoma" w:hAnsi="Tahoma" w:cs="Tahoma"/>
              </w:rPr>
            </w:pPr>
            <w:r>
              <w:rPr>
                <w:rFonts w:ascii="Tahoma" w:hAnsi="Tahoma" w:cs="Tahoma"/>
              </w:rPr>
              <w:t xml:space="preserve">What is the </w:t>
            </w:r>
            <w:r w:rsidR="00ED72C0">
              <w:rPr>
                <w:rFonts w:ascii="Tahoma" w:hAnsi="Tahoma" w:cs="Tahoma"/>
              </w:rPr>
              <w:t>impact</w:t>
            </w:r>
            <w:r>
              <w:rPr>
                <w:rFonts w:ascii="Tahoma" w:hAnsi="Tahoma" w:cs="Tahoma"/>
              </w:rPr>
              <w:t xml:space="preserve"> of certifications</w:t>
            </w:r>
            <w:r w:rsidR="00ED72C0">
              <w:rPr>
                <w:rFonts w:ascii="Tahoma" w:hAnsi="Tahoma" w:cs="Tahoma"/>
              </w:rPr>
              <w:t xml:space="preserve"> on self-represented parties</w:t>
            </w:r>
            <w:r>
              <w:rPr>
                <w:rFonts w:ascii="Tahoma" w:hAnsi="Tahoma" w:cs="Tahoma"/>
              </w:rPr>
              <w:t>?</w:t>
            </w:r>
          </w:p>
        </w:tc>
        <w:tc>
          <w:tcPr>
            <w:tcW w:w="4819" w:type="dxa"/>
          </w:tcPr>
          <w:p w:rsidR="00ED72C0" w:rsidRDefault="00ED72C0" w:rsidP="00202152">
            <w:pPr>
              <w:spacing w:after="240"/>
              <w:rPr>
                <w:rFonts w:ascii="Tahoma" w:hAnsi="Tahoma" w:cs="Tahoma"/>
              </w:rPr>
            </w:pPr>
            <w:r>
              <w:rPr>
                <w:rFonts w:ascii="Tahoma" w:hAnsi="Tahoma" w:cs="Tahoma"/>
              </w:rPr>
              <w:t>Certification requirements will not apply to self-represented parties</w:t>
            </w:r>
            <w:r w:rsidR="0096516B">
              <w:rPr>
                <w:rFonts w:ascii="Tahoma" w:hAnsi="Tahoma" w:cs="Tahoma"/>
              </w:rPr>
              <w:t xml:space="preserve">.  </w:t>
            </w:r>
          </w:p>
        </w:tc>
      </w:tr>
      <w:tr w:rsidR="00ED72C0" w:rsidTr="000807EF">
        <w:tc>
          <w:tcPr>
            <w:tcW w:w="4819" w:type="dxa"/>
          </w:tcPr>
          <w:p w:rsidR="00ED72C0" w:rsidRDefault="00CB6D14" w:rsidP="00202152">
            <w:pPr>
              <w:spacing w:after="240"/>
              <w:rPr>
                <w:rFonts w:ascii="Tahoma" w:hAnsi="Tahoma" w:cs="Tahoma"/>
              </w:rPr>
            </w:pPr>
            <w:r>
              <w:rPr>
                <w:rFonts w:ascii="Tahoma" w:hAnsi="Tahoma" w:cs="Tahoma"/>
              </w:rPr>
              <w:t>C</w:t>
            </w:r>
            <w:r w:rsidR="00ED72C0">
              <w:rPr>
                <w:rFonts w:ascii="Tahoma" w:hAnsi="Tahoma" w:cs="Tahoma"/>
              </w:rPr>
              <w:t xml:space="preserve">ertifications </w:t>
            </w:r>
            <w:r w:rsidR="005E41AF">
              <w:rPr>
                <w:rFonts w:ascii="Tahoma" w:hAnsi="Tahoma" w:cs="Tahoma"/>
              </w:rPr>
              <w:t xml:space="preserve">should </w:t>
            </w:r>
            <w:r>
              <w:rPr>
                <w:rFonts w:ascii="Tahoma" w:hAnsi="Tahoma" w:cs="Tahoma"/>
              </w:rPr>
              <w:t xml:space="preserve">not </w:t>
            </w:r>
            <w:r w:rsidR="005E41AF">
              <w:rPr>
                <w:rFonts w:ascii="Tahoma" w:hAnsi="Tahoma" w:cs="Tahoma"/>
              </w:rPr>
              <w:t xml:space="preserve">be </w:t>
            </w:r>
            <w:r w:rsidR="00ED72C0">
              <w:rPr>
                <w:rFonts w:ascii="Tahoma" w:hAnsi="Tahoma" w:cs="Tahoma"/>
              </w:rPr>
              <w:t>required for paper conveyancing transactions</w:t>
            </w:r>
            <w:r w:rsidR="0096516B">
              <w:rPr>
                <w:rFonts w:ascii="Tahoma" w:hAnsi="Tahoma" w:cs="Tahoma"/>
              </w:rPr>
              <w:t xml:space="preserve">.  </w:t>
            </w:r>
          </w:p>
        </w:tc>
        <w:tc>
          <w:tcPr>
            <w:tcW w:w="4819" w:type="dxa"/>
          </w:tcPr>
          <w:p w:rsidR="00ED72C0" w:rsidRDefault="00ED72C0" w:rsidP="00202152">
            <w:pPr>
              <w:spacing w:after="240"/>
              <w:rPr>
                <w:rFonts w:ascii="Tahoma" w:hAnsi="Tahoma" w:cs="Tahoma"/>
              </w:rPr>
            </w:pPr>
            <w:r>
              <w:rPr>
                <w:rFonts w:ascii="Tahoma" w:hAnsi="Tahoma" w:cs="Tahoma"/>
              </w:rPr>
              <w:t>The use of certifications in paper conveyancing will</w:t>
            </w:r>
            <w:r w:rsidR="00CB6D14">
              <w:rPr>
                <w:rFonts w:ascii="Tahoma" w:hAnsi="Tahoma" w:cs="Tahoma"/>
              </w:rPr>
              <w:t xml:space="preserve"> align requirements across the two mediums, paper and electronic.  This will eliminate the need for </w:t>
            </w:r>
            <w:r w:rsidR="005E41AF">
              <w:rPr>
                <w:rFonts w:ascii="Tahoma" w:hAnsi="Tahoma" w:cs="Tahoma"/>
              </w:rPr>
              <w:t>stakeholders</w:t>
            </w:r>
            <w:r w:rsidR="00CB6D14">
              <w:rPr>
                <w:rFonts w:ascii="Tahoma" w:hAnsi="Tahoma" w:cs="Tahoma"/>
              </w:rPr>
              <w:t xml:space="preserve"> and Land Victoria to use two processes, including using different instrument forms</w:t>
            </w:r>
            <w:r w:rsidR="0096516B">
              <w:rPr>
                <w:rFonts w:ascii="Tahoma" w:hAnsi="Tahoma" w:cs="Tahoma"/>
              </w:rPr>
              <w:t>.</w:t>
            </w:r>
          </w:p>
        </w:tc>
      </w:tr>
      <w:tr w:rsidR="00ED72C0" w:rsidTr="000807EF">
        <w:tc>
          <w:tcPr>
            <w:tcW w:w="4819" w:type="dxa"/>
          </w:tcPr>
          <w:p w:rsidR="00ED72C0" w:rsidRDefault="00ED72C0" w:rsidP="00202152">
            <w:pPr>
              <w:spacing w:after="240"/>
              <w:rPr>
                <w:rFonts w:ascii="Tahoma" w:hAnsi="Tahoma" w:cs="Tahoma"/>
              </w:rPr>
            </w:pPr>
            <w:r>
              <w:rPr>
                <w:rFonts w:ascii="Tahoma" w:hAnsi="Tahoma" w:cs="Tahoma"/>
              </w:rPr>
              <w:t xml:space="preserve">Non-ADI financial institutions should have the same ability to provide certifications as ADIs. </w:t>
            </w:r>
          </w:p>
        </w:tc>
        <w:tc>
          <w:tcPr>
            <w:tcW w:w="4819" w:type="dxa"/>
          </w:tcPr>
          <w:p w:rsidR="00ED72C0" w:rsidRDefault="00ED72C0" w:rsidP="00202152">
            <w:pPr>
              <w:spacing w:after="240"/>
              <w:rPr>
                <w:rFonts w:ascii="Tahoma" w:hAnsi="Tahoma" w:cs="Tahoma"/>
              </w:rPr>
            </w:pPr>
            <w:r>
              <w:rPr>
                <w:rFonts w:ascii="Tahoma" w:hAnsi="Tahoma" w:cs="Tahoma"/>
              </w:rPr>
              <w:t xml:space="preserve">Non-ADI institutions can become subscribers to </w:t>
            </w:r>
            <w:r w:rsidR="002E1215">
              <w:rPr>
                <w:rFonts w:ascii="Tahoma" w:hAnsi="Tahoma" w:cs="Tahoma"/>
              </w:rPr>
              <w:t>an</w:t>
            </w:r>
            <w:r>
              <w:rPr>
                <w:rFonts w:ascii="Tahoma" w:hAnsi="Tahoma" w:cs="Tahoma"/>
              </w:rPr>
              <w:t xml:space="preserve"> </w:t>
            </w:r>
            <w:r w:rsidR="00CB6D14">
              <w:rPr>
                <w:rFonts w:ascii="Tahoma" w:hAnsi="Tahoma" w:cs="Tahoma"/>
              </w:rPr>
              <w:t>e</w:t>
            </w:r>
            <w:r>
              <w:rPr>
                <w:rFonts w:ascii="Tahoma" w:hAnsi="Tahoma" w:cs="Tahoma"/>
              </w:rPr>
              <w:t xml:space="preserve">lectronic </w:t>
            </w:r>
            <w:r w:rsidR="00CB6D14">
              <w:rPr>
                <w:rFonts w:ascii="Tahoma" w:hAnsi="Tahoma" w:cs="Tahoma"/>
              </w:rPr>
              <w:t>l</w:t>
            </w:r>
            <w:r>
              <w:rPr>
                <w:rFonts w:ascii="Tahoma" w:hAnsi="Tahoma" w:cs="Tahoma"/>
              </w:rPr>
              <w:t xml:space="preserve">odgement </w:t>
            </w:r>
            <w:r w:rsidR="00CB6D14">
              <w:rPr>
                <w:rFonts w:ascii="Tahoma" w:hAnsi="Tahoma" w:cs="Tahoma"/>
              </w:rPr>
              <w:t>n</w:t>
            </w:r>
            <w:r>
              <w:rPr>
                <w:rFonts w:ascii="Tahoma" w:hAnsi="Tahoma" w:cs="Tahoma"/>
              </w:rPr>
              <w:t>etwork and will thereby have the same ability to provide certifications as an ADI</w:t>
            </w:r>
            <w:r w:rsidR="0096516B">
              <w:rPr>
                <w:rFonts w:ascii="Tahoma" w:hAnsi="Tahoma" w:cs="Tahoma"/>
              </w:rPr>
              <w:t xml:space="preserve">.  </w:t>
            </w:r>
          </w:p>
        </w:tc>
      </w:tr>
    </w:tbl>
    <w:p w:rsidR="008F6E10" w:rsidRDefault="008F6E10" w:rsidP="008F6E10">
      <w:pPr>
        <w:keepNext/>
        <w:keepLines/>
        <w:spacing w:after="120" w:line="240" w:lineRule="auto"/>
        <w:rPr>
          <w:rFonts w:ascii="Tahoma" w:hAnsi="Tahoma" w:cs="Tahoma"/>
        </w:rPr>
      </w:pPr>
    </w:p>
    <w:p w:rsidR="00FE0BF0" w:rsidRDefault="00FE0BF0" w:rsidP="003B22F1">
      <w:pPr>
        <w:keepNext/>
        <w:keepLines/>
        <w:spacing w:before="240" w:after="240" w:line="240" w:lineRule="auto"/>
        <w:rPr>
          <w:rFonts w:ascii="Tahoma" w:hAnsi="Tahoma" w:cs="Tahoma"/>
          <w:i/>
          <w:sz w:val="24"/>
          <w:szCs w:val="24"/>
          <w:u w:val="single"/>
        </w:rPr>
      </w:pPr>
      <w:bookmarkStart w:id="6" w:name="_Toc372902735"/>
      <w:r w:rsidRPr="00A40C4B">
        <w:rPr>
          <w:rFonts w:ascii="Tahoma" w:hAnsi="Tahoma" w:cs="Tahoma"/>
          <w:i/>
          <w:sz w:val="24"/>
          <w:szCs w:val="24"/>
          <w:u w:val="single"/>
        </w:rPr>
        <w:t>Priority notices</w:t>
      </w:r>
      <w:bookmarkEnd w:id="6"/>
    </w:p>
    <w:p w:rsidR="009D781C" w:rsidRPr="00B70976" w:rsidRDefault="009D781C" w:rsidP="000807EF">
      <w:pPr>
        <w:spacing w:after="240" w:line="240" w:lineRule="auto"/>
        <w:rPr>
          <w:rFonts w:ascii="Tahoma" w:hAnsi="Tahoma" w:cs="Tahoma"/>
          <w:color w:val="6D5125" w:themeColor="accent5" w:themeShade="80"/>
        </w:rPr>
      </w:pPr>
      <w:r w:rsidRPr="00B70976">
        <w:rPr>
          <w:rFonts w:ascii="Tahoma" w:hAnsi="Tahoma" w:cs="Tahoma"/>
          <w:color w:val="6D5125" w:themeColor="accent5" w:themeShade="80"/>
        </w:rPr>
        <w:t>Questions included in Consultation Paper</w:t>
      </w:r>
    </w:p>
    <w:p w:rsidR="007E57D0" w:rsidRPr="003B22F1" w:rsidRDefault="007E57D0" w:rsidP="000807EF">
      <w:pPr>
        <w:spacing w:after="240" w:line="240" w:lineRule="auto"/>
        <w:ind w:left="567" w:hanging="567"/>
        <w:rPr>
          <w:rFonts w:ascii="Tahoma" w:eastAsia="Times New Roman" w:hAnsi="Tahoma" w:cs="Tahoma"/>
          <w:color w:val="6D5125" w:themeColor="accent5" w:themeShade="80"/>
        </w:rPr>
      </w:pPr>
      <w:r w:rsidRPr="003B22F1">
        <w:rPr>
          <w:rFonts w:ascii="Tahoma" w:eastAsia="Times New Roman" w:hAnsi="Tahoma" w:cs="Tahoma"/>
          <w:color w:val="6D5125" w:themeColor="accent5" w:themeShade="80"/>
        </w:rPr>
        <w:t>7.1:</w:t>
      </w:r>
      <w:r w:rsidRPr="003B22F1">
        <w:rPr>
          <w:rFonts w:ascii="Tahoma" w:eastAsia="Times New Roman" w:hAnsi="Tahoma" w:cs="Tahoma"/>
          <w:color w:val="6D5125" w:themeColor="accent5" w:themeShade="80"/>
        </w:rPr>
        <w:tab/>
        <w:t>Should priority notices be introduced?  If not, why not?</w:t>
      </w:r>
    </w:p>
    <w:p w:rsidR="007E57D0" w:rsidRPr="003B22F1" w:rsidRDefault="007E57D0" w:rsidP="000807EF">
      <w:pPr>
        <w:spacing w:after="240" w:line="240" w:lineRule="auto"/>
        <w:ind w:left="567" w:hanging="567"/>
        <w:rPr>
          <w:rFonts w:ascii="Tahoma" w:eastAsia="Times New Roman" w:hAnsi="Tahoma" w:cs="Tahoma"/>
          <w:color w:val="6D5125" w:themeColor="accent5" w:themeShade="80"/>
        </w:rPr>
      </w:pPr>
      <w:r w:rsidRPr="003B22F1">
        <w:rPr>
          <w:rFonts w:ascii="Tahoma" w:eastAsia="Times New Roman" w:hAnsi="Tahoma" w:cs="Tahoma"/>
          <w:color w:val="6D5125" w:themeColor="accent5" w:themeShade="80"/>
        </w:rPr>
        <w:t>7.2:</w:t>
      </w:r>
      <w:r w:rsidRPr="003B22F1">
        <w:rPr>
          <w:rFonts w:ascii="Tahoma" w:eastAsia="Times New Roman" w:hAnsi="Tahoma" w:cs="Tahoma"/>
          <w:color w:val="6D5125" w:themeColor="accent5" w:themeShade="80"/>
        </w:rPr>
        <w:tab/>
        <w:t>Should priority notices be optional?  If not, why not?</w:t>
      </w:r>
    </w:p>
    <w:p w:rsidR="007E57D0" w:rsidRPr="003B22F1" w:rsidRDefault="007E57D0" w:rsidP="000807EF">
      <w:pPr>
        <w:spacing w:after="240" w:line="240" w:lineRule="auto"/>
        <w:ind w:left="567" w:hanging="567"/>
        <w:rPr>
          <w:rFonts w:ascii="Tahoma" w:eastAsia="Times New Roman" w:hAnsi="Tahoma" w:cs="Tahoma"/>
          <w:color w:val="6D5125" w:themeColor="accent5" w:themeShade="80"/>
        </w:rPr>
      </w:pPr>
      <w:r w:rsidRPr="003B22F1">
        <w:rPr>
          <w:rFonts w:ascii="Tahoma" w:eastAsia="Times New Roman" w:hAnsi="Tahoma" w:cs="Tahoma"/>
          <w:color w:val="6D5125" w:themeColor="accent5" w:themeShade="80"/>
        </w:rPr>
        <w:t>7.3:</w:t>
      </w:r>
      <w:r w:rsidRPr="003B22F1">
        <w:rPr>
          <w:rFonts w:ascii="Tahoma" w:eastAsia="Times New Roman" w:hAnsi="Tahoma" w:cs="Tahoma"/>
          <w:color w:val="6D5125" w:themeColor="accent5" w:themeShade="80"/>
        </w:rPr>
        <w:tab/>
        <w:t>Should it be possible to lodge priority notices in paper?  If so, what processes should be employed to ensure that the lodging party is known and verified as is the case for a subscriber to an electronic lodgement network?</w:t>
      </w:r>
    </w:p>
    <w:p w:rsidR="007E57D0" w:rsidRPr="003B22F1" w:rsidRDefault="007E57D0" w:rsidP="000807EF">
      <w:pPr>
        <w:spacing w:after="240" w:line="240" w:lineRule="auto"/>
        <w:ind w:left="567" w:hanging="567"/>
        <w:rPr>
          <w:rFonts w:ascii="Tahoma" w:eastAsia="Times New Roman" w:hAnsi="Tahoma" w:cs="Tahoma"/>
          <w:color w:val="6D5125" w:themeColor="accent5" w:themeShade="80"/>
        </w:rPr>
      </w:pPr>
      <w:r w:rsidRPr="003B22F1">
        <w:rPr>
          <w:rFonts w:ascii="Tahoma" w:eastAsia="Times New Roman" w:hAnsi="Tahoma" w:cs="Tahoma"/>
          <w:color w:val="6D5125" w:themeColor="accent5" w:themeShade="80"/>
        </w:rPr>
        <w:t>7.4:</w:t>
      </w:r>
      <w:r w:rsidRPr="003B22F1">
        <w:rPr>
          <w:rFonts w:ascii="Tahoma" w:eastAsia="Times New Roman" w:hAnsi="Tahoma" w:cs="Tahoma"/>
          <w:color w:val="6D5125" w:themeColor="accent5" w:themeShade="80"/>
        </w:rPr>
        <w:tab/>
        <w:t>Should priority notices extend to all dealing types or only to transfers and mortgages?</w:t>
      </w:r>
    </w:p>
    <w:p w:rsidR="007E57D0" w:rsidRPr="003B22F1" w:rsidRDefault="007E57D0" w:rsidP="000807EF">
      <w:pPr>
        <w:spacing w:after="240" w:line="240" w:lineRule="auto"/>
        <w:ind w:left="567" w:hanging="567"/>
        <w:rPr>
          <w:rFonts w:ascii="Tahoma" w:eastAsia="Times New Roman" w:hAnsi="Tahoma" w:cs="Tahoma"/>
          <w:color w:val="6D5125" w:themeColor="accent5" w:themeShade="80"/>
        </w:rPr>
      </w:pPr>
      <w:r w:rsidRPr="003B22F1">
        <w:rPr>
          <w:rFonts w:ascii="Tahoma" w:eastAsia="Times New Roman" w:hAnsi="Tahoma" w:cs="Tahoma"/>
          <w:color w:val="6D5125" w:themeColor="accent5" w:themeShade="80"/>
        </w:rPr>
        <w:t>7.5:</w:t>
      </w:r>
      <w:r w:rsidRPr="003B22F1">
        <w:rPr>
          <w:rFonts w:ascii="Tahoma" w:eastAsia="Times New Roman" w:hAnsi="Tahoma" w:cs="Tahoma"/>
          <w:color w:val="6D5125" w:themeColor="accent5" w:themeShade="80"/>
        </w:rPr>
        <w:tab/>
        <w:t>Is the list of exceptions to a priority notice outlined in this Consultation Paper sufficient, or should they be expanded?</w:t>
      </w:r>
    </w:p>
    <w:p w:rsidR="007E57D0" w:rsidRPr="003B22F1" w:rsidRDefault="007E57D0" w:rsidP="000807EF">
      <w:pPr>
        <w:spacing w:after="240" w:line="240" w:lineRule="auto"/>
        <w:ind w:left="567" w:hanging="567"/>
        <w:rPr>
          <w:rFonts w:ascii="Tahoma" w:eastAsia="Times New Roman" w:hAnsi="Tahoma" w:cs="Tahoma"/>
          <w:color w:val="6D5125" w:themeColor="accent5" w:themeShade="80"/>
        </w:rPr>
      </w:pPr>
      <w:r w:rsidRPr="003B22F1">
        <w:rPr>
          <w:rFonts w:ascii="Tahoma" w:eastAsia="Times New Roman" w:hAnsi="Tahoma" w:cs="Tahoma"/>
          <w:color w:val="6D5125" w:themeColor="accent5" w:themeShade="80"/>
        </w:rPr>
        <w:t>7.6:</w:t>
      </w:r>
      <w:r w:rsidRPr="003B22F1">
        <w:rPr>
          <w:rFonts w:ascii="Tahoma" w:eastAsia="Times New Roman" w:hAnsi="Tahoma" w:cs="Tahoma"/>
          <w:color w:val="6D5125" w:themeColor="accent5" w:themeShade="80"/>
        </w:rPr>
        <w:tab/>
        <w:t>Is 60 days the appropriate time period for a priority notice?  If not, what should the period be?</w:t>
      </w:r>
    </w:p>
    <w:p w:rsidR="00EF082A" w:rsidRDefault="00EF082A" w:rsidP="007670CC">
      <w:pPr>
        <w:tabs>
          <w:tab w:val="left" w:pos="851"/>
        </w:tabs>
        <w:spacing w:after="240" w:line="240" w:lineRule="auto"/>
        <w:ind w:left="567" w:hanging="567"/>
        <w:rPr>
          <w:rFonts w:ascii="Tahoma" w:eastAsia="Times New Roman" w:hAnsi="Tahoma" w:cs="Tahoma"/>
          <w:color w:val="6D5125" w:themeColor="accent5" w:themeShade="80"/>
          <w:sz w:val="20"/>
          <w:szCs w:val="20"/>
        </w:rPr>
      </w:pPr>
    </w:p>
    <w:p w:rsidR="00EF082A" w:rsidRDefault="00EF082A" w:rsidP="003F697B">
      <w:pPr>
        <w:keepNext/>
        <w:keepLines/>
        <w:tabs>
          <w:tab w:val="left" w:pos="851"/>
        </w:tabs>
        <w:spacing w:before="240" w:after="240" w:line="240" w:lineRule="auto"/>
        <w:rPr>
          <w:rFonts w:ascii="Tahoma" w:hAnsi="Tahoma" w:cs="Tahoma"/>
          <w:i/>
        </w:rPr>
      </w:pPr>
      <w:r w:rsidRPr="00D66DA3">
        <w:rPr>
          <w:rFonts w:ascii="Tahoma" w:hAnsi="Tahoma" w:cs="Tahoma"/>
          <w:i/>
        </w:rPr>
        <w:t xml:space="preserve">Overview of stakeholder response to </w:t>
      </w:r>
      <w:r>
        <w:rPr>
          <w:rFonts w:ascii="Tahoma" w:hAnsi="Tahoma" w:cs="Tahoma"/>
          <w:i/>
        </w:rPr>
        <w:t xml:space="preserve">priority notices  </w:t>
      </w:r>
    </w:p>
    <w:p w:rsidR="00EF082A" w:rsidRDefault="00FB63E8" w:rsidP="006D3025">
      <w:pPr>
        <w:numPr>
          <w:ilvl w:val="0"/>
          <w:numId w:val="3"/>
        </w:numPr>
        <w:tabs>
          <w:tab w:val="clear" w:pos="360"/>
        </w:tabs>
        <w:spacing w:after="240" w:line="240" w:lineRule="auto"/>
        <w:ind w:left="567" w:hanging="567"/>
        <w:rPr>
          <w:rFonts w:ascii="Tahoma" w:hAnsi="Tahoma" w:cs="Tahoma"/>
        </w:rPr>
      </w:pPr>
      <w:r>
        <w:rPr>
          <w:rFonts w:ascii="Tahoma" w:eastAsia="Calibri" w:hAnsi="Tahoma" w:cs="Tahoma"/>
        </w:rPr>
        <w:t>Seven</w:t>
      </w:r>
      <w:r w:rsidR="00EF082A">
        <w:rPr>
          <w:rFonts w:ascii="Tahoma" w:eastAsia="Calibri" w:hAnsi="Tahoma" w:cs="Tahoma"/>
        </w:rPr>
        <w:t xml:space="preserve"> s</w:t>
      </w:r>
      <w:r w:rsidR="00EF082A" w:rsidRPr="00900F26">
        <w:rPr>
          <w:rFonts w:ascii="Tahoma" w:eastAsia="Calibri" w:hAnsi="Tahoma" w:cs="Tahoma"/>
        </w:rPr>
        <w:t xml:space="preserve">ubmissions </w:t>
      </w:r>
      <w:r w:rsidR="00EF082A" w:rsidRPr="00900F26">
        <w:rPr>
          <w:rFonts w:ascii="Tahoma" w:hAnsi="Tahoma" w:cs="Tahoma"/>
        </w:rPr>
        <w:t xml:space="preserve">supported the </w:t>
      </w:r>
      <w:r w:rsidR="00EF082A">
        <w:rPr>
          <w:rFonts w:ascii="Tahoma" w:hAnsi="Tahoma" w:cs="Tahoma"/>
        </w:rPr>
        <w:t xml:space="preserve">proposals in the </w:t>
      </w:r>
      <w:r w:rsidR="00B70976">
        <w:rPr>
          <w:rFonts w:ascii="Tahoma" w:hAnsi="Tahoma" w:cs="Tahoma"/>
        </w:rPr>
        <w:t>Consultation Paper</w:t>
      </w:r>
      <w:r w:rsidR="00EF082A">
        <w:rPr>
          <w:rFonts w:ascii="Tahoma" w:hAnsi="Tahoma" w:cs="Tahoma"/>
        </w:rPr>
        <w:t xml:space="preserve"> relating to priority notices</w:t>
      </w:r>
      <w:r w:rsidR="0025399E">
        <w:rPr>
          <w:rFonts w:ascii="Tahoma" w:hAnsi="Tahoma" w:cs="Tahoma"/>
        </w:rPr>
        <w:t>.  F</w:t>
      </w:r>
      <w:r>
        <w:rPr>
          <w:rFonts w:ascii="Tahoma" w:hAnsi="Tahoma" w:cs="Tahoma"/>
        </w:rPr>
        <w:t>ive</w:t>
      </w:r>
      <w:r w:rsidR="00646357">
        <w:rPr>
          <w:rFonts w:ascii="Tahoma" w:hAnsi="Tahoma" w:cs="Tahoma"/>
        </w:rPr>
        <w:t xml:space="preserve"> of these s</w:t>
      </w:r>
      <w:r w:rsidR="00EF082A">
        <w:rPr>
          <w:rFonts w:ascii="Tahoma" w:hAnsi="Tahoma" w:cs="Tahoma"/>
        </w:rPr>
        <w:t>ubmissions raised issues relating to how their use would be implemented</w:t>
      </w:r>
      <w:r w:rsidR="0096516B">
        <w:rPr>
          <w:rFonts w:ascii="Tahoma" w:hAnsi="Tahoma" w:cs="Tahoma"/>
        </w:rPr>
        <w:t xml:space="preserve">.  </w:t>
      </w:r>
      <w:r>
        <w:rPr>
          <w:rFonts w:ascii="Tahoma" w:hAnsi="Tahoma" w:cs="Tahoma"/>
        </w:rPr>
        <w:t>Five</w:t>
      </w:r>
      <w:r w:rsidR="00EF082A">
        <w:rPr>
          <w:rFonts w:ascii="Tahoma" w:hAnsi="Tahoma" w:cs="Tahoma"/>
        </w:rPr>
        <w:t xml:space="preserve"> submissions made no comment on this aspect of the </w:t>
      </w:r>
      <w:r w:rsidR="00B70976">
        <w:rPr>
          <w:rFonts w:ascii="Tahoma" w:hAnsi="Tahoma" w:cs="Tahoma"/>
        </w:rPr>
        <w:t>Consultation Paper</w:t>
      </w:r>
      <w:r w:rsidR="00EF082A">
        <w:rPr>
          <w:rFonts w:ascii="Tahoma" w:hAnsi="Tahoma" w:cs="Tahoma"/>
        </w:rPr>
        <w:t xml:space="preserve">. </w:t>
      </w:r>
      <w:r w:rsidR="00EF082A" w:rsidRPr="00900F26">
        <w:rPr>
          <w:rFonts w:ascii="Tahoma" w:hAnsi="Tahoma" w:cs="Tahoma"/>
        </w:rPr>
        <w:t xml:space="preserve">  </w:t>
      </w:r>
    </w:p>
    <w:p w:rsidR="003B22F1" w:rsidRDefault="003B22F1" w:rsidP="003B22F1">
      <w:pPr>
        <w:tabs>
          <w:tab w:val="left" w:pos="851"/>
        </w:tabs>
        <w:spacing w:before="240" w:after="240" w:line="240" w:lineRule="auto"/>
        <w:rPr>
          <w:rFonts w:ascii="Tahoma" w:hAnsi="Tahoma" w:cs="Tahoma"/>
          <w:i/>
        </w:rPr>
      </w:pPr>
    </w:p>
    <w:p w:rsidR="00EF082A" w:rsidRPr="00570BBC" w:rsidRDefault="00EF082A" w:rsidP="003F697B">
      <w:pPr>
        <w:keepNext/>
        <w:keepLines/>
        <w:tabs>
          <w:tab w:val="left" w:pos="851"/>
        </w:tabs>
        <w:spacing w:before="240" w:after="240" w:line="240" w:lineRule="auto"/>
        <w:rPr>
          <w:rFonts w:ascii="Tahoma" w:hAnsi="Tahoma" w:cs="Tahoma"/>
          <w:i/>
        </w:rPr>
      </w:pPr>
      <w:r w:rsidRPr="00570BBC">
        <w:rPr>
          <w:rFonts w:ascii="Tahoma" w:hAnsi="Tahoma" w:cs="Tahoma"/>
          <w:i/>
        </w:rPr>
        <w:t>Overview of Land Victoria response to stakeholders</w:t>
      </w:r>
    </w:p>
    <w:p w:rsidR="00646357" w:rsidRPr="00570BBC" w:rsidRDefault="00EF082A" w:rsidP="006D3025">
      <w:pPr>
        <w:numPr>
          <w:ilvl w:val="0"/>
          <w:numId w:val="3"/>
        </w:numPr>
        <w:tabs>
          <w:tab w:val="clear" w:pos="360"/>
        </w:tabs>
        <w:spacing w:after="240" w:line="240" w:lineRule="auto"/>
        <w:ind w:left="567" w:hanging="567"/>
        <w:rPr>
          <w:rFonts w:ascii="Tahoma" w:hAnsi="Tahoma" w:cs="Tahoma"/>
        </w:rPr>
      </w:pPr>
      <w:r w:rsidRPr="00570BBC">
        <w:rPr>
          <w:rFonts w:ascii="Tahoma" w:hAnsi="Tahoma" w:cs="Tahoma"/>
        </w:rPr>
        <w:t>Land Victoria intends to</w:t>
      </w:r>
      <w:r>
        <w:rPr>
          <w:rFonts w:ascii="Tahoma" w:hAnsi="Tahoma" w:cs="Tahoma"/>
        </w:rPr>
        <w:t xml:space="preserve"> </w:t>
      </w:r>
      <w:r w:rsidR="00646357" w:rsidRPr="00570BBC">
        <w:rPr>
          <w:rFonts w:ascii="Tahoma" w:hAnsi="Tahoma" w:cs="Tahoma"/>
        </w:rPr>
        <w:t xml:space="preserve">proceed with </w:t>
      </w:r>
      <w:r w:rsidR="00646357">
        <w:rPr>
          <w:rFonts w:ascii="Tahoma" w:hAnsi="Tahoma" w:cs="Tahoma"/>
        </w:rPr>
        <w:t xml:space="preserve">the proposals relating to priority notices.  The implementation issues raised by stakeholders are addressed in the table below. </w:t>
      </w:r>
      <w:r w:rsidR="00323F30">
        <w:rPr>
          <w:rFonts w:ascii="Tahoma" w:hAnsi="Tahoma" w:cs="Tahoma"/>
        </w:rPr>
        <w:t xml:space="preserve"> Land Victoria will consult further with industry on these issues prior to implementation. </w:t>
      </w:r>
      <w:r w:rsidR="00323F30" w:rsidRPr="00570BBC">
        <w:rPr>
          <w:rFonts w:ascii="Tahoma" w:hAnsi="Tahoma" w:cs="Tahoma"/>
        </w:rPr>
        <w:t xml:space="preserve"> </w:t>
      </w:r>
    </w:p>
    <w:p w:rsidR="003B22F1" w:rsidRDefault="003B22F1" w:rsidP="003B22F1">
      <w:pPr>
        <w:tabs>
          <w:tab w:val="left" w:pos="851"/>
        </w:tabs>
        <w:spacing w:before="240" w:after="240" w:line="240" w:lineRule="auto"/>
        <w:rPr>
          <w:rFonts w:ascii="Tahoma" w:hAnsi="Tahoma" w:cs="Tahoma"/>
          <w:i/>
        </w:rPr>
      </w:pPr>
    </w:p>
    <w:p w:rsidR="00516C78" w:rsidRDefault="00516C78" w:rsidP="003F697B">
      <w:pPr>
        <w:keepNext/>
        <w:keepLines/>
        <w:tabs>
          <w:tab w:val="left" w:pos="851"/>
        </w:tabs>
        <w:spacing w:before="240" w:after="240" w:line="240" w:lineRule="auto"/>
        <w:rPr>
          <w:rFonts w:ascii="Tahoma" w:hAnsi="Tahoma" w:cs="Tahoma"/>
          <w:i/>
        </w:rPr>
      </w:pPr>
      <w:r w:rsidRPr="00570BBC">
        <w:rPr>
          <w:rFonts w:ascii="Tahoma" w:hAnsi="Tahoma" w:cs="Tahoma"/>
          <w:i/>
        </w:rPr>
        <w:t>Key issues raised by stakeholders and Land Victoria’s response to these issues</w:t>
      </w:r>
    </w:p>
    <w:tbl>
      <w:tblPr>
        <w:tblStyle w:val="TableGrid"/>
        <w:tblW w:w="9638" w:type="dxa"/>
        <w:tblLook w:val="04A0" w:firstRow="1" w:lastRow="0" w:firstColumn="1" w:lastColumn="0" w:noHBand="0" w:noVBand="1"/>
      </w:tblPr>
      <w:tblGrid>
        <w:gridCol w:w="4819"/>
        <w:gridCol w:w="4819"/>
      </w:tblGrid>
      <w:tr w:rsidR="00492050" w:rsidRPr="00DF4230" w:rsidTr="000807EF">
        <w:trPr>
          <w:tblHeader/>
        </w:trPr>
        <w:tc>
          <w:tcPr>
            <w:tcW w:w="4819" w:type="dxa"/>
            <w:shd w:val="clear" w:color="auto" w:fill="D9D9D9" w:themeFill="background1" w:themeFillShade="D9"/>
            <w:vAlign w:val="center"/>
          </w:tcPr>
          <w:p w:rsidR="00492050" w:rsidRPr="00DF4230" w:rsidRDefault="00492050" w:rsidP="00DF4230">
            <w:pPr>
              <w:spacing w:before="60" w:after="60"/>
              <w:rPr>
                <w:rFonts w:ascii="Tahoma" w:hAnsi="Tahoma" w:cs="Tahoma"/>
                <w:b/>
              </w:rPr>
            </w:pPr>
            <w:r w:rsidRPr="00DF4230">
              <w:rPr>
                <w:rFonts w:ascii="Tahoma" w:hAnsi="Tahoma" w:cs="Tahoma"/>
                <w:b/>
              </w:rPr>
              <w:t>Issue</w:t>
            </w:r>
          </w:p>
        </w:tc>
        <w:tc>
          <w:tcPr>
            <w:tcW w:w="4819" w:type="dxa"/>
            <w:shd w:val="clear" w:color="auto" w:fill="D9D9D9" w:themeFill="background1" w:themeFillShade="D9"/>
            <w:vAlign w:val="center"/>
          </w:tcPr>
          <w:p w:rsidR="00492050" w:rsidRPr="00DF4230" w:rsidRDefault="00492050" w:rsidP="00DF4230">
            <w:pPr>
              <w:spacing w:before="60" w:after="60"/>
              <w:rPr>
                <w:rFonts w:ascii="Tahoma" w:hAnsi="Tahoma" w:cs="Tahoma"/>
                <w:b/>
              </w:rPr>
            </w:pPr>
            <w:r w:rsidRPr="00DF4230">
              <w:rPr>
                <w:rFonts w:ascii="Tahoma" w:hAnsi="Tahoma" w:cs="Tahoma"/>
                <w:b/>
              </w:rPr>
              <w:t>Land Victoria response</w:t>
            </w:r>
          </w:p>
        </w:tc>
      </w:tr>
      <w:tr w:rsidR="00492050" w:rsidTr="000807EF">
        <w:tc>
          <w:tcPr>
            <w:tcW w:w="4819" w:type="dxa"/>
          </w:tcPr>
          <w:p w:rsidR="00492050" w:rsidRDefault="00492050" w:rsidP="00202152">
            <w:pPr>
              <w:spacing w:after="240"/>
              <w:rPr>
                <w:rFonts w:ascii="Tahoma" w:hAnsi="Tahoma" w:cs="Tahoma"/>
              </w:rPr>
            </w:pPr>
            <w:r>
              <w:rPr>
                <w:rFonts w:ascii="Tahoma" w:hAnsi="Tahoma" w:cs="Tahoma"/>
              </w:rPr>
              <w:t>There should be an administrative process enabling the Registrar to cancel a priority notice</w:t>
            </w:r>
            <w:r w:rsidR="004B1B15">
              <w:rPr>
                <w:rFonts w:ascii="Tahoma" w:hAnsi="Tahoma" w:cs="Tahoma"/>
              </w:rPr>
              <w:t>.</w:t>
            </w:r>
          </w:p>
        </w:tc>
        <w:tc>
          <w:tcPr>
            <w:tcW w:w="4819" w:type="dxa"/>
          </w:tcPr>
          <w:p w:rsidR="00492050" w:rsidRDefault="0096516B" w:rsidP="00202152">
            <w:pPr>
              <w:spacing w:after="240"/>
              <w:rPr>
                <w:rFonts w:ascii="Tahoma" w:hAnsi="Tahoma" w:cs="Tahoma"/>
              </w:rPr>
            </w:pPr>
            <w:r>
              <w:rPr>
                <w:rFonts w:ascii="Tahoma" w:hAnsi="Tahoma" w:cs="Tahoma"/>
              </w:rPr>
              <w:t xml:space="preserve">Because a priority notice has a lifespan of only 60 days, in nearly all cases a priority notice will have expired prior to any administrative process running its course.  </w:t>
            </w:r>
            <w:r w:rsidR="00492050">
              <w:rPr>
                <w:rFonts w:ascii="Tahoma" w:hAnsi="Tahoma" w:cs="Tahoma"/>
              </w:rPr>
              <w:t xml:space="preserve">It is likely that if removing </w:t>
            </w:r>
            <w:r w:rsidR="0025399E">
              <w:rPr>
                <w:rFonts w:ascii="Tahoma" w:hAnsi="Tahoma" w:cs="Tahoma"/>
              </w:rPr>
              <w:t>a</w:t>
            </w:r>
            <w:r w:rsidR="00492050">
              <w:rPr>
                <w:rFonts w:ascii="Tahoma" w:hAnsi="Tahoma" w:cs="Tahoma"/>
              </w:rPr>
              <w:t xml:space="preserve"> </w:t>
            </w:r>
            <w:r w:rsidR="0025399E">
              <w:rPr>
                <w:rFonts w:ascii="Tahoma" w:hAnsi="Tahoma" w:cs="Tahoma"/>
              </w:rPr>
              <w:t xml:space="preserve">priority </w:t>
            </w:r>
            <w:r w:rsidR="00492050">
              <w:rPr>
                <w:rFonts w:ascii="Tahoma" w:hAnsi="Tahoma" w:cs="Tahoma"/>
              </w:rPr>
              <w:t xml:space="preserve">notice before its scheduled expiry </w:t>
            </w:r>
            <w:r w:rsidR="0025399E">
              <w:rPr>
                <w:rFonts w:ascii="Tahoma" w:hAnsi="Tahoma" w:cs="Tahoma"/>
              </w:rPr>
              <w:t>i</w:t>
            </w:r>
            <w:r w:rsidR="00492050">
              <w:rPr>
                <w:rFonts w:ascii="Tahoma" w:hAnsi="Tahoma" w:cs="Tahoma"/>
              </w:rPr>
              <w:t xml:space="preserve">s vital, parties would seek a court order. </w:t>
            </w:r>
          </w:p>
          <w:p w:rsidR="00492050" w:rsidRDefault="003F697B" w:rsidP="00202152">
            <w:pPr>
              <w:spacing w:after="240"/>
              <w:rPr>
                <w:rFonts w:ascii="Tahoma" w:hAnsi="Tahoma" w:cs="Tahoma"/>
              </w:rPr>
            </w:pPr>
            <w:r>
              <w:rPr>
                <w:rFonts w:ascii="Tahoma" w:hAnsi="Tahoma" w:cs="Tahoma"/>
              </w:rPr>
              <w:t xml:space="preserve">Priority </w:t>
            </w:r>
            <w:r w:rsidR="00492050">
              <w:rPr>
                <w:rFonts w:ascii="Tahoma" w:hAnsi="Tahoma" w:cs="Tahoma"/>
              </w:rPr>
              <w:t>notices will only be lodged electronically through an electronic lodgement network</w:t>
            </w:r>
            <w:r w:rsidR="0096516B">
              <w:rPr>
                <w:rFonts w:ascii="Tahoma" w:hAnsi="Tahoma" w:cs="Tahoma"/>
              </w:rPr>
              <w:t xml:space="preserve">.  </w:t>
            </w:r>
            <w:r w:rsidR="00492050">
              <w:rPr>
                <w:rFonts w:ascii="Tahoma" w:hAnsi="Tahoma" w:cs="Tahoma"/>
              </w:rPr>
              <w:t>This means there will be a clear record of who lodged a priority notice</w:t>
            </w:r>
            <w:r w:rsidR="0096516B">
              <w:rPr>
                <w:rFonts w:ascii="Tahoma" w:hAnsi="Tahoma" w:cs="Tahoma"/>
              </w:rPr>
              <w:t xml:space="preserve">.  </w:t>
            </w:r>
            <w:r w:rsidR="00492050">
              <w:rPr>
                <w:rFonts w:ascii="Tahoma" w:hAnsi="Tahoma" w:cs="Tahoma"/>
              </w:rPr>
              <w:t>This combined with the ability to recover damages for vexatious use of priority notices should provide a strong disincentive to their misuse.</w:t>
            </w:r>
          </w:p>
        </w:tc>
      </w:tr>
      <w:tr w:rsidR="00492050" w:rsidTr="000807EF">
        <w:tc>
          <w:tcPr>
            <w:tcW w:w="4819" w:type="dxa"/>
          </w:tcPr>
          <w:p w:rsidR="00492050" w:rsidRDefault="00492050" w:rsidP="00202152">
            <w:pPr>
              <w:spacing w:after="240"/>
              <w:rPr>
                <w:rFonts w:ascii="Tahoma" w:hAnsi="Tahoma" w:cs="Tahoma"/>
              </w:rPr>
            </w:pPr>
            <w:r>
              <w:rPr>
                <w:rFonts w:ascii="Tahoma" w:hAnsi="Tahoma" w:cs="Tahoma"/>
              </w:rPr>
              <w:t>The Registrar should have the ability to correct minor mistakes (</w:t>
            </w:r>
            <w:proofErr w:type="spellStart"/>
            <w:r>
              <w:rPr>
                <w:rFonts w:ascii="Tahoma" w:hAnsi="Tahoma" w:cs="Tahoma"/>
              </w:rPr>
              <w:t>eg</w:t>
            </w:r>
            <w:proofErr w:type="spellEnd"/>
            <w:r>
              <w:rPr>
                <w:rFonts w:ascii="Tahoma" w:hAnsi="Tahoma" w:cs="Tahoma"/>
              </w:rPr>
              <w:t xml:space="preserve"> spelling) in a priority notice at the request of the party lodging a priority notice </w:t>
            </w:r>
            <w:r w:rsidR="004B1B15">
              <w:rPr>
                <w:rFonts w:ascii="Tahoma" w:hAnsi="Tahoma" w:cs="Tahoma"/>
              </w:rPr>
              <w:t>i</w:t>
            </w:r>
            <w:r>
              <w:rPr>
                <w:rFonts w:ascii="Tahoma" w:hAnsi="Tahoma" w:cs="Tahoma"/>
              </w:rPr>
              <w:t>n order to facilitate a dealing</w:t>
            </w:r>
            <w:r w:rsidR="004B1B15">
              <w:rPr>
                <w:rFonts w:ascii="Tahoma" w:hAnsi="Tahoma" w:cs="Tahoma"/>
              </w:rPr>
              <w:t>.</w:t>
            </w:r>
          </w:p>
        </w:tc>
        <w:tc>
          <w:tcPr>
            <w:tcW w:w="4819" w:type="dxa"/>
          </w:tcPr>
          <w:p w:rsidR="00492050" w:rsidRDefault="00492050" w:rsidP="00202152">
            <w:pPr>
              <w:spacing w:after="240"/>
              <w:rPr>
                <w:rFonts w:ascii="Tahoma" w:hAnsi="Tahoma" w:cs="Tahoma"/>
              </w:rPr>
            </w:pPr>
            <w:r>
              <w:rPr>
                <w:rFonts w:ascii="Tahoma" w:hAnsi="Tahoma" w:cs="Tahoma"/>
              </w:rPr>
              <w:t>As priority notices will be processed electronically, a correction facility is not viable</w:t>
            </w:r>
            <w:r w:rsidR="0096516B">
              <w:rPr>
                <w:rFonts w:ascii="Tahoma" w:hAnsi="Tahoma" w:cs="Tahoma"/>
              </w:rPr>
              <w:t xml:space="preserve">.  </w:t>
            </w:r>
            <w:r>
              <w:rPr>
                <w:rFonts w:ascii="Tahoma" w:hAnsi="Tahoma" w:cs="Tahoma"/>
              </w:rPr>
              <w:t xml:space="preserve">If a priority notice is lodged with incorrect information, it can be withdrawn and a </w:t>
            </w:r>
            <w:r w:rsidR="00323F30">
              <w:rPr>
                <w:rFonts w:ascii="Tahoma" w:hAnsi="Tahoma" w:cs="Tahoma"/>
              </w:rPr>
              <w:t xml:space="preserve">priority </w:t>
            </w:r>
            <w:r>
              <w:rPr>
                <w:rFonts w:ascii="Tahoma" w:hAnsi="Tahoma" w:cs="Tahoma"/>
              </w:rPr>
              <w:t>notice with the correct information lodged</w:t>
            </w:r>
            <w:r w:rsidR="0096516B">
              <w:rPr>
                <w:rFonts w:ascii="Tahoma" w:hAnsi="Tahoma" w:cs="Tahoma"/>
              </w:rPr>
              <w:t xml:space="preserve">.  </w:t>
            </w:r>
          </w:p>
        </w:tc>
      </w:tr>
      <w:tr w:rsidR="00492050" w:rsidTr="000807EF">
        <w:tc>
          <w:tcPr>
            <w:tcW w:w="4819" w:type="dxa"/>
          </w:tcPr>
          <w:p w:rsidR="00492050" w:rsidRDefault="00492050" w:rsidP="00202152">
            <w:pPr>
              <w:spacing w:after="240"/>
              <w:rPr>
                <w:rFonts w:ascii="Tahoma" w:hAnsi="Tahoma" w:cs="Tahoma"/>
              </w:rPr>
            </w:pPr>
            <w:r>
              <w:rPr>
                <w:rFonts w:ascii="Tahoma" w:hAnsi="Tahoma" w:cs="Tahoma"/>
              </w:rPr>
              <w:t>Use of the Queensland system for dealing with inconsistent dealings (in order to provide more clarity over how inconsistent dealings will be treated)</w:t>
            </w:r>
            <w:r w:rsidR="006450D8">
              <w:rPr>
                <w:rFonts w:ascii="Tahoma" w:hAnsi="Tahoma" w:cs="Tahoma"/>
              </w:rPr>
              <w:t xml:space="preserve"> should be adopted.</w:t>
            </w:r>
          </w:p>
        </w:tc>
        <w:tc>
          <w:tcPr>
            <w:tcW w:w="4819" w:type="dxa"/>
          </w:tcPr>
          <w:p w:rsidR="00492050" w:rsidRDefault="00492050" w:rsidP="00202152">
            <w:pPr>
              <w:spacing w:after="240"/>
              <w:rPr>
                <w:rFonts w:ascii="Tahoma" w:hAnsi="Tahoma" w:cs="Tahoma"/>
              </w:rPr>
            </w:pPr>
            <w:r>
              <w:rPr>
                <w:rFonts w:ascii="Tahoma" w:hAnsi="Tahoma" w:cs="Tahoma"/>
              </w:rPr>
              <w:t xml:space="preserve">Land Victoria considers the proposed Victorian procedures provide sufficient clarity. </w:t>
            </w:r>
            <w:r w:rsidR="006450D8">
              <w:rPr>
                <w:rFonts w:ascii="Tahoma" w:hAnsi="Tahoma" w:cs="Tahoma"/>
              </w:rPr>
              <w:t xml:space="preserve"> Following registration of any dealings protected by a priority notice, any unregistered dealings will be processed.</w:t>
            </w:r>
          </w:p>
        </w:tc>
      </w:tr>
      <w:tr w:rsidR="00492050" w:rsidTr="000807EF">
        <w:tc>
          <w:tcPr>
            <w:tcW w:w="4819" w:type="dxa"/>
          </w:tcPr>
          <w:p w:rsidR="00492050" w:rsidRDefault="00492050" w:rsidP="00202152">
            <w:pPr>
              <w:spacing w:after="240"/>
              <w:rPr>
                <w:rFonts w:ascii="Tahoma" w:hAnsi="Tahoma" w:cs="Tahoma"/>
              </w:rPr>
            </w:pPr>
            <w:r>
              <w:rPr>
                <w:rFonts w:ascii="Tahoma" w:hAnsi="Tahoma" w:cs="Tahoma"/>
              </w:rPr>
              <w:t>There should be an ability for an intending transferee who has lodged a priority notice to subsequently consent to dealings not specified in the priority notice prior to transfer when this suits all parties</w:t>
            </w:r>
            <w:r w:rsidR="006450D8">
              <w:rPr>
                <w:rFonts w:ascii="Tahoma" w:hAnsi="Tahoma" w:cs="Tahoma"/>
              </w:rPr>
              <w:t>.</w:t>
            </w:r>
          </w:p>
        </w:tc>
        <w:tc>
          <w:tcPr>
            <w:tcW w:w="4819" w:type="dxa"/>
          </w:tcPr>
          <w:p w:rsidR="00492050" w:rsidRDefault="00492050" w:rsidP="00202152">
            <w:pPr>
              <w:spacing w:after="240"/>
              <w:rPr>
                <w:rFonts w:ascii="Tahoma" w:hAnsi="Tahoma" w:cs="Tahoma"/>
              </w:rPr>
            </w:pPr>
            <w:r>
              <w:rPr>
                <w:rFonts w:ascii="Tahoma" w:hAnsi="Tahoma" w:cs="Tahoma"/>
              </w:rPr>
              <w:t xml:space="preserve">A party wishing to consent to subsequent dealings can withdraw the priority notice and then resubmit </w:t>
            </w:r>
            <w:r w:rsidR="006450D8">
              <w:rPr>
                <w:rFonts w:ascii="Tahoma" w:hAnsi="Tahoma" w:cs="Tahoma"/>
              </w:rPr>
              <w:t>a</w:t>
            </w:r>
            <w:r>
              <w:rPr>
                <w:rFonts w:ascii="Tahoma" w:hAnsi="Tahoma" w:cs="Tahoma"/>
              </w:rPr>
              <w:t xml:space="preserve"> priority notice after the dealing has been registered.  </w:t>
            </w:r>
          </w:p>
        </w:tc>
      </w:tr>
      <w:tr w:rsidR="00492050" w:rsidTr="000807EF">
        <w:tc>
          <w:tcPr>
            <w:tcW w:w="4819" w:type="dxa"/>
          </w:tcPr>
          <w:p w:rsidR="00492050" w:rsidRDefault="00554F9A" w:rsidP="00202152">
            <w:pPr>
              <w:spacing w:after="240"/>
              <w:rPr>
                <w:rFonts w:ascii="Tahoma" w:hAnsi="Tahoma" w:cs="Tahoma"/>
              </w:rPr>
            </w:pPr>
            <w:r>
              <w:rPr>
                <w:rFonts w:ascii="Tahoma" w:hAnsi="Tahoma" w:cs="Tahoma"/>
              </w:rPr>
              <w:t>P</w:t>
            </w:r>
            <w:r w:rsidR="00492050">
              <w:rPr>
                <w:rFonts w:ascii="Tahoma" w:hAnsi="Tahoma" w:cs="Tahoma"/>
              </w:rPr>
              <w:t xml:space="preserve">riority notices </w:t>
            </w:r>
            <w:r>
              <w:rPr>
                <w:rFonts w:ascii="Tahoma" w:hAnsi="Tahoma" w:cs="Tahoma"/>
              </w:rPr>
              <w:t xml:space="preserve">should </w:t>
            </w:r>
            <w:r w:rsidR="00492050">
              <w:rPr>
                <w:rFonts w:ascii="Tahoma" w:hAnsi="Tahoma" w:cs="Tahoma"/>
              </w:rPr>
              <w:t>be mandatory</w:t>
            </w:r>
            <w:r w:rsidR="0096516B">
              <w:rPr>
                <w:rFonts w:ascii="Tahoma" w:hAnsi="Tahoma" w:cs="Tahoma"/>
              </w:rPr>
              <w:t xml:space="preserve">.  </w:t>
            </w:r>
          </w:p>
        </w:tc>
        <w:tc>
          <w:tcPr>
            <w:tcW w:w="4819" w:type="dxa"/>
          </w:tcPr>
          <w:p w:rsidR="00492050" w:rsidRDefault="00492050" w:rsidP="00202152">
            <w:pPr>
              <w:spacing w:after="240"/>
              <w:rPr>
                <w:rFonts w:ascii="Tahoma" w:hAnsi="Tahoma" w:cs="Tahoma"/>
              </w:rPr>
            </w:pPr>
            <w:r>
              <w:rPr>
                <w:rFonts w:ascii="Tahoma" w:hAnsi="Tahoma" w:cs="Tahoma"/>
              </w:rPr>
              <w:t xml:space="preserve">It would not be possible to enforce a policy of mandatory priority notices. </w:t>
            </w:r>
          </w:p>
        </w:tc>
      </w:tr>
      <w:tr w:rsidR="00492050" w:rsidTr="000807EF">
        <w:tc>
          <w:tcPr>
            <w:tcW w:w="4819" w:type="dxa"/>
          </w:tcPr>
          <w:p w:rsidR="00492050" w:rsidRDefault="00492050" w:rsidP="00912314">
            <w:pPr>
              <w:keepNext/>
              <w:keepLines/>
              <w:spacing w:after="240"/>
              <w:rPr>
                <w:rFonts w:ascii="Tahoma" w:hAnsi="Tahoma" w:cs="Tahoma"/>
              </w:rPr>
            </w:pPr>
            <w:r>
              <w:rPr>
                <w:rFonts w:ascii="Tahoma" w:hAnsi="Tahoma" w:cs="Tahoma"/>
              </w:rPr>
              <w:lastRenderedPageBreak/>
              <w:t>It should be possible to lodge priority notices in paper</w:t>
            </w:r>
            <w:r w:rsidR="00E71AF6">
              <w:rPr>
                <w:rFonts w:ascii="Tahoma" w:hAnsi="Tahoma" w:cs="Tahoma"/>
              </w:rPr>
              <w:t>.</w:t>
            </w:r>
          </w:p>
        </w:tc>
        <w:tc>
          <w:tcPr>
            <w:tcW w:w="4819" w:type="dxa"/>
          </w:tcPr>
          <w:p w:rsidR="00FB63E8" w:rsidRDefault="00492050" w:rsidP="00912314">
            <w:pPr>
              <w:keepNext/>
              <w:keepLines/>
              <w:spacing w:after="240"/>
              <w:rPr>
                <w:rFonts w:ascii="Tahoma" w:hAnsi="Tahoma" w:cs="Tahoma"/>
              </w:rPr>
            </w:pPr>
            <w:r>
              <w:rPr>
                <w:rFonts w:ascii="Tahoma" w:hAnsi="Tahoma" w:cs="Tahoma"/>
              </w:rPr>
              <w:t>The costs involved in establishing new process</w:t>
            </w:r>
            <w:r w:rsidR="00E71AF6">
              <w:rPr>
                <w:rFonts w:ascii="Tahoma" w:hAnsi="Tahoma" w:cs="Tahoma"/>
              </w:rPr>
              <w:t>es</w:t>
            </w:r>
            <w:r>
              <w:rPr>
                <w:rFonts w:ascii="Tahoma" w:hAnsi="Tahoma" w:cs="Tahoma"/>
              </w:rPr>
              <w:t xml:space="preserve"> in both paper and electronic mediums cannot be justified given Victoria is moving towards electronic conveyancing. </w:t>
            </w:r>
          </w:p>
        </w:tc>
      </w:tr>
      <w:tr w:rsidR="00492050" w:rsidTr="000807EF">
        <w:tc>
          <w:tcPr>
            <w:tcW w:w="4819" w:type="dxa"/>
          </w:tcPr>
          <w:p w:rsidR="00492050" w:rsidRDefault="00492050" w:rsidP="00202152">
            <w:pPr>
              <w:spacing w:after="240"/>
              <w:rPr>
                <w:rFonts w:ascii="Tahoma" w:hAnsi="Tahoma" w:cs="Tahoma"/>
              </w:rPr>
            </w:pPr>
            <w:r>
              <w:rPr>
                <w:rFonts w:ascii="Tahoma" w:hAnsi="Tahoma" w:cs="Tahoma"/>
              </w:rPr>
              <w:t>VOI should not be required for lodging priority notices (ability to claim compensation for improper use of priority notices is adequate protection displacing need for VOI)</w:t>
            </w:r>
            <w:r w:rsidR="00490A7F">
              <w:rPr>
                <w:rFonts w:ascii="Tahoma" w:hAnsi="Tahoma" w:cs="Tahoma"/>
              </w:rPr>
              <w:t xml:space="preserve">.  </w:t>
            </w:r>
          </w:p>
        </w:tc>
        <w:tc>
          <w:tcPr>
            <w:tcW w:w="4819" w:type="dxa"/>
          </w:tcPr>
          <w:p w:rsidR="00492050" w:rsidRDefault="00492050" w:rsidP="00007DBE">
            <w:pPr>
              <w:spacing w:after="240"/>
              <w:rPr>
                <w:rFonts w:ascii="Tahoma" w:hAnsi="Tahoma" w:cs="Tahoma"/>
              </w:rPr>
            </w:pPr>
            <w:r>
              <w:rPr>
                <w:rFonts w:ascii="Tahoma" w:hAnsi="Tahoma" w:cs="Tahoma"/>
              </w:rPr>
              <w:t>Land Victoria believes verification of a client’s identity is essential before a conveyancer</w:t>
            </w:r>
            <w:r w:rsidR="00E71AF6">
              <w:rPr>
                <w:rFonts w:ascii="Tahoma" w:hAnsi="Tahoma" w:cs="Tahoma"/>
              </w:rPr>
              <w:t xml:space="preserve"> or </w:t>
            </w:r>
            <w:r w:rsidR="00C56B53">
              <w:rPr>
                <w:rFonts w:ascii="Tahoma" w:hAnsi="Tahoma" w:cs="Tahoma"/>
              </w:rPr>
              <w:t xml:space="preserve">a </w:t>
            </w:r>
            <w:r>
              <w:rPr>
                <w:rFonts w:ascii="Tahoma" w:hAnsi="Tahoma" w:cs="Tahoma"/>
              </w:rPr>
              <w:t xml:space="preserve">lawyer lodges any transaction on behalf of that client.  </w:t>
            </w:r>
          </w:p>
        </w:tc>
      </w:tr>
      <w:tr w:rsidR="00492050" w:rsidTr="000807EF">
        <w:tc>
          <w:tcPr>
            <w:tcW w:w="4819" w:type="dxa"/>
          </w:tcPr>
          <w:p w:rsidR="00492050" w:rsidRDefault="00E71AF6" w:rsidP="00912314">
            <w:pPr>
              <w:spacing w:after="240"/>
              <w:rPr>
                <w:rFonts w:ascii="Tahoma" w:hAnsi="Tahoma" w:cs="Tahoma"/>
              </w:rPr>
            </w:pPr>
            <w:r>
              <w:rPr>
                <w:rFonts w:ascii="Tahoma" w:hAnsi="Tahoma" w:cs="Tahoma"/>
              </w:rPr>
              <w:t>B</w:t>
            </w:r>
            <w:r w:rsidR="00492050">
              <w:rPr>
                <w:rFonts w:ascii="Tahoma" w:hAnsi="Tahoma" w:cs="Tahoma"/>
              </w:rPr>
              <w:t xml:space="preserve">ecause priority notices will have to be lodged electronically, legal practitioners that do not register for an </w:t>
            </w:r>
            <w:r>
              <w:rPr>
                <w:rFonts w:ascii="Tahoma" w:hAnsi="Tahoma" w:cs="Tahoma"/>
              </w:rPr>
              <w:t>e</w:t>
            </w:r>
            <w:r w:rsidR="00492050">
              <w:rPr>
                <w:rFonts w:ascii="Tahoma" w:hAnsi="Tahoma" w:cs="Tahoma"/>
              </w:rPr>
              <w:t xml:space="preserve">lectronic </w:t>
            </w:r>
            <w:r>
              <w:rPr>
                <w:rFonts w:ascii="Tahoma" w:hAnsi="Tahoma" w:cs="Tahoma"/>
              </w:rPr>
              <w:t>l</w:t>
            </w:r>
            <w:r w:rsidR="00492050">
              <w:rPr>
                <w:rFonts w:ascii="Tahoma" w:hAnsi="Tahoma" w:cs="Tahoma"/>
              </w:rPr>
              <w:t xml:space="preserve">odgement </w:t>
            </w:r>
            <w:r>
              <w:rPr>
                <w:rFonts w:ascii="Tahoma" w:hAnsi="Tahoma" w:cs="Tahoma"/>
              </w:rPr>
              <w:t>n</w:t>
            </w:r>
            <w:r w:rsidR="00492050">
              <w:rPr>
                <w:rFonts w:ascii="Tahoma" w:hAnsi="Tahoma" w:cs="Tahoma"/>
              </w:rPr>
              <w:t xml:space="preserve">etwork will not be able to lodge them. </w:t>
            </w:r>
          </w:p>
        </w:tc>
        <w:tc>
          <w:tcPr>
            <w:tcW w:w="4819" w:type="dxa"/>
          </w:tcPr>
          <w:p w:rsidR="00492050" w:rsidRDefault="00492050" w:rsidP="00912314">
            <w:pPr>
              <w:spacing w:after="240"/>
              <w:rPr>
                <w:rFonts w:ascii="Tahoma" w:hAnsi="Tahoma" w:cs="Tahoma"/>
              </w:rPr>
            </w:pPr>
            <w:r>
              <w:rPr>
                <w:rFonts w:ascii="Tahoma" w:hAnsi="Tahoma" w:cs="Tahoma"/>
              </w:rPr>
              <w:t xml:space="preserve">It is expected that given the benefits of electronic conveyancing, most if not all legal practitioners involved in conveyancing will register </w:t>
            </w:r>
            <w:r w:rsidR="00E71AF6">
              <w:rPr>
                <w:rFonts w:ascii="Tahoma" w:hAnsi="Tahoma" w:cs="Tahoma"/>
              </w:rPr>
              <w:t>to use</w:t>
            </w:r>
            <w:r>
              <w:rPr>
                <w:rFonts w:ascii="Tahoma" w:hAnsi="Tahoma" w:cs="Tahoma"/>
              </w:rPr>
              <w:t xml:space="preserve"> an </w:t>
            </w:r>
            <w:r w:rsidR="00E71AF6">
              <w:rPr>
                <w:rFonts w:ascii="Tahoma" w:hAnsi="Tahoma" w:cs="Tahoma"/>
              </w:rPr>
              <w:t>e</w:t>
            </w:r>
            <w:r>
              <w:rPr>
                <w:rFonts w:ascii="Tahoma" w:hAnsi="Tahoma" w:cs="Tahoma"/>
              </w:rPr>
              <w:t xml:space="preserve">lectronic </w:t>
            </w:r>
            <w:r w:rsidR="00E71AF6">
              <w:rPr>
                <w:rFonts w:ascii="Tahoma" w:hAnsi="Tahoma" w:cs="Tahoma"/>
              </w:rPr>
              <w:t>l</w:t>
            </w:r>
            <w:r>
              <w:rPr>
                <w:rFonts w:ascii="Tahoma" w:hAnsi="Tahoma" w:cs="Tahoma"/>
              </w:rPr>
              <w:t xml:space="preserve">odgement </w:t>
            </w:r>
            <w:r w:rsidR="00E71AF6">
              <w:rPr>
                <w:rFonts w:ascii="Tahoma" w:hAnsi="Tahoma" w:cs="Tahoma"/>
              </w:rPr>
              <w:t>n</w:t>
            </w:r>
            <w:r>
              <w:rPr>
                <w:rFonts w:ascii="Tahoma" w:hAnsi="Tahoma" w:cs="Tahoma"/>
              </w:rPr>
              <w:t>etwork</w:t>
            </w:r>
            <w:r w:rsidR="0096516B">
              <w:rPr>
                <w:rFonts w:ascii="Tahoma" w:hAnsi="Tahoma" w:cs="Tahoma"/>
              </w:rPr>
              <w:t xml:space="preserve">.  </w:t>
            </w:r>
          </w:p>
        </w:tc>
      </w:tr>
      <w:tr w:rsidR="00492050" w:rsidTr="000807EF">
        <w:tc>
          <w:tcPr>
            <w:tcW w:w="4819" w:type="dxa"/>
          </w:tcPr>
          <w:p w:rsidR="00492050" w:rsidRDefault="00492050" w:rsidP="00202152">
            <w:pPr>
              <w:spacing w:after="240"/>
              <w:rPr>
                <w:rFonts w:ascii="Tahoma" w:hAnsi="Tahoma" w:cs="Tahoma"/>
              </w:rPr>
            </w:pPr>
            <w:r>
              <w:rPr>
                <w:rFonts w:ascii="Tahoma" w:hAnsi="Tahoma" w:cs="Tahoma"/>
              </w:rPr>
              <w:t xml:space="preserve">Priority </w:t>
            </w:r>
            <w:r w:rsidR="00E71AF6">
              <w:rPr>
                <w:rFonts w:ascii="Tahoma" w:hAnsi="Tahoma" w:cs="Tahoma"/>
              </w:rPr>
              <w:t>n</w:t>
            </w:r>
            <w:r>
              <w:rPr>
                <w:rFonts w:ascii="Tahoma" w:hAnsi="Tahoma" w:cs="Tahoma"/>
              </w:rPr>
              <w:t>otice</w:t>
            </w:r>
            <w:r w:rsidR="00964069">
              <w:rPr>
                <w:rFonts w:ascii="Tahoma" w:hAnsi="Tahoma" w:cs="Tahoma"/>
              </w:rPr>
              <w:t>s</w:t>
            </w:r>
            <w:r>
              <w:rPr>
                <w:rFonts w:ascii="Tahoma" w:hAnsi="Tahoma" w:cs="Tahoma"/>
              </w:rPr>
              <w:t xml:space="preserve"> should block </w:t>
            </w:r>
            <w:r w:rsidR="00E71AF6">
              <w:rPr>
                <w:rFonts w:ascii="Tahoma" w:hAnsi="Tahoma" w:cs="Tahoma"/>
              </w:rPr>
              <w:t xml:space="preserve">the </w:t>
            </w:r>
            <w:r w:rsidR="0096516B">
              <w:rPr>
                <w:rFonts w:ascii="Tahoma" w:hAnsi="Tahoma" w:cs="Tahoma"/>
              </w:rPr>
              <w:t>recording of</w:t>
            </w:r>
            <w:r>
              <w:rPr>
                <w:rFonts w:ascii="Tahoma" w:hAnsi="Tahoma" w:cs="Tahoma"/>
              </w:rPr>
              <w:t xml:space="preserve"> caveats. </w:t>
            </w:r>
          </w:p>
          <w:p w:rsidR="00492050" w:rsidRDefault="00492050" w:rsidP="00202152">
            <w:pPr>
              <w:spacing w:after="240"/>
              <w:rPr>
                <w:rFonts w:ascii="Tahoma" w:hAnsi="Tahoma" w:cs="Tahoma"/>
              </w:rPr>
            </w:pPr>
          </w:p>
        </w:tc>
        <w:tc>
          <w:tcPr>
            <w:tcW w:w="4819" w:type="dxa"/>
          </w:tcPr>
          <w:p w:rsidR="00492050" w:rsidRDefault="00E71AF6" w:rsidP="00202152">
            <w:pPr>
              <w:spacing w:after="240"/>
              <w:rPr>
                <w:rFonts w:ascii="Tahoma" w:hAnsi="Tahoma" w:cs="Tahoma"/>
              </w:rPr>
            </w:pPr>
            <w:r>
              <w:rPr>
                <w:rFonts w:ascii="Tahoma" w:hAnsi="Tahoma" w:cs="Tahoma"/>
              </w:rPr>
              <w:t xml:space="preserve">Only one submission proposed this.  Land Victoria considers </w:t>
            </w:r>
            <w:r w:rsidR="00492050">
              <w:rPr>
                <w:rFonts w:ascii="Tahoma" w:hAnsi="Tahoma" w:cs="Tahoma"/>
              </w:rPr>
              <w:t xml:space="preserve">it would be inappropriate for a priority notice to block </w:t>
            </w:r>
            <w:r>
              <w:rPr>
                <w:rFonts w:ascii="Tahoma" w:hAnsi="Tahoma" w:cs="Tahoma"/>
              </w:rPr>
              <w:t xml:space="preserve">the </w:t>
            </w:r>
            <w:r w:rsidR="0096516B">
              <w:rPr>
                <w:rFonts w:ascii="Tahoma" w:hAnsi="Tahoma" w:cs="Tahoma"/>
              </w:rPr>
              <w:t>recording of</w:t>
            </w:r>
            <w:r w:rsidR="00492050">
              <w:rPr>
                <w:rFonts w:ascii="Tahoma" w:hAnsi="Tahoma" w:cs="Tahoma"/>
              </w:rPr>
              <w:t xml:space="preserve"> caveats</w:t>
            </w:r>
            <w:r>
              <w:rPr>
                <w:rFonts w:ascii="Tahoma" w:hAnsi="Tahoma" w:cs="Tahoma"/>
              </w:rPr>
              <w:t>, as they are</w:t>
            </w:r>
            <w:r w:rsidR="00C14567">
              <w:rPr>
                <w:rFonts w:ascii="Tahoma" w:hAnsi="Tahoma" w:cs="Tahoma"/>
              </w:rPr>
              <w:t xml:space="preserve"> a</w:t>
            </w:r>
            <w:r>
              <w:rPr>
                <w:rFonts w:ascii="Tahoma" w:hAnsi="Tahoma" w:cs="Tahoma"/>
              </w:rPr>
              <w:t xml:space="preserve"> necessary tool to protect a person’s unregistered proprietary interest</w:t>
            </w:r>
            <w:r w:rsidR="00492050">
              <w:rPr>
                <w:rFonts w:ascii="Tahoma" w:hAnsi="Tahoma" w:cs="Tahoma"/>
              </w:rPr>
              <w:t xml:space="preserve">. </w:t>
            </w:r>
          </w:p>
        </w:tc>
      </w:tr>
      <w:tr w:rsidR="00492050" w:rsidTr="000807EF">
        <w:tc>
          <w:tcPr>
            <w:tcW w:w="4819" w:type="dxa"/>
          </w:tcPr>
          <w:p w:rsidR="00492050" w:rsidRDefault="00E71AF6" w:rsidP="00202152">
            <w:pPr>
              <w:spacing w:after="240"/>
              <w:rPr>
                <w:rFonts w:ascii="Tahoma" w:hAnsi="Tahoma" w:cs="Tahoma"/>
              </w:rPr>
            </w:pPr>
            <w:r>
              <w:rPr>
                <w:rFonts w:ascii="Tahoma" w:hAnsi="Tahoma" w:cs="Tahoma"/>
              </w:rPr>
              <w:t>L</w:t>
            </w:r>
            <w:r w:rsidR="00492050">
              <w:rPr>
                <w:rFonts w:ascii="Tahoma" w:hAnsi="Tahoma" w:cs="Tahoma"/>
              </w:rPr>
              <w:t xml:space="preserve">odgement of a priority notice over a lot in </w:t>
            </w:r>
            <w:r w:rsidR="006E6BD6">
              <w:rPr>
                <w:rFonts w:ascii="Tahoma" w:hAnsi="Tahoma" w:cs="Tahoma"/>
              </w:rPr>
              <w:t>an</w:t>
            </w:r>
            <w:r w:rsidR="00492050">
              <w:rPr>
                <w:rFonts w:ascii="Tahoma" w:hAnsi="Tahoma" w:cs="Tahoma"/>
              </w:rPr>
              <w:t xml:space="preserve"> unregistered plan of subdivision </w:t>
            </w:r>
            <w:r>
              <w:rPr>
                <w:rFonts w:ascii="Tahoma" w:hAnsi="Tahoma" w:cs="Tahoma"/>
              </w:rPr>
              <w:t>should</w:t>
            </w:r>
            <w:r w:rsidR="00492050">
              <w:rPr>
                <w:rFonts w:ascii="Tahoma" w:hAnsi="Tahoma" w:cs="Tahoma"/>
              </w:rPr>
              <w:t xml:space="preserve"> not prevent registration of a mortgage over the parent title. </w:t>
            </w:r>
          </w:p>
        </w:tc>
        <w:tc>
          <w:tcPr>
            <w:tcW w:w="4819" w:type="dxa"/>
          </w:tcPr>
          <w:p w:rsidR="00492050" w:rsidRDefault="00E71AF6" w:rsidP="00202152">
            <w:pPr>
              <w:spacing w:after="240"/>
              <w:rPr>
                <w:rFonts w:ascii="Tahoma" w:hAnsi="Tahoma" w:cs="Tahoma"/>
              </w:rPr>
            </w:pPr>
            <w:r w:rsidRPr="00E71AF6">
              <w:rPr>
                <w:rFonts w:ascii="Tahoma" w:hAnsi="Tahoma" w:cs="Tahoma"/>
              </w:rPr>
              <w:t xml:space="preserve">Land Victoria anticipates this will be a rare situation. </w:t>
            </w:r>
            <w:r>
              <w:rPr>
                <w:rFonts w:ascii="Tahoma" w:hAnsi="Tahoma" w:cs="Tahoma"/>
              </w:rPr>
              <w:t xml:space="preserve"> </w:t>
            </w:r>
            <w:r w:rsidR="00492050">
              <w:rPr>
                <w:rFonts w:ascii="Tahoma" w:hAnsi="Tahoma" w:cs="Tahoma"/>
              </w:rPr>
              <w:t xml:space="preserve">A priority notice cannot be lodged against a child </w:t>
            </w:r>
            <w:r>
              <w:rPr>
                <w:rFonts w:ascii="Tahoma" w:hAnsi="Tahoma" w:cs="Tahoma"/>
              </w:rPr>
              <w:t>folio</w:t>
            </w:r>
            <w:r w:rsidR="00492050">
              <w:rPr>
                <w:rFonts w:ascii="Tahoma" w:hAnsi="Tahoma" w:cs="Tahoma"/>
              </w:rPr>
              <w:t xml:space="preserve"> until a plan has been lodged</w:t>
            </w:r>
            <w:r w:rsidR="0096516B">
              <w:rPr>
                <w:rFonts w:ascii="Tahoma" w:hAnsi="Tahoma" w:cs="Tahoma"/>
              </w:rPr>
              <w:t xml:space="preserve">.  </w:t>
            </w:r>
            <w:r w:rsidR="00492050">
              <w:rPr>
                <w:rFonts w:ascii="Tahoma" w:hAnsi="Tahoma" w:cs="Tahoma"/>
              </w:rPr>
              <w:t xml:space="preserve">A priority notice will block </w:t>
            </w:r>
            <w:r>
              <w:rPr>
                <w:rFonts w:ascii="Tahoma" w:hAnsi="Tahoma" w:cs="Tahoma"/>
              </w:rPr>
              <w:t xml:space="preserve">the registration of </w:t>
            </w:r>
            <w:r w:rsidR="00492050">
              <w:rPr>
                <w:rFonts w:ascii="Tahoma" w:hAnsi="Tahoma" w:cs="Tahoma"/>
              </w:rPr>
              <w:t xml:space="preserve">a </w:t>
            </w:r>
            <w:r>
              <w:rPr>
                <w:rFonts w:ascii="Tahoma" w:hAnsi="Tahoma" w:cs="Tahoma"/>
              </w:rPr>
              <w:t xml:space="preserve">follower </w:t>
            </w:r>
            <w:r w:rsidR="00492050">
              <w:rPr>
                <w:rFonts w:ascii="Tahoma" w:hAnsi="Tahoma" w:cs="Tahoma"/>
              </w:rPr>
              <w:t xml:space="preserve">mortgage. </w:t>
            </w:r>
            <w:r>
              <w:rPr>
                <w:rFonts w:ascii="Tahoma" w:hAnsi="Tahoma" w:cs="Tahoma"/>
              </w:rPr>
              <w:t xml:space="preserve"> However, t</w:t>
            </w:r>
            <w:r w:rsidR="00492050">
              <w:rPr>
                <w:rFonts w:ascii="Tahoma" w:hAnsi="Tahoma" w:cs="Tahoma"/>
              </w:rPr>
              <w:t>he party lodging the priority notice</w:t>
            </w:r>
            <w:r w:rsidR="00964069">
              <w:rPr>
                <w:rFonts w:ascii="Tahoma" w:hAnsi="Tahoma" w:cs="Tahoma"/>
              </w:rPr>
              <w:t xml:space="preserve"> </w:t>
            </w:r>
            <w:r>
              <w:rPr>
                <w:rFonts w:ascii="Tahoma" w:hAnsi="Tahoma" w:cs="Tahoma"/>
              </w:rPr>
              <w:t xml:space="preserve">will be able </w:t>
            </w:r>
            <w:r w:rsidR="00492050">
              <w:rPr>
                <w:rFonts w:ascii="Tahoma" w:hAnsi="Tahoma" w:cs="Tahoma"/>
              </w:rPr>
              <w:t xml:space="preserve">to withdraw the priority notice (and can re-lodge </w:t>
            </w:r>
            <w:r>
              <w:rPr>
                <w:rFonts w:ascii="Tahoma" w:hAnsi="Tahoma" w:cs="Tahoma"/>
              </w:rPr>
              <w:t>a further one</w:t>
            </w:r>
            <w:r w:rsidR="00492050">
              <w:rPr>
                <w:rFonts w:ascii="Tahoma" w:hAnsi="Tahoma" w:cs="Tahoma"/>
              </w:rPr>
              <w:t xml:space="preserve"> after the mortgage is lodged). </w:t>
            </w:r>
          </w:p>
        </w:tc>
      </w:tr>
      <w:tr w:rsidR="00492050" w:rsidTr="000807EF">
        <w:tc>
          <w:tcPr>
            <w:tcW w:w="4819" w:type="dxa"/>
          </w:tcPr>
          <w:p w:rsidR="00492050" w:rsidRDefault="00492050" w:rsidP="00202152">
            <w:pPr>
              <w:spacing w:after="240"/>
              <w:rPr>
                <w:rFonts w:ascii="Tahoma" w:hAnsi="Tahoma" w:cs="Tahoma"/>
              </w:rPr>
            </w:pPr>
            <w:r>
              <w:rPr>
                <w:rFonts w:ascii="Tahoma" w:hAnsi="Tahoma" w:cs="Tahoma"/>
              </w:rPr>
              <w:t>There should be an option of 60, 90 or 120 days for the length</w:t>
            </w:r>
            <w:r w:rsidR="00621C11">
              <w:rPr>
                <w:rFonts w:ascii="Tahoma" w:hAnsi="Tahoma" w:cs="Tahoma"/>
              </w:rPr>
              <w:t xml:space="preserve"> of a priority notice</w:t>
            </w:r>
            <w:r>
              <w:rPr>
                <w:rFonts w:ascii="Tahoma" w:hAnsi="Tahoma" w:cs="Tahoma"/>
              </w:rPr>
              <w:t xml:space="preserve">. </w:t>
            </w:r>
          </w:p>
        </w:tc>
        <w:tc>
          <w:tcPr>
            <w:tcW w:w="4819" w:type="dxa"/>
          </w:tcPr>
          <w:p w:rsidR="00492050" w:rsidRDefault="00492050" w:rsidP="00202152">
            <w:pPr>
              <w:spacing w:after="240"/>
              <w:rPr>
                <w:rFonts w:ascii="Tahoma" w:hAnsi="Tahoma" w:cs="Tahoma"/>
              </w:rPr>
            </w:pPr>
            <w:r>
              <w:rPr>
                <w:rFonts w:ascii="Tahoma" w:hAnsi="Tahoma" w:cs="Tahoma"/>
              </w:rPr>
              <w:t>It w</w:t>
            </w:r>
            <w:r w:rsidR="00621C11">
              <w:rPr>
                <w:rFonts w:ascii="Tahoma" w:hAnsi="Tahoma" w:cs="Tahoma"/>
              </w:rPr>
              <w:t>ill</w:t>
            </w:r>
            <w:r>
              <w:rPr>
                <w:rFonts w:ascii="Tahoma" w:hAnsi="Tahoma" w:cs="Tahoma"/>
              </w:rPr>
              <w:t xml:space="preserve"> be possible to lodge another priority notice if 60 days is not enough</w:t>
            </w:r>
            <w:r w:rsidR="0096516B">
              <w:rPr>
                <w:rFonts w:ascii="Tahoma" w:hAnsi="Tahoma" w:cs="Tahoma"/>
              </w:rPr>
              <w:t xml:space="preserve">.  </w:t>
            </w:r>
          </w:p>
        </w:tc>
      </w:tr>
    </w:tbl>
    <w:p w:rsidR="00F62A27" w:rsidRDefault="00F62A27" w:rsidP="00AC02DE">
      <w:pPr>
        <w:spacing w:after="120" w:line="240" w:lineRule="auto"/>
        <w:rPr>
          <w:rFonts w:ascii="Tahoma" w:hAnsi="Tahoma" w:cs="Tahoma"/>
        </w:rPr>
      </w:pPr>
    </w:p>
    <w:p w:rsidR="00FE0BF0" w:rsidRDefault="00FE0BF0" w:rsidP="003B22F1">
      <w:pPr>
        <w:keepNext/>
        <w:keepLines/>
        <w:spacing w:after="120" w:line="240" w:lineRule="auto"/>
        <w:rPr>
          <w:rFonts w:ascii="Tahoma" w:hAnsi="Tahoma" w:cs="Tahoma"/>
          <w:i/>
          <w:sz w:val="24"/>
          <w:szCs w:val="24"/>
          <w:u w:val="single"/>
        </w:rPr>
      </w:pPr>
      <w:bookmarkStart w:id="7" w:name="_Toc372902736"/>
      <w:r w:rsidRPr="00A40C4B">
        <w:rPr>
          <w:rFonts w:ascii="Tahoma" w:hAnsi="Tahoma" w:cs="Tahoma"/>
          <w:i/>
          <w:sz w:val="24"/>
          <w:szCs w:val="24"/>
          <w:u w:val="single"/>
        </w:rPr>
        <w:t>Non-represented parties</w:t>
      </w:r>
      <w:bookmarkEnd w:id="7"/>
    </w:p>
    <w:p w:rsidR="00C01A9C" w:rsidRPr="00B70976" w:rsidRDefault="00C01A9C" w:rsidP="00C01A9C">
      <w:pPr>
        <w:spacing w:after="0" w:line="240" w:lineRule="auto"/>
        <w:rPr>
          <w:rFonts w:ascii="Tahoma" w:hAnsi="Tahoma" w:cs="Tahoma"/>
          <w:color w:val="6D5125" w:themeColor="accent5" w:themeShade="80"/>
        </w:rPr>
      </w:pPr>
    </w:p>
    <w:p w:rsidR="009D781C" w:rsidRPr="003B22F1" w:rsidRDefault="009D781C" w:rsidP="000807EF">
      <w:pPr>
        <w:spacing w:after="240" w:line="240" w:lineRule="auto"/>
        <w:rPr>
          <w:rFonts w:ascii="Tahoma" w:hAnsi="Tahoma" w:cs="Tahoma"/>
          <w:color w:val="6D5125" w:themeColor="accent5" w:themeShade="80"/>
        </w:rPr>
      </w:pPr>
      <w:r w:rsidRPr="00B70976">
        <w:rPr>
          <w:rFonts w:ascii="Tahoma" w:hAnsi="Tahoma" w:cs="Tahoma"/>
          <w:color w:val="6D5125" w:themeColor="accent5" w:themeShade="80"/>
        </w:rPr>
        <w:t>Questions included in Consultation Paper</w:t>
      </w:r>
    </w:p>
    <w:p w:rsidR="00F6078D" w:rsidRPr="003B22F1" w:rsidRDefault="00F6078D" w:rsidP="000807EF">
      <w:pPr>
        <w:spacing w:after="240" w:line="240" w:lineRule="auto"/>
        <w:ind w:left="567" w:hanging="567"/>
        <w:rPr>
          <w:rFonts w:ascii="Tahoma" w:eastAsia="Times New Roman" w:hAnsi="Tahoma" w:cs="Tahoma"/>
          <w:color w:val="6D5125" w:themeColor="accent5" w:themeShade="80"/>
        </w:rPr>
      </w:pPr>
      <w:r w:rsidRPr="003B22F1">
        <w:rPr>
          <w:rFonts w:ascii="Tahoma" w:eastAsia="Times New Roman" w:hAnsi="Tahoma" w:cs="Tahoma"/>
          <w:color w:val="6D5125" w:themeColor="accent5" w:themeShade="80"/>
        </w:rPr>
        <w:t>8.1:</w:t>
      </w:r>
      <w:r w:rsidRPr="003B22F1">
        <w:rPr>
          <w:rFonts w:ascii="Tahoma" w:eastAsia="Times New Roman" w:hAnsi="Tahoma" w:cs="Tahoma"/>
          <w:color w:val="6D5125" w:themeColor="accent5" w:themeShade="80"/>
        </w:rPr>
        <w:tab/>
        <w:t>Are the proposed requirements for non-represented parties reasonable?  If not, why not?</w:t>
      </w:r>
    </w:p>
    <w:p w:rsidR="00F6078D" w:rsidRPr="003B22F1" w:rsidRDefault="00F6078D" w:rsidP="000807EF">
      <w:pPr>
        <w:spacing w:after="240" w:line="240" w:lineRule="auto"/>
        <w:ind w:left="567" w:hanging="567"/>
        <w:rPr>
          <w:rFonts w:ascii="Tahoma" w:eastAsia="Times New Roman" w:hAnsi="Tahoma" w:cs="Tahoma"/>
          <w:color w:val="6D5125" w:themeColor="accent5" w:themeShade="80"/>
        </w:rPr>
      </w:pPr>
      <w:r w:rsidRPr="003B22F1">
        <w:rPr>
          <w:rFonts w:ascii="Tahoma" w:eastAsia="Times New Roman" w:hAnsi="Tahoma" w:cs="Tahoma"/>
          <w:color w:val="6D5125" w:themeColor="accent5" w:themeShade="80"/>
        </w:rPr>
        <w:t>8.2:</w:t>
      </w:r>
      <w:r w:rsidRPr="003B22F1">
        <w:rPr>
          <w:rFonts w:ascii="Tahoma" w:eastAsia="Times New Roman" w:hAnsi="Tahoma" w:cs="Tahoma"/>
          <w:color w:val="6D5125" w:themeColor="accent5" w:themeShade="80"/>
        </w:rPr>
        <w:tab/>
        <w:t>Who should be authorised verifiers for the purpose of verifying the identity of non-represented parties?</w:t>
      </w:r>
    </w:p>
    <w:p w:rsidR="00F6078D" w:rsidRPr="003B22F1" w:rsidRDefault="00F6078D" w:rsidP="000807EF">
      <w:pPr>
        <w:spacing w:after="240" w:line="240" w:lineRule="auto"/>
        <w:ind w:left="567" w:hanging="567"/>
        <w:rPr>
          <w:rFonts w:ascii="Tahoma" w:eastAsia="Times New Roman" w:hAnsi="Tahoma" w:cs="Tahoma"/>
          <w:color w:val="6D5125" w:themeColor="accent5" w:themeShade="80"/>
        </w:rPr>
      </w:pPr>
      <w:r w:rsidRPr="003B22F1">
        <w:rPr>
          <w:rFonts w:ascii="Tahoma" w:eastAsia="Times New Roman" w:hAnsi="Tahoma" w:cs="Tahoma"/>
          <w:color w:val="6D5125" w:themeColor="accent5" w:themeShade="80"/>
        </w:rPr>
        <w:t>8.3:</w:t>
      </w:r>
      <w:r w:rsidRPr="003B22F1">
        <w:rPr>
          <w:rFonts w:ascii="Tahoma" w:eastAsia="Times New Roman" w:hAnsi="Tahoma" w:cs="Tahoma"/>
          <w:color w:val="6D5125" w:themeColor="accent5" w:themeShade="80"/>
        </w:rPr>
        <w:tab/>
        <w:t>Will the proposed requirements for non-represented parties assist conveyancers and lawyers in dealing with non-represented parties?  If not, why not?</w:t>
      </w:r>
    </w:p>
    <w:p w:rsidR="00F6078D" w:rsidRPr="003B22F1" w:rsidRDefault="00F6078D" w:rsidP="000807EF">
      <w:pPr>
        <w:spacing w:after="240" w:line="240" w:lineRule="auto"/>
        <w:ind w:left="567" w:hanging="567"/>
        <w:rPr>
          <w:rFonts w:ascii="Tahoma" w:eastAsia="Times New Roman" w:hAnsi="Tahoma" w:cs="Tahoma"/>
          <w:color w:val="6D5125" w:themeColor="accent5" w:themeShade="80"/>
        </w:rPr>
      </w:pPr>
      <w:r w:rsidRPr="003B22F1">
        <w:rPr>
          <w:rFonts w:ascii="Tahoma" w:eastAsia="Times New Roman" w:hAnsi="Tahoma" w:cs="Tahoma"/>
          <w:color w:val="6D5125" w:themeColor="accent5" w:themeShade="80"/>
        </w:rPr>
        <w:lastRenderedPageBreak/>
        <w:t>8.4:</w:t>
      </w:r>
      <w:r w:rsidRPr="003B22F1">
        <w:rPr>
          <w:rFonts w:ascii="Tahoma" w:eastAsia="Times New Roman" w:hAnsi="Tahoma" w:cs="Tahoma"/>
          <w:color w:val="6D5125" w:themeColor="accent5" w:themeShade="80"/>
        </w:rPr>
        <w:tab/>
        <w:t>Are there any other requirements that should be placed on non-represented parties?  If so, what?</w:t>
      </w:r>
    </w:p>
    <w:p w:rsidR="00492050" w:rsidRDefault="00492050" w:rsidP="003F697B">
      <w:pPr>
        <w:keepNext/>
        <w:keepLines/>
        <w:tabs>
          <w:tab w:val="left" w:pos="851"/>
        </w:tabs>
        <w:spacing w:before="240" w:after="240" w:line="240" w:lineRule="auto"/>
        <w:rPr>
          <w:rFonts w:ascii="Tahoma" w:hAnsi="Tahoma" w:cs="Tahoma"/>
          <w:i/>
        </w:rPr>
      </w:pPr>
      <w:r w:rsidRPr="00D66DA3">
        <w:rPr>
          <w:rFonts w:ascii="Tahoma" w:hAnsi="Tahoma" w:cs="Tahoma"/>
          <w:i/>
        </w:rPr>
        <w:t xml:space="preserve">Overview of stakeholder response to </w:t>
      </w:r>
      <w:r w:rsidR="00246F66">
        <w:rPr>
          <w:rFonts w:ascii="Tahoma" w:hAnsi="Tahoma" w:cs="Tahoma"/>
          <w:i/>
        </w:rPr>
        <w:t>proposals relating to non-represented parties</w:t>
      </w:r>
      <w:r>
        <w:rPr>
          <w:rFonts w:ascii="Tahoma" w:hAnsi="Tahoma" w:cs="Tahoma"/>
          <w:i/>
        </w:rPr>
        <w:t xml:space="preserve">  </w:t>
      </w:r>
    </w:p>
    <w:p w:rsidR="00492050" w:rsidRDefault="00FB63E8" w:rsidP="006D3025">
      <w:pPr>
        <w:numPr>
          <w:ilvl w:val="0"/>
          <w:numId w:val="3"/>
        </w:numPr>
        <w:tabs>
          <w:tab w:val="clear" w:pos="360"/>
        </w:tabs>
        <w:spacing w:after="240" w:line="240" w:lineRule="auto"/>
        <w:ind w:left="567" w:hanging="567"/>
        <w:rPr>
          <w:rFonts w:ascii="Tahoma" w:hAnsi="Tahoma" w:cs="Tahoma"/>
        </w:rPr>
      </w:pPr>
      <w:r>
        <w:rPr>
          <w:rFonts w:ascii="Tahoma" w:eastAsia="Calibri" w:hAnsi="Tahoma" w:cs="Tahoma"/>
        </w:rPr>
        <w:t>Five</w:t>
      </w:r>
      <w:r w:rsidR="00492050">
        <w:rPr>
          <w:rFonts w:ascii="Tahoma" w:eastAsia="Calibri" w:hAnsi="Tahoma" w:cs="Tahoma"/>
        </w:rPr>
        <w:t xml:space="preserve"> s</w:t>
      </w:r>
      <w:r w:rsidR="00492050" w:rsidRPr="00900F26">
        <w:rPr>
          <w:rFonts w:ascii="Tahoma" w:eastAsia="Calibri" w:hAnsi="Tahoma" w:cs="Tahoma"/>
        </w:rPr>
        <w:t xml:space="preserve">ubmissions </w:t>
      </w:r>
      <w:r w:rsidR="00492050" w:rsidRPr="00900F26">
        <w:rPr>
          <w:rFonts w:ascii="Tahoma" w:hAnsi="Tahoma" w:cs="Tahoma"/>
        </w:rPr>
        <w:t xml:space="preserve">supported the </w:t>
      </w:r>
      <w:r w:rsidR="00492050">
        <w:rPr>
          <w:rFonts w:ascii="Tahoma" w:hAnsi="Tahoma" w:cs="Tahoma"/>
        </w:rPr>
        <w:t xml:space="preserve">proposals in the </w:t>
      </w:r>
      <w:r w:rsidR="00B70976">
        <w:rPr>
          <w:rFonts w:ascii="Tahoma" w:hAnsi="Tahoma" w:cs="Tahoma"/>
        </w:rPr>
        <w:t>Consultation Paper</w:t>
      </w:r>
      <w:r w:rsidR="005169CF">
        <w:rPr>
          <w:rFonts w:ascii="Tahoma" w:hAnsi="Tahoma" w:cs="Tahoma"/>
        </w:rPr>
        <w:t>.  T</w:t>
      </w:r>
      <w:r>
        <w:rPr>
          <w:rFonts w:ascii="Tahoma" w:hAnsi="Tahoma" w:cs="Tahoma"/>
        </w:rPr>
        <w:t>hree</w:t>
      </w:r>
      <w:r w:rsidR="009E5DD8">
        <w:rPr>
          <w:rFonts w:ascii="Tahoma" w:hAnsi="Tahoma" w:cs="Tahoma"/>
        </w:rPr>
        <w:t xml:space="preserve"> of these</w:t>
      </w:r>
      <w:r>
        <w:rPr>
          <w:rFonts w:ascii="Tahoma" w:hAnsi="Tahoma" w:cs="Tahoma"/>
        </w:rPr>
        <w:t xml:space="preserve"> raised implementation issues</w:t>
      </w:r>
      <w:r w:rsidR="0096516B">
        <w:rPr>
          <w:rFonts w:ascii="Tahoma" w:hAnsi="Tahoma" w:cs="Tahoma"/>
        </w:rPr>
        <w:t xml:space="preserve">.  </w:t>
      </w:r>
      <w:r>
        <w:rPr>
          <w:rFonts w:ascii="Tahoma" w:hAnsi="Tahoma" w:cs="Tahoma"/>
        </w:rPr>
        <w:t>Seven</w:t>
      </w:r>
      <w:r w:rsidR="00492050">
        <w:rPr>
          <w:rFonts w:ascii="Tahoma" w:hAnsi="Tahoma" w:cs="Tahoma"/>
        </w:rPr>
        <w:t xml:space="preserve"> submissions made no comment on this aspect of the </w:t>
      </w:r>
      <w:r w:rsidR="00B70976">
        <w:rPr>
          <w:rFonts w:ascii="Tahoma" w:hAnsi="Tahoma" w:cs="Tahoma"/>
        </w:rPr>
        <w:t>Consultation Paper</w:t>
      </w:r>
      <w:r w:rsidR="00492050">
        <w:rPr>
          <w:rFonts w:ascii="Tahoma" w:hAnsi="Tahoma" w:cs="Tahoma"/>
        </w:rPr>
        <w:t xml:space="preserve">. </w:t>
      </w:r>
      <w:r w:rsidR="00492050" w:rsidRPr="00900F26">
        <w:rPr>
          <w:rFonts w:ascii="Tahoma" w:hAnsi="Tahoma" w:cs="Tahoma"/>
        </w:rPr>
        <w:t xml:space="preserve">  </w:t>
      </w:r>
    </w:p>
    <w:p w:rsidR="003B22F1" w:rsidRDefault="003B22F1" w:rsidP="003B22F1">
      <w:pPr>
        <w:tabs>
          <w:tab w:val="left" w:pos="851"/>
        </w:tabs>
        <w:spacing w:before="240" w:after="240" w:line="240" w:lineRule="auto"/>
        <w:rPr>
          <w:rFonts w:ascii="Tahoma" w:hAnsi="Tahoma" w:cs="Tahoma"/>
          <w:i/>
        </w:rPr>
      </w:pPr>
    </w:p>
    <w:p w:rsidR="00492050" w:rsidRPr="00570BBC" w:rsidRDefault="00492050" w:rsidP="003F697B">
      <w:pPr>
        <w:keepNext/>
        <w:keepLines/>
        <w:tabs>
          <w:tab w:val="left" w:pos="851"/>
        </w:tabs>
        <w:spacing w:before="240" w:after="240" w:line="240" w:lineRule="auto"/>
        <w:rPr>
          <w:rFonts w:ascii="Tahoma" w:hAnsi="Tahoma" w:cs="Tahoma"/>
          <w:i/>
        </w:rPr>
      </w:pPr>
      <w:r w:rsidRPr="00570BBC">
        <w:rPr>
          <w:rFonts w:ascii="Tahoma" w:hAnsi="Tahoma" w:cs="Tahoma"/>
          <w:i/>
        </w:rPr>
        <w:t>Overview of Land Victoria response to stakeholders</w:t>
      </w:r>
    </w:p>
    <w:p w:rsidR="007110C7" w:rsidRPr="00570BBC" w:rsidRDefault="00492050" w:rsidP="006D3025">
      <w:pPr>
        <w:numPr>
          <w:ilvl w:val="0"/>
          <w:numId w:val="3"/>
        </w:numPr>
        <w:tabs>
          <w:tab w:val="clear" w:pos="360"/>
        </w:tabs>
        <w:spacing w:after="240" w:line="240" w:lineRule="auto"/>
        <w:ind w:left="567" w:hanging="567"/>
        <w:rPr>
          <w:rFonts w:ascii="Tahoma" w:hAnsi="Tahoma" w:cs="Tahoma"/>
        </w:rPr>
      </w:pPr>
      <w:r w:rsidRPr="00570BBC">
        <w:rPr>
          <w:rFonts w:ascii="Tahoma" w:hAnsi="Tahoma" w:cs="Tahoma"/>
        </w:rPr>
        <w:t xml:space="preserve">Land Victoria </w:t>
      </w:r>
      <w:r w:rsidR="007110C7" w:rsidRPr="00570BBC">
        <w:rPr>
          <w:rFonts w:ascii="Tahoma" w:hAnsi="Tahoma" w:cs="Tahoma"/>
        </w:rPr>
        <w:t>intends to</w:t>
      </w:r>
      <w:r w:rsidR="007110C7">
        <w:rPr>
          <w:rFonts w:ascii="Tahoma" w:hAnsi="Tahoma" w:cs="Tahoma"/>
        </w:rPr>
        <w:t xml:space="preserve"> </w:t>
      </w:r>
      <w:r w:rsidR="007110C7" w:rsidRPr="00570BBC">
        <w:rPr>
          <w:rFonts w:ascii="Tahoma" w:hAnsi="Tahoma" w:cs="Tahoma"/>
        </w:rPr>
        <w:t xml:space="preserve">proceed with </w:t>
      </w:r>
      <w:r w:rsidR="007110C7">
        <w:rPr>
          <w:rFonts w:ascii="Tahoma" w:hAnsi="Tahoma" w:cs="Tahoma"/>
        </w:rPr>
        <w:t>the proposals relating to non-represented parties</w:t>
      </w:r>
      <w:r w:rsidR="0096516B">
        <w:rPr>
          <w:rFonts w:ascii="Tahoma" w:hAnsi="Tahoma" w:cs="Tahoma"/>
        </w:rPr>
        <w:t xml:space="preserve">.  </w:t>
      </w:r>
      <w:r w:rsidR="007110C7">
        <w:rPr>
          <w:rFonts w:ascii="Tahoma" w:hAnsi="Tahoma" w:cs="Tahoma"/>
        </w:rPr>
        <w:t xml:space="preserve">The implementation issues raised by stakeholders are addressed in the table below. </w:t>
      </w:r>
    </w:p>
    <w:p w:rsidR="003B22F1" w:rsidRDefault="003B22F1" w:rsidP="003B22F1">
      <w:pPr>
        <w:tabs>
          <w:tab w:val="left" w:pos="851"/>
        </w:tabs>
        <w:spacing w:before="240" w:after="240" w:line="240" w:lineRule="auto"/>
        <w:rPr>
          <w:rFonts w:ascii="Tahoma" w:hAnsi="Tahoma" w:cs="Tahoma"/>
          <w:i/>
        </w:rPr>
      </w:pPr>
    </w:p>
    <w:p w:rsidR="00516C78" w:rsidRPr="00516C78" w:rsidRDefault="00516C78" w:rsidP="003F697B">
      <w:pPr>
        <w:keepNext/>
        <w:keepLines/>
        <w:tabs>
          <w:tab w:val="left" w:pos="851"/>
        </w:tabs>
        <w:spacing w:before="240" w:after="240" w:line="240" w:lineRule="auto"/>
        <w:rPr>
          <w:rFonts w:ascii="Tahoma" w:hAnsi="Tahoma" w:cs="Tahoma"/>
          <w:i/>
        </w:rPr>
      </w:pPr>
      <w:r w:rsidRPr="00516C78">
        <w:rPr>
          <w:rFonts w:ascii="Tahoma" w:hAnsi="Tahoma" w:cs="Tahoma"/>
          <w:i/>
        </w:rPr>
        <w:t>Key issues raised by stakeholders and Land Victoria’s response to these issues</w:t>
      </w:r>
    </w:p>
    <w:tbl>
      <w:tblPr>
        <w:tblStyle w:val="TableGrid"/>
        <w:tblW w:w="9638" w:type="dxa"/>
        <w:tblLook w:val="04A0" w:firstRow="1" w:lastRow="0" w:firstColumn="1" w:lastColumn="0" w:noHBand="0" w:noVBand="1"/>
      </w:tblPr>
      <w:tblGrid>
        <w:gridCol w:w="4819"/>
        <w:gridCol w:w="4819"/>
      </w:tblGrid>
      <w:tr w:rsidR="009E6B04" w:rsidRPr="00DF4230" w:rsidTr="000807EF">
        <w:trPr>
          <w:tblHeader/>
        </w:trPr>
        <w:tc>
          <w:tcPr>
            <w:tcW w:w="4819" w:type="dxa"/>
            <w:shd w:val="clear" w:color="auto" w:fill="D9D9D9" w:themeFill="background1" w:themeFillShade="D9"/>
            <w:vAlign w:val="center"/>
          </w:tcPr>
          <w:p w:rsidR="009E6B04" w:rsidRPr="00DF4230" w:rsidRDefault="009E6B04" w:rsidP="00202152">
            <w:pPr>
              <w:spacing w:before="60" w:after="60"/>
              <w:rPr>
                <w:rFonts w:ascii="Tahoma" w:hAnsi="Tahoma" w:cs="Tahoma"/>
                <w:b/>
              </w:rPr>
            </w:pPr>
            <w:r w:rsidRPr="00DF4230">
              <w:rPr>
                <w:rFonts w:ascii="Tahoma" w:hAnsi="Tahoma" w:cs="Tahoma"/>
                <w:b/>
              </w:rPr>
              <w:t>Issue</w:t>
            </w:r>
          </w:p>
        </w:tc>
        <w:tc>
          <w:tcPr>
            <w:tcW w:w="4819" w:type="dxa"/>
            <w:shd w:val="clear" w:color="auto" w:fill="D9D9D9" w:themeFill="background1" w:themeFillShade="D9"/>
            <w:vAlign w:val="center"/>
          </w:tcPr>
          <w:p w:rsidR="009E6B04" w:rsidRPr="00DF4230" w:rsidRDefault="009E6B04" w:rsidP="00202152">
            <w:pPr>
              <w:spacing w:before="60" w:after="60"/>
              <w:rPr>
                <w:rFonts w:ascii="Tahoma" w:hAnsi="Tahoma" w:cs="Tahoma"/>
                <w:b/>
              </w:rPr>
            </w:pPr>
            <w:r w:rsidRPr="00DF4230">
              <w:rPr>
                <w:rFonts w:ascii="Tahoma" w:hAnsi="Tahoma" w:cs="Tahoma"/>
                <w:b/>
              </w:rPr>
              <w:t>Land Victoria response</w:t>
            </w:r>
          </w:p>
        </w:tc>
      </w:tr>
      <w:tr w:rsidR="009E6B04" w:rsidTr="000807EF">
        <w:tc>
          <w:tcPr>
            <w:tcW w:w="4819" w:type="dxa"/>
          </w:tcPr>
          <w:p w:rsidR="009E6B04" w:rsidRDefault="005169CF" w:rsidP="00202152">
            <w:pPr>
              <w:spacing w:after="240"/>
              <w:rPr>
                <w:rFonts w:ascii="Tahoma" w:hAnsi="Tahoma" w:cs="Tahoma"/>
              </w:rPr>
            </w:pPr>
            <w:r>
              <w:rPr>
                <w:rFonts w:ascii="Tahoma" w:hAnsi="Tahoma" w:cs="Tahoma"/>
              </w:rPr>
              <w:t>An a</w:t>
            </w:r>
            <w:r w:rsidR="009E6B04">
              <w:rPr>
                <w:rFonts w:ascii="Tahoma" w:hAnsi="Tahoma" w:cs="Tahoma"/>
              </w:rPr>
              <w:t>uthorised verifier should only be responsible for verifying the non-represented person’s identity and execution of the document and s</w:t>
            </w:r>
            <w:r>
              <w:rPr>
                <w:rFonts w:ascii="Tahoma" w:hAnsi="Tahoma" w:cs="Tahoma"/>
              </w:rPr>
              <w:t>hould</w:t>
            </w:r>
            <w:r w:rsidR="009E6B04">
              <w:rPr>
                <w:rFonts w:ascii="Tahoma" w:hAnsi="Tahoma" w:cs="Tahoma"/>
              </w:rPr>
              <w:t xml:space="preserve"> not </w:t>
            </w:r>
            <w:r>
              <w:rPr>
                <w:rFonts w:ascii="Tahoma" w:hAnsi="Tahoma" w:cs="Tahoma"/>
              </w:rPr>
              <w:t xml:space="preserve">be </w:t>
            </w:r>
            <w:r w:rsidR="009E6B04">
              <w:rPr>
                <w:rFonts w:ascii="Tahoma" w:hAnsi="Tahoma" w:cs="Tahoma"/>
              </w:rPr>
              <w:t xml:space="preserve">responsible for checking the contents of any documents. </w:t>
            </w:r>
          </w:p>
        </w:tc>
        <w:tc>
          <w:tcPr>
            <w:tcW w:w="4819" w:type="dxa"/>
          </w:tcPr>
          <w:p w:rsidR="009E6B04" w:rsidRDefault="005169CF" w:rsidP="00202152">
            <w:pPr>
              <w:spacing w:after="240"/>
              <w:rPr>
                <w:rFonts w:ascii="Tahoma" w:hAnsi="Tahoma" w:cs="Tahoma"/>
              </w:rPr>
            </w:pPr>
            <w:r>
              <w:rPr>
                <w:rFonts w:ascii="Tahoma" w:hAnsi="Tahoma" w:cs="Tahoma"/>
              </w:rPr>
              <w:t>An</w:t>
            </w:r>
            <w:r w:rsidR="009E6B04">
              <w:rPr>
                <w:rFonts w:ascii="Tahoma" w:hAnsi="Tahoma" w:cs="Tahoma"/>
              </w:rPr>
              <w:t xml:space="preserve"> authorised verifier </w:t>
            </w:r>
            <w:r>
              <w:rPr>
                <w:rFonts w:ascii="Tahoma" w:hAnsi="Tahoma" w:cs="Tahoma"/>
              </w:rPr>
              <w:t xml:space="preserve">will not be </w:t>
            </w:r>
            <w:r w:rsidR="00964069">
              <w:rPr>
                <w:rFonts w:ascii="Tahoma" w:hAnsi="Tahoma" w:cs="Tahoma"/>
              </w:rPr>
              <w:t>responsible</w:t>
            </w:r>
            <w:r>
              <w:rPr>
                <w:rFonts w:ascii="Tahoma" w:hAnsi="Tahoma" w:cs="Tahoma"/>
              </w:rPr>
              <w:t xml:space="preserve"> for checking the contents of any documents it witnesse</w:t>
            </w:r>
            <w:r w:rsidR="00964069">
              <w:rPr>
                <w:rFonts w:ascii="Tahoma" w:hAnsi="Tahoma" w:cs="Tahoma"/>
              </w:rPr>
              <w:t>s</w:t>
            </w:r>
            <w:r>
              <w:rPr>
                <w:rFonts w:ascii="Tahoma" w:hAnsi="Tahoma" w:cs="Tahoma"/>
              </w:rPr>
              <w:t xml:space="preserve"> the execution of</w:t>
            </w:r>
            <w:r w:rsidR="0096516B">
              <w:rPr>
                <w:rFonts w:ascii="Tahoma" w:hAnsi="Tahoma" w:cs="Tahoma"/>
              </w:rPr>
              <w:t xml:space="preserve">.  </w:t>
            </w:r>
          </w:p>
        </w:tc>
      </w:tr>
      <w:tr w:rsidR="009E6B04" w:rsidTr="000807EF">
        <w:tc>
          <w:tcPr>
            <w:tcW w:w="4819" w:type="dxa"/>
          </w:tcPr>
          <w:p w:rsidR="009E6B04" w:rsidRDefault="009E6B04" w:rsidP="00202152">
            <w:pPr>
              <w:spacing w:after="240"/>
              <w:rPr>
                <w:rFonts w:ascii="Tahoma" w:hAnsi="Tahoma" w:cs="Tahoma"/>
              </w:rPr>
            </w:pPr>
            <w:r>
              <w:rPr>
                <w:rFonts w:ascii="Tahoma" w:hAnsi="Tahoma" w:cs="Tahoma"/>
              </w:rPr>
              <w:t xml:space="preserve">Australia Post </w:t>
            </w:r>
            <w:r w:rsidR="005169CF">
              <w:rPr>
                <w:rFonts w:ascii="Tahoma" w:hAnsi="Tahoma" w:cs="Tahoma"/>
              </w:rPr>
              <w:t xml:space="preserve">should </w:t>
            </w:r>
            <w:r>
              <w:rPr>
                <w:rFonts w:ascii="Tahoma" w:hAnsi="Tahoma" w:cs="Tahoma"/>
              </w:rPr>
              <w:t>be added to the list of verifiers.</w:t>
            </w:r>
          </w:p>
        </w:tc>
        <w:tc>
          <w:tcPr>
            <w:tcW w:w="4819" w:type="dxa"/>
          </w:tcPr>
          <w:p w:rsidR="009E6B04" w:rsidRDefault="009E6B04" w:rsidP="00202152">
            <w:pPr>
              <w:spacing w:after="240"/>
              <w:rPr>
                <w:rFonts w:ascii="Tahoma" w:hAnsi="Tahoma" w:cs="Tahoma"/>
              </w:rPr>
            </w:pPr>
            <w:r>
              <w:rPr>
                <w:rFonts w:ascii="Tahoma" w:hAnsi="Tahoma" w:cs="Tahoma"/>
              </w:rPr>
              <w:t>Land Victoria will consider this when developing the list of authorised verifiers</w:t>
            </w:r>
            <w:r w:rsidR="0096516B">
              <w:rPr>
                <w:rFonts w:ascii="Tahoma" w:hAnsi="Tahoma" w:cs="Tahoma"/>
              </w:rPr>
              <w:t xml:space="preserve">.  </w:t>
            </w:r>
          </w:p>
        </w:tc>
      </w:tr>
      <w:tr w:rsidR="009E6B04" w:rsidTr="000807EF">
        <w:tc>
          <w:tcPr>
            <w:tcW w:w="4819" w:type="dxa"/>
          </w:tcPr>
          <w:p w:rsidR="009E6B04" w:rsidRDefault="005169CF" w:rsidP="00202152">
            <w:pPr>
              <w:spacing w:after="240"/>
              <w:rPr>
                <w:rFonts w:ascii="Tahoma" w:hAnsi="Tahoma" w:cs="Tahoma"/>
              </w:rPr>
            </w:pPr>
            <w:r>
              <w:rPr>
                <w:rFonts w:ascii="Tahoma" w:hAnsi="Tahoma" w:cs="Tahoma"/>
              </w:rPr>
              <w:t>What is the</w:t>
            </w:r>
            <w:r w:rsidR="009E6B04">
              <w:rPr>
                <w:rFonts w:ascii="Tahoma" w:hAnsi="Tahoma" w:cs="Tahoma"/>
              </w:rPr>
              <w:t xml:space="preserve"> impact on the certification of documents</w:t>
            </w:r>
            <w:r>
              <w:rPr>
                <w:rFonts w:ascii="Tahoma" w:hAnsi="Tahoma" w:cs="Tahoma"/>
              </w:rPr>
              <w:t>?</w:t>
            </w:r>
            <w:r w:rsidR="009E6B04">
              <w:rPr>
                <w:rFonts w:ascii="Tahoma" w:hAnsi="Tahoma" w:cs="Tahoma"/>
              </w:rPr>
              <w:t xml:space="preserve"> </w:t>
            </w:r>
          </w:p>
        </w:tc>
        <w:tc>
          <w:tcPr>
            <w:tcW w:w="4819" w:type="dxa"/>
          </w:tcPr>
          <w:p w:rsidR="009E6B04" w:rsidRDefault="009E6B04" w:rsidP="00202152">
            <w:pPr>
              <w:spacing w:after="240"/>
              <w:rPr>
                <w:rFonts w:ascii="Tahoma" w:hAnsi="Tahoma" w:cs="Tahoma"/>
              </w:rPr>
            </w:pPr>
            <w:r>
              <w:rPr>
                <w:rFonts w:ascii="Tahoma" w:hAnsi="Tahoma" w:cs="Tahoma"/>
              </w:rPr>
              <w:t>Non represented parties will not provid</w:t>
            </w:r>
            <w:r w:rsidR="005169CF">
              <w:rPr>
                <w:rFonts w:ascii="Tahoma" w:hAnsi="Tahoma" w:cs="Tahoma"/>
              </w:rPr>
              <w:t>e</w:t>
            </w:r>
            <w:r>
              <w:rPr>
                <w:rFonts w:ascii="Tahoma" w:hAnsi="Tahoma" w:cs="Tahoma"/>
              </w:rPr>
              <w:t xml:space="preserve"> certifications</w:t>
            </w:r>
            <w:r w:rsidR="0096516B">
              <w:rPr>
                <w:rFonts w:ascii="Tahoma" w:hAnsi="Tahoma" w:cs="Tahoma"/>
              </w:rPr>
              <w:t xml:space="preserve">.  </w:t>
            </w:r>
          </w:p>
        </w:tc>
      </w:tr>
      <w:tr w:rsidR="009E6B04" w:rsidTr="000807EF">
        <w:tc>
          <w:tcPr>
            <w:tcW w:w="4819" w:type="dxa"/>
          </w:tcPr>
          <w:p w:rsidR="009E6B04" w:rsidRDefault="009E6B04" w:rsidP="00202152">
            <w:pPr>
              <w:spacing w:after="240"/>
              <w:rPr>
                <w:rFonts w:ascii="Tahoma" w:hAnsi="Tahoma" w:cs="Tahoma"/>
              </w:rPr>
            </w:pPr>
            <w:r>
              <w:rPr>
                <w:rFonts w:ascii="Tahoma" w:hAnsi="Tahoma" w:cs="Tahoma"/>
              </w:rPr>
              <w:t xml:space="preserve">All Commonwealth regulated financial institutions should be able to verify non-represented parties not just ADIs. </w:t>
            </w:r>
          </w:p>
        </w:tc>
        <w:tc>
          <w:tcPr>
            <w:tcW w:w="4819" w:type="dxa"/>
          </w:tcPr>
          <w:p w:rsidR="009E6B04" w:rsidRDefault="009E6B04" w:rsidP="00202152">
            <w:pPr>
              <w:spacing w:after="240"/>
              <w:rPr>
                <w:rFonts w:ascii="Tahoma" w:hAnsi="Tahoma" w:cs="Tahoma"/>
              </w:rPr>
            </w:pPr>
            <w:r>
              <w:rPr>
                <w:rFonts w:ascii="Tahoma" w:hAnsi="Tahoma" w:cs="Tahoma"/>
              </w:rPr>
              <w:t xml:space="preserve">Non-ADI institutions can become subscribers to an </w:t>
            </w:r>
            <w:r w:rsidR="005169CF">
              <w:rPr>
                <w:rFonts w:ascii="Tahoma" w:hAnsi="Tahoma" w:cs="Tahoma"/>
              </w:rPr>
              <w:t>e</w:t>
            </w:r>
            <w:r>
              <w:rPr>
                <w:rFonts w:ascii="Tahoma" w:hAnsi="Tahoma" w:cs="Tahoma"/>
              </w:rPr>
              <w:t xml:space="preserve">lectronic </w:t>
            </w:r>
            <w:r w:rsidR="005169CF">
              <w:rPr>
                <w:rFonts w:ascii="Tahoma" w:hAnsi="Tahoma" w:cs="Tahoma"/>
              </w:rPr>
              <w:t>l</w:t>
            </w:r>
            <w:r>
              <w:rPr>
                <w:rFonts w:ascii="Tahoma" w:hAnsi="Tahoma" w:cs="Tahoma"/>
              </w:rPr>
              <w:t xml:space="preserve">odgement </w:t>
            </w:r>
            <w:r w:rsidR="005169CF">
              <w:rPr>
                <w:rFonts w:ascii="Tahoma" w:hAnsi="Tahoma" w:cs="Tahoma"/>
              </w:rPr>
              <w:t>n</w:t>
            </w:r>
            <w:r>
              <w:rPr>
                <w:rFonts w:ascii="Tahoma" w:hAnsi="Tahoma" w:cs="Tahoma"/>
              </w:rPr>
              <w:t xml:space="preserve">etwork and will thereby have the same ability to </w:t>
            </w:r>
            <w:r w:rsidR="005169CF">
              <w:rPr>
                <w:rFonts w:ascii="Tahoma" w:hAnsi="Tahoma" w:cs="Tahoma"/>
              </w:rPr>
              <w:t>conduct VOI</w:t>
            </w:r>
            <w:r>
              <w:rPr>
                <w:rFonts w:ascii="Tahoma" w:hAnsi="Tahoma" w:cs="Tahoma"/>
              </w:rPr>
              <w:t xml:space="preserve"> as an ADI.</w:t>
            </w:r>
          </w:p>
        </w:tc>
      </w:tr>
    </w:tbl>
    <w:p w:rsidR="00F62A27" w:rsidRDefault="00F62A27" w:rsidP="00F62A27">
      <w:pPr>
        <w:keepNext/>
        <w:keepLines/>
        <w:spacing w:after="120" w:line="240" w:lineRule="auto"/>
        <w:rPr>
          <w:rFonts w:ascii="Tahoma" w:hAnsi="Tahoma" w:cs="Tahoma"/>
        </w:rPr>
      </w:pPr>
    </w:p>
    <w:p w:rsidR="00FE0BF0" w:rsidRDefault="00FE0BF0" w:rsidP="003B22F1">
      <w:pPr>
        <w:keepNext/>
        <w:keepLines/>
        <w:spacing w:before="240" w:after="240" w:line="240" w:lineRule="auto"/>
        <w:rPr>
          <w:rFonts w:ascii="Tahoma" w:hAnsi="Tahoma" w:cs="Tahoma"/>
          <w:i/>
          <w:sz w:val="24"/>
          <w:szCs w:val="24"/>
          <w:u w:val="single"/>
        </w:rPr>
      </w:pPr>
      <w:bookmarkStart w:id="8" w:name="_Toc372902737"/>
      <w:r w:rsidRPr="00A40C4B">
        <w:rPr>
          <w:rFonts w:ascii="Tahoma" w:hAnsi="Tahoma" w:cs="Tahoma"/>
          <w:i/>
          <w:sz w:val="24"/>
          <w:szCs w:val="24"/>
          <w:u w:val="single"/>
        </w:rPr>
        <w:t>Consents by mortgagees to conveyancing transactions</w:t>
      </w:r>
      <w:bookmarkEnd w:id="8"/>
    </w:p>
    <w:p w:rsidR="00C01A9C" w:rsidRDefault="00C01A9C" w:rsidP="00C01A9C">
      <w:pPr>
        <w:spacing w:after="0" w:line="240" w:lineRule="auto"/>
        <w:rPr>
          <w:rFonts w:ascii="Tahoma" w:hAnsi="Tahoma" w:cs="Tahoma"/>
          <w:color w:val="6D5125" w:themeColor="accent5" w:themeShade="80"/>
        </w:rPr>
      </w:pPr>
    </w:p>
    <w:p w:rsidR="009D781C" w:rsidRPr="00B70976" w:rsidRDefault="009D781C" w:rsidP="000807EF">
      <w:pPr>
        <w:spacing w:after="240" w:line="240" w:lineRule="auto"/>
        <w:rPr>
          <w:rFonts w:ascii="Tahoma" w:hAnsi="Tahoma" w:cs="Tahoma"/>
          <w:color w:val="6D5125" w:themeColor="accent5" w:themeShade="80"/>
        </w:rPr>
      </w:pPr>
      <w:r w:rsidRPr="00B70976">
        <w:rPr>
          <w:rFonts w:ascii="Tahoma" w:hAnsi="Tahoma" w:cs="Tahoma"/>
          <w:color w:val="6D5125" w:themeColor="accent5" w:themeShade="80"/>
        </w:rPr>
        <w:t>Questions included in Consultation Paper</w:t>
      </w:r>
    </w:p>
    <w:p w:rsidR="00B5383A" w:rsidRPr="003B22F1" w:rsidRDefault="00B5383A" w:rsidP="000807EF">
      <w:pPr>
        <w:spacing w:after="240" w:line="240" w:lineRule="auto"/>
        <w:ind w:left="567" w:hanging="567"/>
        <w:rPr>
          <w:rFonts w:ascii="Tahoma" w:eastAsia="Times New Roman" w:hAnsi="Tahoma" w:cs="Tahoma"/>
          <w:color w:val="6D5125" w:themeColor="accent5" w:themeShade="80"/>
        </w:rPr>
      </w:pPr>
      <w:r w:rsidRPr="003B22F1">
        <w:rPr>
          <w:rFonts w:ascii="Tahoma" w:eastAsia="Times New Roman" w:hAnsi="Tahoma" w:cs="Tahoma"/>
          <w:color w:val="6D5125" w:themeColor="accent5" w:themeShade="80"/>
        </w:rPr>
        <w:t>9.1:</w:t>
      </w:r>
      <w:r w:rsidRPr="003B22F1">
        <w:rPr>
          <w:rFonts w:ascii="Tahoma" w:eastAsia="Times New Roman" w:hAnsi="Tahoma" w:cs="Tahoma"/>
          <w:color w:val="6D5125" w:themeColor="accent5" w:themeShade="80"/>
        </w:rPr>
        <w:tab/>
        <w:t>Do you believe that the proposed changes simplify existing processes relating to consents?  If not, why not?</w:t>
      </w:r>
    </w:p>
    <w:p w:rsidR="00B5383A" w:rsidRPr="003B22F1" w:rsidRDefault="00B5383A" w:rsidP="000807EF">
      <w:pPr>
        <w:spacing w:after="240" w:line="240" w:lineRule="auto"/>
        <w:ind w:left="567" w:hanging="567"/>
        <w:rPr>
          <w:rFonts w:ascii="Tahoma" w:eastAsia="Times New Roman" w:hAnsi="Tahoma" w:cs="Tahoma"/>
          <w:color w:val="6D5125" w:themeColor="accent5" w:themeShade="80"/>
        </w:rPr>
      </w:pPr>
      <w:r w:rsidRPr="003B22F1">
        <w:rPr>
          <w:rFonts w:ascii="Tahoma" w:eastAsia="Times New Roman" w:hAnsi="Tahoma" w:cs="Tahoma"/>
          <w:color w:val="6D5125" w:themeColor="accent5" w:themeShade="80"/>
        </w:rPr>
        <w:t>9.2:</w:t>
      </w:r>
      <w:r w:rsidRPr="003B22F1">
        <w:rPr>
          <w:rFonts w:ascii="Tahoma" w:eastAsia="Times New Roman" w:hAnsi="Tahoma" w:cs="Tahoma"/>
          <w:color w:val="6D5125" w:themeColor="accent5" w:themeShade="80"/>
        </w:rPr>
        <w:tab/>
        <w:t>Do mortgagees and annuitants continue to be adequately protected?</w:t>
      </w:r>
    </w:p>
    <w:p w:rsidR="00B5383A" w:rsidRPr="003B22F1" w:rsidRDefault="00B5383A" w:rsidP="000807EF">
      <w:pPr>
        <w:spacing w:after="240" w:line="240" w:lineRule="auto"/>
        <w:ind w:left="567" w:hanging="567"/>
        <w:rPr>
          <w:rFonts w:ascii="Tahoma" w:eastAsia="Times New Roman" w:hAnsi="Tahoma" w:cs="Tahoma"/>
          <w:color w:val="6D5125" w:themeColor="accent5" w:themeShade="80"/>
        </w:rPr>
      </w:pPr>
      <w:r w:rsidRPr="003B22F1">
        <w:rPr>
          <w:rFonts w:ascii="Tahoma" w:eastAsia="Times New Roman" w:hAnsi="Tahoma" w:cs="Tahoma"/>
          <w:color w:val="6D5125" w:themeColor="accent5" w:themeShade="80"/>
        </w:rPr>
        <w:t>9.3:</w:t>
      </w:r>
      <w:r w:rsidRPr="003B22F1">
        <w:rPr>
          <w:rFonts w:ascii="Tahoma" w:eastAsia="Times New Roman" w:hAnsi="Tahoma" w:cs="Tahoma"/>
          <w:color w:val="6D5125" w:themeColor="accent5" w:themeShade="80"/>
        </w:rPr>
        <w:tab/>
        <w:t>How should the administrative process operate?  Why?</w:t>
      </w:r>
    </w:p>
    <w:p w:rsidR="003B22F1" w:rsidRDefault="003B22F1" w:rsidP="003B22F1">
      <w:pPr>
        <w:tabs>
          <w:tab w:val="left" w:pos="851"/>
        </w:tabs>
        <w:spacing w:before="240" w:after="240" w:line="240" w:lineRule="auto"/>
        <w:rPr>
          <w:rFonts w:ascii="Tahoma" w:hAnsi="Tahoma" w:cs="Tahoma"/>
          <w:i/>
        </w:rPr>
      </w:pPr>
    </w:p>
    <w:p w:rsidR="00510C26" w:rsidRDefault="00510C26" w:rsidP="003F697B">
      <w:pPr>
        <w:keepNext/>
        <w:keepLines/>
        <w:tabs>
          <w:tab w:val="left" w:pos="851"/>
        </w:tabs>
        <w:spacing w:before="240" w:after="240" w:line="240" w:lineRule="auto"/>
        <w:rPr>
          <w:rFonts w:ascii="Tahoma" w:hAnsi="Tahoma" w:cs="Tahoma"/>
          <w:i/>
        </w:rPr>
      </w:pPr>
      <w:r w:rsidRPr="00D66DA3">
        <w:rPr>
          <w:rFonts w:ascii="Tahoma" w:hAnsi="Tahoma" w:cs="Tahoma"/>
          <w:i/>
        </w:rPr>
        <w:t xml:space="preserve">Overview of stakeholder response to </w:t>
      </w:r>
      <w:r w:rsidR="008B7AE7">
        <w:rPr>
          <w:rFonts w:ascii="Tahoma" w:hAnsi="Tahoma" w:cs="Tahoma"/>
          <w:i/>
        </w:rPr>
        <w:t>proposed removal of consents</w:t>
      </w:r>
      <w:r>
        <w:rPr>
          <w:rFonts w:ascii="Tahoma" w:hAnsi="Tahoma" w:cs="Tahoma"/>
          <w:i/>
        </w:rPr>
        <w:t xml:space="preserve">  </w:t>
      </w:r>
    </w:p>
    <w:p w:rsidR="00510C26" w:rsidRDefault="00B77181" w:rsidP="006D3025">
      <w:pPr>
        <w:numPr>
          <w:ilvl w:val="0"/>
          <w:numId w:val="3"/>
        </w:numPr>
        <w:tabs>
          <w:tab w:val="clear" w:pos="360"/>
        </w:tabs>
        <w:spacing w:after="240" w:line="240" w:lineRule="auto"/>
        <w:ind w:left="567" w:hanging="567"/>
        <w:rPr>
          <w:rFonts w:ascii="Tahoma" w:hAnsi="Tahoma" w:cs="Tahoma"/>
        </w:rPr>
      </w:pPr>
      <w:r>
        <w:rPr>
          <w:rFonts w:ascii="Tahoma" w:eastAsia="Calibri" w:hAnsi="Tahoma" w:cs="Tahoma"/>
        </w:rPr>
        <w:t>Four</w:t>
      </w:r>
      <w:r w:rsidR="00510C26">
        <w:rPr>
          <w:rFonts w:ascii="Tahoma" w:eastAsia="Calibri" w:hAnsi="Tahoma" w:cs="Tahoma"/>
        </w:rPr>
        <w:t xml:space="preserve"> s</w:t>
      </w:r>
      <w:r w:rsidR="00510C26" w:rsidRPr="00900F26">
        <w:rPr>
          <w:rFonts w:ascii="Tahoma" w:eastAsia="Calibri" w:hAnsi="Tahoma" w:cs="Tahoma"/>
        </w:rPr>
        <w:t xml:space="preserve">ubmissions </w:t>
      </w:r>
      <w:r w:rsidR="00510C26" w:rsidRPr="00900F26">
        <w:rPr>
          <w:rFonts w:ascii="Tahoma" w:hAnsi="Tahoma" w:cs="Tahoma"/>
        </w:rPr>
        <w:t xml:space="preserve">supported the </w:t>
      </w:r>
      <w:r w:rsidR="00510C26">
        <w:rPr>
          <w:rFonts w:ascii="Tahoma" w:hAnsi="Tahoma" w:cs="Tahoma"/>
        </w:rPr>
        <w:t xml:space="preserve">proposals in the </w:t>
      </w:r>
      <w:r w:rsidR="00B70976">
        <w:rPr>
          <w:rFonts w:ascii="Tahoma" w:hAnsi="Tahoma" w:cs="Tahoma"/>
        </w:rPr>
        <w:t>Consultation Paper</w:t>
      </w:r>
      <w:r w:rsidR="005115F6">
        <w:rPr>
          <w:rFonts w:ascii="Tahoma" w:hAnsi="Tahoma" w:cs="Tahoma"/>
        </w:rPr>
        <w:t>.</w:t>
      </w:r>
      <w:r w:rsidR="00964069">
        <w:rPr>
          <w:rFonts w:ascii="Tahoma" w:hAnsi="Tahoma" w:cs="Tahoma"/>
        </w:rPr>
        <w:t xml:space="preserve">  </w:t>
      </w:r>
      <w:r w:rsidR="005115F6">
        <w:rPr>
          <w:rFonts w:ascii="Tahoma" w:hAnsi="Tahoma" w:cs="Tahoma"/>
        </w:rPr>
        <w:t>T</w:t>
      </w:r>
      <w:r>
        <w:rPr>
          <w:rFonts w:ascii="Tahoma" w:hAnsi="Tahoma" w:cs="Tahoma"/>
        </w:rPr>
        <w:t>hree</w:t>
      </w:r>
      <w:r w:rsidR="00583634">
        <w:rPr>
          <w:rFonts w:ascii="Tahoma" w:hAnsi="Tahoma" w:cs="Tahoma"/>
        </w:rPr>
        <w:t xml:space="preserve"> raised implementation issues</w:t>
      </w:r>
      <w:r w:rsidR="0096516B">
        <w:rPr>
          <w:rFonts w:ascii="Tahoma" w:hAnsi="Tahoma" w:cs="Tahoma"/>
        </w:rPr>
        <w:t xml:space="preserve">.  </w:t>
      </w:r>
      <w:r>
        <w:rPr>
          <w:rFonts w:ascii="Tahoma" w:hAnsi="Tahoma" w:cs="Tahoma"/>
        </w:rPr>
        <w:t>One</w:t>
      </w:r>
      <w:r w:rsidR="00583634">
        <w:rPr>
          <w:rFonts w:ascii="Tahoma" w:hAnsi="Tahoma" w:cs="Tahoma"/>
        </w:rPr>
        <w:t xml:space="preserve"> submission opposed the proposed removal of consents. </w:t>
      </w:r>
      <w:r w:rsidR="00510C26" w:rsidRPr="00900F26">
        <w:rPr>
          <w:rFonts w:ascii="Tahoma" w:hAnsi="Tahoma" w:cs="Tahoma"/>
        </w:rPr>
        <w:t xml:space="preserve"> </w:t>
      </w:r>
      <w:r w:rsidR="004577B6">
        <w:rPr>
          <w:rFonts w:ascii="Tahoma" w:hAnsi="Tahoma" w:cs="Tahoma"/>
        </w:rPr>
        <w:t xml:space="preserve">Seven submissions made no comment on this aspect of the Consultation Paper.  </w:t>
      </w:r>
    </w:p>
    <w:p w:rsidR="003B22F1" w:rsidRDefault="003B22F1" w:rsidP="003B22F1">
      <w:pPr>
        <w:tabs>
          <w:tab w:val="left" w:pos="851"/>
        </w:tabs>
        <w:spacing w:before="240" w:after="240" w:line="240" w:lineRule="auto"/>
        <w:rPr>
          <w:rFonts w:ascii="Tahoma" w:hAnsi="Tahoma" w:cs="Tahoma"/>
          <w:i/>
        </w:rPr>
      </w:pPr>
    </w:p>
    <w:p w:rsidR="00510C26" w:rsidRPr="00570BBC" w:rsidRDefault="00510C26" w:rsidP="003F697B">
      <w:pPr>
        <w:keepNext/>
        <w:keepLines/>
        <w:tabs>
          <w:tab w:val="left" w:pos="851"/>
        </w:tabs>
        <w:spacing w:before="240" w:after="240" w:line="240" w:lineRule="auto"/>
        <w:rPr>
          <w:rFonts w:ascii="Tahoma" w:hAnsi="Tahoma" w:cs="Tahoma"/>
          <w:i/>
        </w:rPr>
      </w:pPr>
      <w:r w:rsidRPr="00570BBC">
        <w:rPr>
          <w:rFonts w:ascii="Tahoma" w:hAnsi="Tahoma" w:cs="Tahoma"/>
          <w:i/>
        </w:rPr>
        <w:t>Overview of Land Victoria response to stakeholders</w:t>
      </w:r>
    </w:p>
    <w:p w:rsidR="00516C78" w:rsidRDefault="00510C26" w:rsidP="00510C26">
      <w:pPr>
        <w:numPr>
          <w:ilvl w:val="0"/>
          <w:numId w:val="3"/>
        </w:numPr>
        <w:tabs>
          <w:tab w:val="clear" w:pos="360"/>
        </w:tabs>
        <w:spacing w:after="240" w:line="240" w:lineRule="auto"/>
        <w:ind w:left="567" w:hanging="567"/>
        <w:rPr>
          <w:rFonts w:ascii="Tahoma" w:hAnsi="Tahoma" w:cs="Tahoma"/>
        </w:rPr>
      </w:pPr>
      <w:r w:rsidRPr="00570BBC">
        <w:rPr>
          <w:rFonts w:ascii="Tahoma" w:hAnsi="Tahoma" w:cs="Tahoma"/>
        </w:rPr>
        <w:t>Land Victoria intends to</w:t>
      </w:r>
      <w:r w:rsidR="00583634">
        <w:rPr>
          <w:rFonts w:ascii="Tahoma" w:hAnsi="Tahoma" w:cs="Tahoma"/>
        </w:rPr>
        <w:t xml:space="preserve"> </w:t>
      </w:r>
      <w:r w:rsidR="00583634" w:rsidRPr="00570BBC">
        <w:rPr>
          <w:rFonts w:ascii="Tahoma" w:hAnsi="Tahoma" w:cs="Tahoma"/>
        </w:rPr>
        <w:t xml:space="preserve">proceed with </w:t>
      </w:r>
      <w:r w:rsidR="00583634">
        <w:rPr>
          <w:rFonts w:ascii="Tahoma" w:hAnsi="Tahoma" w:cs="Tahoma"/>
        </w:rPr>
        <w:t xml:space="preserve">the proposals relating to </w:t>
      </w:r>
      <w:r w:rsidR="005115F6">
        <w:rPr>
          <w:rFonts w:ascii="Tahoma" w:hAnsi="Tahoma" w:cs="Tahoma"/>
        </w:rPr>
        <w:t>consents</w:t>
      </w:r>
      <w:r w:rsidR="0096516B">
        <w:rPr>
          <w:rFonts w:ascii="Tahoma" w:hAnsi="Tahoma" w:cs="Tahoma"/>
        </w:rPr>
        <w:t xml:space="preserve">.  </w:t>
      </w:r>
      <w:r w:rsidR="00B77181">
        <w:rPr>
          <w:rFonts w:ascii="Tahoma" w:hAnsi="Tahoma" w:cs="Tahoma"/>
        </w:rPr>
        <w:t>While one</w:t>
      </w:r>
      <w:r w:rsidR="00121B71">
        <w:rPr>
          <w:rFonts w:ascii="Tahoma" w:hAnsi="Tahoma" w:cs="Tahoma"/>
        </w:rPr>
        <w:t xml:space="preserve"> submission opposed their removal on the grounds it undermines the concept of indefeasibility, it is already the case that</w:t>
      </w:r>
      <w:r w:rsidR="00964069">
        <w:rPr>
          <w:rFonts w:ascii="Tahoma" w:hAnsi="Tahoma" w:cs="Tahoma"/>
        </w:rPr>
        <w:t xml:space="preserve">, </w:t>
      </w:r>
      <w:r w:rsidR="005115F6">
        <w:rPr>
          <w:rFonts w:ascii="Tahoma" w:hAnsi="Tahoma" w:cs="Tahoma"/>
        </w:rPr>
        <w:t>for transfer by a mortgagee,</w:t>
      </w:r>
      <w:r w:rsidR="00121B71">
        <w:rPr>
          <w:rFonts w:ascii="Tahoma" w:hAnsi="Tahoma" w:cs="Tahoma"/>
        </w:rPr>
        <w:t xml:space="preserve"> encumbrances can be removed from the Register if consent was not granted</w:t>
      </w:r>
      <w:r w:rsidR="0096516B">
        <w:rPr>
          <w:rFonts w:ascii="Tahoma" w:hAnsi="Tahoma" w:cs="Tahoma"/>
        </w:rPr>
        <w:t xml:space="preserve">.  </w:t>
      </w:r>
      <w:r w:rsidR="00121B71">
        <w:rPr>
          <w:rFonts w:ascii="Tahoma" w:hAnsi="Tahoma" w:cs="Tahoma"/>
        </w:rPr>
        <w:t xml:space="preserve">Land Victoria’s responses to the issues raised are in the below table.  </w:t>
      </w:r>
      <w:r w:rsidR="00976050">
        <w:rPr>
          <w:rFonts w:ascii="Tahoma" w:hAnsi="Tahoma" w:cs="Tahoma"/>
        </w:rPr>
        <w:t xml:space="preserve"> </w:t>
      </w:r>
    </w:p>
    <w:p w:rsidR="003B22F1" w:rsidRDefault="003B22F1" w:rsidP="003B22F1">
      <w:pPr>
        <w:tabs>
          <w:tab w:val="left" w:pos="851"/>
        </w:tabs>
        <w:spacing w:before="240" w:after="240" w:line="240" w:lineRule="auto"/>
        <w:rPr>
          <w:rFonts w:ascii="Tahoma" w:hAnsi="Tahoma" w:cs="Tahoma"/>
          <w:i/>
        </w:rPr>
      </w:pPr>
    </w:p>
    <w:p w:rsidR="00516C78" w:rsidRDefault="00516C78" w:rsidP="003F697B">
      <w:pPr>
        <w:keepNext/>
        <w:keepLines/>
        <w:tabs>
          <w:tab w:val="left" w:pos="851"/>
        </w:tabs>
        <w:spacing w:before="240" w:after="240" w:line="240" w:lineRule="auto"/>
        <w:rPr>
          <w:rFonts w:ascii="Tahoma" w:hAnsi="Tahoma" w:cs="Tahoma"/>
          <w:i/>
        </w:rPr>
      </w:pPr>
      <w:r w:rsidRPr="00570BBC">
        <w:rPr>
          <w:rFonts w:ascii="Tahoma" w:hAnsi="Tahoma" w:cs="Tahoma"/>
          <w:i/>
        </w:rPr>
        <w:t>Key issues raised by stakeholders and Land Victoria’s response to these issues</w:t>
      </w:r>
    </w:p>
    <w:tbl>
      <w:tblPr>
        <w:tblStyle w:val="TableGrid"/>
        <w:tblW w:w="9638" w:type="dxa"/>
        <w:tblInd w:w="108" w:type="dxa"/>
        <w:tblLook w:val="04A0" w:firstRow="1" w:lastRow="0" w:firstColumn="1" w:lastColumn="0" w:noHBand="0" w:noVBand="1"/>
      </w:tblPr>
      <w:tblGrid>
        <w:gridCol w:w="4819"/>
        <w:gridCol w:w="4819"/>
      </w:tblGrid>
      <w:tr w:rsidR="008235C1" w:rsidRPr="00DF4230" w:rsidTr="000807EF">
        <w:trPr>
          <w:tblHeader/>
        </w:trPr>
        <w:tc>
          <w:tcPr>
            <w:tcW w:w="4819" w:type="dxa"/>
            <w:shd w:val="clear" w:color="auto" w:fill="D9D9D9" w:themeFill="background1" w:themeFillShade="D9"/>
            <w:vAlign w:val="center"/>
          </w:tcPr>
          <w:p w:rsidR="008235C1" w:rsidRPr="00DF4230" w:rsidRDefault="008235C1" w:rsidP="00DF4230">
            <w:pPr>
              <w:spacing w:before="60" w:after="60"/>
              <w:rPr>
                <w:rFonts w:ascii="Tahoma" w:hAnsi="Tahoma" w:cs="Tahoma"/>
                <w:b/>
              </w:rPr>
            </w:pPr>
            <w:r w:rsidRPr="00DF4230">
              <w:rPr>
                <w:rFonts w:ascii="Tahoma" w:hAnsi="Tahoma" w:cs="Tahoma"/>
                <w:b/>
              </w:rPr>
              <w:t>Issue</w:t>
            </w:r>
          </w:p>
        </w:tc>
        <w:tc>
          <w:tcPr>
            <w:tcW w:w="4819" w:type="dxa"/>
            <w:shd w:val="clear" w:color="auto" w:fill="D9D9D9" w:themeFill="background1" w:themeFillShade="D9"/>
            <w:vAlign w:val="center"/>
          </w:tcPr>
          <w:p w:rsidR="008235C1" w:rsidRPr="00DF4230" w:rsidRDefault="008235C1" w:rsidP="00DF4230">
            <w:pPr>
              <w:spacing w:before="60" w:after="60"/>
              <w:rPr>
                <w:rFonts w:ascii="Tahoma" w:hAnsi="Tahoma" w:cs="Tahoma"/>
                <w:b/>
              </w:rPr>
            </w:pPr>
            <w:r w:rsidRPr="00DF4230">
              <w:rPr>
                <w:rFonts w:ascii="Tahoma" w:hAnsi="Tahoma" w:cs="Tahoma"/>
                <w:b/>
              </w:rPr>
              <w:t>Land Victoria response</w:t>
            </w:r>
          </w:p>
        </w:tc>
      </w:tr>
      <w:tr w:rsidR="008235C1" w:rsidTr="000807EF">
        <w:tc>
          <w:tcPr>
            <w:tcW w:w="4819" w:type="dxa"/>
          </w:tcPr>
          <w:p w:rsidR="008235C1" w:rsidRPr="0027133D" w:rsidRDefault="008235C1" w:rsidP="00202152">
            <w:pPr>
              <w:spacing w:after="240"/>
              <w:rPr>
                <w:rFonts w:ascii="Tahoma" w:hAnsi="Tahoma" w:cs="Tahoma"/>
              </w:rPr>
            </w:pPr>
            <w:r w:rsidRPr="0027133D">
              <w:rPr>
                <w:rFonts w:ascii="Tahoma" w:hAnsi="Tahoma" w:cs="Tahoma"/>
              </w:rPr>
              <w:t>Mortgagee consent should only be established via a formal written notification to that effect</w:t>
            </w:r>
            <w:r w:rsidR="0096516B" w:rsidRPr="0027133D">
              <w:rPr>
                <w:rFonts w:ascii="Tahoma" w:hAnsi="Tahoma" w:cs="Tahoma"/>
              </w:rPr>
              <w:t xml:space="preserve">.  </w:t>
            </w:r>
            <w:r w:rsidRPr="0027133D">
              <w:rPr>
                <w:rFonts w:ascii="Tahoma" w:hAnsi="Tahoma" w:cs="Tahoma"/>
              </w:rPr>
              <w:t>Mortgagee consent should not be able to be established via conduct, waivers, laches, verbal consents or informal correspondence</w:t>
            </w:r>
            <w:r w:rsidR="00490A7F" w:rsidRPr="0027133D">
              <w:rPr>
                <w:rFonts w:ascii="Tahoma" w:hAnsi="Tahoma" w:cs="Tahoma"/>
              </w:rPr>
              <w:t xml:space="preserve">.  </w:t>
            </w:r>
          </w:p>
        </w:tc>
        <w:tc>
          <w:tcPr>
            <w:tcW w:w="4819" w:type="dxa"/>
          </w:tcPr>
          <w:p w:rsidR="008235C1" w:rsidRDefault="008235C1" w:rsidP="00202152">
            <w:pPr>
              <w:spacing w:after="240"/>
              <w:rPr>
                <w:rFonts w:ascii="Tahoma" w:hAnsi="Tahoma" w:cs="Tahoma"/>
              </w:rPr>
            </w:pPr>
            <w:r>
              <w:rPr>
                <w:rFonts w:ascii="Tahoma" w:hAnsi="Tahoma" w:cs="Tahoma"/>
              </w:rPr>
              <w:t>Land Victoria agrees</w:t>
            </w:r>
            <w:r w:rsidR="0096516B">
              <w:rPr>
                <w:rFonts w:ascii="Tahoma" w:hAnsi="Tahoma" w:cs="Tahoma"/>
              </w:rPr>
              <w:t xml:space="preserve">.  </w:t>
            </w:r>
          </w:p>
        </w:tc>
      </w:tr>
      <w:tr w:rsidR="008235C1" w:rsidTr="000807EF">
        <w:tc>
          <w:tcPr>
            <w:tcW w:w="4819" w:type="dxa"/>
          </w:tcPr>
          <w:p w:rsidR="008235C1" w:rsidRPr="006D6B38" w:rsidRDefault="00506DCD" w:rsidP="00202152">
            <w:pPr>
              <w:spacing w:after="240"/>
              <w:rPr>
                <w:rFonts w:ascii="Tahoma" w:hAnsi="Tahoma" w:cs="Tahoma"/>
              </w:rPr>
            </w:pPr>
            <w:r>
              <w:rPr>
                <w:rFonts w:ascii="Tahoma" w:hAnsi="Tahoma" w:cs="Tahoma"/>
              </w:rPr>
              <w:t xml:space="preserve">The </w:t>
            </w:r>
            <w:r w:rsidR="008235C1" w:rsidRPr="0027133D">
              <w:rPr>
                <w:rFonts w:ascii="Tahoma" w:hAnsi="Tahoma" w:cs="Tahoma"/>
              </w:rPr>
              <w:t>value of mortgaged assets s</w:t>
            </w:r>
            <w:r>
              <w:rPr>
                <w:rFonts w:ascii="Tahoma" w:hAnsi="Tahoma" w:cs="Tahoma"/>
              </w:rPr>
              <w:t>hould</w:t>
            </w:r>
            <w:r w:rsidR="008235C1" w:rsidRPr="0027133D">
              <w:rPr>
                <w:rFonts w:ascii="Tahoma" w:hAnsi="Tahoma" w:cs="Tahoma"/>
              </w:rPr>
              <w:t xml:space="preserve"> not </w:t>
            </w:r>
            <w:r>
              <w:rPr>
                <w:rFonts w:ascii="Tahoma" w:hAnsi="Tahoma" w:cs="Tahoma"/>
              </w:rPr>
              <w:t xml:space="preserve">be </w:t>
            </w:r>
            <w:r w:rsidR="008235C1" w:rsidRPr="0027133D">
              <w:rPr>
                <w:rFonts w:ascii="Tahoma" w:hAnsi="Tahoma" w:cs="Tahoma"/>
              </w:rPr>
              <w:t>adversely impacted by actions that occur without the mortgagee</w:t>
            </w:r>
            <w:r>
              <w:rPr>
                <w:rFonts w:ascii="Tahoma" w:hAnsi="Tahoma" w:cs="Tahoma"/>
              </w:rPr>
              <w:t>’</w:t>
            </w:r>
            <w:r w:rsidR="008235C1" w:rsidRPr="0027133D">
              <w:rPr>
                <w:rFonts w:ascii="Tahoma" w:hAnsi="Tahoma" w:cs="Tahoma"/>
              </w:rPr>
              <w:t>s consent</w:t>
            </w:r>
            <w:r w:rsidR="00490A7F" w:rsidRPr="0027133D">
              <w:rPr>
                <w:rFonts w:ascii="Tahoma" w:hAnsi="Tahoma" w:cs="Tahoma"/>
              </w:rPr>
              <w:t xml:space="preserve">.  </w:t>
            </w:r>
          </w:p>
        </w:tc>
        <w:tc>
          <w:tcPr>
            <w:tcW w:w="4819" w:type="dxa"/>
          </w:tcPr>
          <w:p w:rsidR="008235C1" w:rsidRDefault="008235C1" w:rsidP="00202152">
            <w:pPr>
              <w:spacing w:after="240"/>
              <w:rPr>
                <w:rFonts w:ascii="Tahoma" w:hAnsi="Tahoma" w:cs="Tahoma"/>
              </w:rPr>
            </w:pPr>
            <w:r>
              <w:rPr>
                <w:rFonts w:ascii="Tahoma" w:hAnsi="Tahoma" w:cs="Tahoma"/>
              </w:rPr>
              <w:t>This is a matter for the contracts between mortgagees and mortgagors</w:t>
            </w:r>
            <w:r w:rsidR="0096516B">
              <w:rPr>
                <w:rFonts w:ascii="Tahoma" w:hAnsi="Tahoma" w:cs="Tahoma"/>
              </w:rPr>
              <w:t xml:space="preserve">.  </w:t>
            </w:r>
          </w:p>
        </w:tc>
      </w:tr>
      <w:tr w:rsidR="008235C1" w:rsidTr="000807EF">
        <w:tc>
          <w:tcPr>
            <w:tcW w:w="4819" w:type="dxa"/>
          </w:tcPr>
          <w:p w:rsidR="008235C1" w:rsidRDefault="00506DCD" w:rsidP="00202152">
            <w:pPr>
              <w:spacing w:after="240"/>
              <w:rPr>
                <w:rFonts w:ascii="Tahoma" w:hAnsi="Tahoma" w:cs="Tahoma"/>
              </w:rPr>
            </w:pPr>
            <w:r>
              <w:rPr>
                <w:rFonts w:ascii="Tahoma" w:hAnsi="Tahoma" w:cs="Tahoma"/>
              </w:rPr>
              <w:t>R</w:t>
            </w:r>
            <w:r w:rsidR="008235C1">
              <w:rPr>
                <w:rFonts w:ascii="Tahoma" w:hAnsi="Tahoma" w:cs="Tahoma"/>
              </w:rPr>
              <w:t xml:space="preserve">emoval of </w:t>
            </w:r>
            <w:r>
              <w:rPr>
                <w:rFonts w:ascii="Tahoma" w:hAnsi="Tahoma" w:cs="Tahoma"/>
              </w:rPr>
              <w:t xml:space="preserve">the </w:t>
            </w:r>
            <w:r w:rsidR="008235C1">
              <w:rPr>
                <w:rFonts w:ascii="Tahoma" w:hAnsi="Tahoma" w:cs="Tahoma"/>
              </w:rPr>
              <w:t xml:space="preserve">requirement to provide consents will undermine indefeasibility and thus reduce the confidence that parties can have in the information provided in the Register(for example, by making it possible for a registered easement to subsequently be removed due to lack of consent) </w:t>
            </w:r>
          </w:p>
        </w:tc>
        <w:tc>
          <w:tcPr>
            <w:tcW w:w="4819" w:type="dxa"/>
          </w:tcPr>
          <w:p w:rsidR="008235C1" w:rsidRDefault="008235C1" w:rsidP="00202152">
            <w:pPr>
              <w:spacing w:after="240"/>
              <w:rPr>
                <w:rFonts w:ascii="Tahoma" w:hAnsi="Tahoma" w:cs="Tahoma"/>
              </w:rPr>
            </w:pPr>
            <w:r>
              <w:rPr>
                <w:rFonts w:ascii="Tahoma" w:hAnsi="Tahoma" w:cs="Tahoma"/>
              </w:rPr>
              <w:t>It is already the case that</w:t>
            </w:r>
            <w:r w:rsidR="00506DCD">
              <w:rPr>
                <w:rFonts w:ascii="Tahoma" w:hAnsi="Tahoma" w:cs="Tahoma"/>
              </w:rPr>
              <w:t>, for a transfer by a mortgagee,</w:t>
            </w:r>
            <w:r>
              <w:rPr>
                <w:rFonts w:ascii="Tahoma" w:hAnsi="Tahoma" w:cs="Tahoma"/>
              </w:rPr>
              <w:t xml:space="preserve"> an encumbrance can be removed from the Register if the mortgagee failed to give consent.  </w:t>
            </w:r>
          </w:p>
        </w:tc>
      </w:tr>
      <w:tr w:rsidR="008235C1" w:rsidTr="000807EF">
        <w:tc>
          <w:tcPr>
            <w:tcW w:w="4819" w:type="dxa"/>
          </w:tcPr>
          <w:p w:rsidR="008235C1" w:rsidRDefault="00506DCD" w:rsidP="00C14567">
            <w:pPr>
              <w:spacing w:after="240"/>
              <w:rPr>
                <w:rFonts w:ascii="Tahoma" w:hAnsi="Tahoma" w:cs="Tahoma"/>
              </w:rPr>
            </w:pPr>
            <w:r>
              <w:rPr>
                <w:rFonts w:ascii="Tahoma" w:hAnsi="Tahoma" w:cs="Tahoma"/>
              </w:rPr>
              <w:t>I</w:t>
            </w:r>
            <w:r w:rsidR="008235C1">
              <w:rPr>
                <w:rFonts w:ascii="Tahoma" w:hAnsi="Tahoma" w:cs="Tahoma"/>
              </w:rPr>
              <w:t xml:space="preserve">f consents are not registered, they may be lost (as financial institutions may destroy documents after </w:t>
            </w:r>
            <w:r w:rsidR="00C14567">
              <w:rPr>
                <w:rFonts w:ascii="Tahoma" w:hAnsi="Tahoma" w:cs="Tahoma"/>
              </w:rPr>
              <w:t xml:space="preserve">seven </w:t>
            </w:r>
            <w:r w:rsidR="008235C1">
              <w:rPr>
                <w:rFonts w:ascii="Tahoma" w:hAnsi="Tahoma" w:cs="Tahoma"/>
              </w:rPr>
              <w:t>years) leaving affected parties with no evidence a consent was provided</w:t>
            </w:r>
            <w:r w:rsidR="00490A7F">
              <w:rPr>
                <w:rFonts w:ascii="Tahoma" w:hAnsi="Tahoma" w:cs="Tahoma"/>
              </w:rPr>
              <w:t xml:space="preserve">.  </w:t>
            </w:r>
          </w:p>
        </w:tc>
        <w:tc>
          <w:tcPr>
            <w:tcW w:w="4819" w:type="dxa"/>
          </w:tcPr>
          <w:p w:rsidR="008235C1" w:rsidRDefault="00964069" w:rsidP="00202152">
            <w:pPr>
              <w:spacing w:after="240"/>
              <w:rPr>
                <w:rFonts w:ascii="Tahoma" w:hAnsi="Tahoma" w:cs="Tahoma"/>
              </w:rPr>
            </w:pPr>
            <w:r>
              <w:rPr>
                <w:rFonts w:ascii="Tahoma" w:hAnsi="Tahoma" w:cs="Tahoma"/>
              </w:rPr>
              <w:t>At present c</w:t>
            </w:r>
            <w:r w:rsidR="00506DCD">
              <w:rPr>
                <w:rFonts w:ascii="Tahoma" w:hAnsi="Tahoma" w:cs="Tahoma"/>
              </w:rPr>
              <w:t xml:space="preserve">onsents are neither registered nor retained by Land Victoria.  </w:t>
            </w:r>
            <w:r w:rsidR="008235C1">
              <w:rPr>
                <w:rFonts w:ascii="Tahoma" w:hAnsi="Tahoma" w:cs="Tahoma"/>
              </w:rPr>
              <w:t>Land Victoria believes parties should ensure they keep appropriate records relating to encumbrances</w:t>
            </w:r>
            <w:r w:rsidR="0096516B">
              <w:rPr>
                <w:rFonts w:ascii="Tahoma" w:hAnsi="Tahoma" w:cs="Tahoma"/>
              </w:rPr>
              <w:t xml:space="preserve">.  </w:t>
            </w:r>
          </w:p>
        </w:tc>
      </w:tr>
      <w:tr w:rsidR="008235C1" w:rsidTr="000807EF">
        <w:tc>
          <w:tcPr>
            <w:tcW w:w="4819" w:type="dxa"/>
          </w:tcPr>
          <w:p w:rsidR="008235C1" w:rsidRDefault="00730E0F" w:rsidP="00202152">
            <w:pPr>
              <w:spacing w:after="240"/>
              <w:rPr>
                <w:rFonts w:ascii="Tahoma" w:hAnsi="Tahoma" w:cs="Tahoma"/>
              </w:rPr>
            </w:pPr>
            <w:r>
              <w:rPr>
                <w:rFonts w:ascii="Tahoma" w:hAnsi="Tahoma" w:cs="Tahoma"/>
              </w:rPr>
              <w:t xml:space="preserve">The </w:t>
            </w:r>
            <w:r w:rsidR="008235C1">
              <w:rPr>
                <w:rFonts w:ascii="Tahoma" w:hAnsi="Tahoma" w:cs="Tahoma"/>
              </w:rPr>
              <w:t xml:space="preserve">legislation could also be amended to provide that nomination of a title by a financial institution for a transaction will be deemed to constitute consent to the transaction.  </w:t>
            </w:r>
          </w:p>
        </w:tc>
        <w:tc>
          <w:tcPr>
            <w:tcW w:w="4819" w:type="dxa"/>
          </w:tcPr>
          <w:p w:rsidR="008235C1" w:rsidRDefault="008235C1" w:rsidP="003F697B">
            <w:pPr>
              <w:spacing w:after="240"/>
              <w:rPr>
                <w:rFonts w:ascii="Tahoma" w:hAnsi="Tahoma" w:cs="Tahoma"/>
              </w:rPr>
            </w:pPr>
            <w:r>
              <w:rPr>
                <w:rFonts w:ascii="Tahoma" w:hAnsi="Tahoma" w:cs="Tahoma"/>
              </w:rPr>
              <w:t xml:space="preserve">Nominations will be phased out as part of the </w:t>
            </w:r>
            <w:r w:rsidR="003F697B">
              <w:rPr>
                <w:rFonts w:ascii="Tahoma" w:hAnsi="Tahoma" w:cs="Tahoma"/>
              </w:rPr>
              <w:t>adoption of</w:t>
            </w:r>
            <w:r>
              <w:rPr>
                <w:rFonts w:ascii="Tahoma" w:hAnsi="Tahoma" w:cs="Tahoma"/>
              </w:rPr>
              <w:t xml:space="preserve"> electronic processes</w:t>
            </w:r>
            <w:r w:rsidR="0096516B">
              <w:rPr>
                <w:rFonts w:ascii="Tahoma" w:hAnsi="Tahoma" w:cs="Tahoma"/>
              </w:rPr>
              <w:t xml:space="preserve">.  </w:t>
            </w:r>
          </w:p>
        </w:tc>
      </w:tr>
      <w:tr w:rsidR="008235C1" w:rsidTr="000807EF">
        <w:tc>
          <w:tcPr>
            <w:tcW w:w="4819" w:type="dxa"/>
          </w:tcPr>
          <w:p w:rsidR="008235C1" w:rsidRDefault="008235C1" w:rsidP="008239D8">
            <w:pPr>
              <w:keepNext/>
              <w:keepLines/>
              <w:spacing w:after="240"/>
              <w:rPr>
                <w:rFonts w:ascii="Tahoma" w:hAnsi="Tahoma" w:cs="Tahoma"/>
              </w:rPr>
            </w:pPr>
            <w:r>
              <w:rPr>
                <w:rFonts w:ascii="Tahoma" w:hAnsi="Tahoma" w:cs="Tahoma"/>
              </w:rPr>
              <w:lastRenderedPageBreak/>
              <w:t>What if a right of way that was entered into without the mortgagees consent was removed but the right of way was vital to the ability of the land owner to enter the property</w:t>
            </w:r>
            <w:r w:rsidR="00490A7F">
              <w:rPr>
                <w:rFonts w:ascii="Tahoma" w:hAnsi="Tahoma" w:cs="Tahoma"/>
              </w:rPr>
              <w:t xml:space="preserve">?  </w:t>
            </w:r>
          </w:p>
        </w:tc>
        <w:tc>
          <w:tcPr>
            <w:tcW w:w="4819" w:type="dxa"/>
          </w:tcPr>
          <w:p w:rsidR="008235C1" w:rsidRDefault="00730E0F" w:rsidP="00912314">
            <w:pPr>
              <w:keepNext/>
              <w:keepLines/>
              <w:spacing w:after="240"/>
              <w:rPr>
                <w:rFonts w:ascii="Tahoma" w:hAnsi="Tahoma" w:cs="Tahoma"/>
              </w:rPr>
            </w:pPr>
            <w:r>
              <w:rPr>
                <w:rFonts w:ascii="Tahoma" w:hAnsi="Tahoma" w:cs="Tahoma"/>
              </w:rPr>
              <w:t>The o</w:t>
            </w:r>
            <w:r w:rsidR="008235C1">
              <w:rPr>
                <w:rFonts w:ascii="Tahoma" w:hAnsi="Tahoma" w:cs="Tahoma"/>
              </w:rPr>
              <w:t xml:space="preserve">nus is on the owner of the land </w:t>
            </w:r>
            <w:r>
              <w:rPr>
                <w:rFonts w:ascii="Tahoma" w:hAnsi="Tahoma" w:cs="Tahoma"/>
              </w:rPr>
              <w:t xml:space="preserve">benefitting </w:t>
            </w:r>
            <w:r w:rsidR="008235C1">
              <w:rPr>
                <w:rFonts w:ascii="Tahoma" w:hAnsi="Tahoma" w:cs="Tahoma"/>
              </w:rPr>
              <w:t>to ensure that appropriate consents are provided</w:t>
            </w:r>
            <w:r w:rsidR="0096516B">
              <w:rPr>
                <w:rFonts w:ascii="Tahoma" w:hAnsi="Tahoma" w:cs="Tahoma"/>
              </w:rPr>
              <w:t xml:space="preserve">.  </w:t>
            </w:r>
          </w:p>
        </w:tc>
      </w:tr>
      <w:tr w:rsidR="008235C1" w:rsidTr="000807EF">
        <w:tc>
          <w:tcPr>
            <w:tcW w:w="4819" w:type="dxa"/>
          </w:tcPr>
          <w:p w:rsidR="008235C1" w:rsidRDefault="00730E0F" w:rsidP="00202152">
            <w:pPr>
              <w:spacing w:after="240"/>
              <w:rPr>
                <w:rFonts w:ascii="Tahoma" w:hAnsi="Tahoma" w:cs="Tahoma"/>
              </w:rPr>
            </w:pPr>
            <w:r>
              <w:rPr>
                <w:rFonts w:ascii="Tahoma" w:hAnsi="Tahoma" w:cs="Tahoma"/>
              </w:rPr>
              <w:t>The</w:t>
            </w:r>
            <w:r w:rsidR="008235C1">
              <w:rPr>
                <w:rFonts w:ascii="Tahoma" w:hAnsi="Tahoma" w:cs="Tahoma"/>
              </w:rPr>
              <w:t xml:space="preserve"> onus of proof should be on </w:t>
            </w:r>
            <w:r>
              <w:rPr>
                <w:rFonts w:ascii="Tahoma" w:hAnsi="Tahoma" w:cs="Tahoma"/>
              </w:rPr>
              <w:t xml:space="preserve">the </w:t>
            </w:r>
            <w:r w:rsidR="008235C1">
              <w:rPr>
                <w:rFonts w:ascii="Tahoma" w:hAnsi="Tahoma" w:cs="Tahoma"/>
              </w:rPr>
              <w:t>party claiming consent was granted, not the mortgagee</w:t>
            </w:r>
            <w:r w:rsidR="0096516B">
              <w:rPr>
                <w:rFonts w:ascii="Tahoma" w:hAnsi="Tahoma" w:cs="Tahoma"/>
              </w:rPr>
              <w:t xml:space="preserve">.  </w:t>
            </w:r>
          </w:p>
        </w:tc>
        <w:tc>
          <w:tcPr>
            <w:tcW w:w="4819" w:type="dxa"/>
          </w:tcPr>
          <w:p w:rsidR="008235C1" w:rsidRDefault="008235C1" w:rsidP="00202152">
            <w:pPr>
              <w:spacing w:after="240"/>
              <w:rPr>
                <w:rFonts w:ascii="Tahoma" w:hAnsi="Tahoma" w:cs="Tahoma"/>
              </w:rPr>
            </w:pPr>
            <w:r>
              <w:rPr>
                <w:rFonts w:ascii="Tahoma" w:hAnsi="Tahoma" w:cs="Tahoma"/>
              </w:rPr>
              <w:t>Land Victoria agrees.</w:t>
            </w:r>
          </w:p>
        </w:tc>
      </w:tr>
    </w:tbl>
    <w:p w:rsidR="00F62A27" w:rsidRDefault="00F62A27" w:rsidP="00C01A9C">
      <w:pPr>
        <w:spacing w:after="120" w:line="240" w:lineRule="auto"/>
        <w:rPr>
          <w:rFonts w:ascii="Tahoma" w:hAnsi="Tahoma" w:cs="Tahoma"/>
        </w:rPr>
      </w:pPr>
    </w:p>
    <w:p w:rsidR="008F6E10" w:rsidRDefault="008F6E10" w:rsidP="00C01A9C">
      <w:pPr>
        <w:spacing w:after="120" w:line="240" w:lineRule="auto"/>
        <w:rPr>
          <w:rFonts w:ascii="Tahoma" w:hAnsi="Tahoma" w:cs="Tahoma"/>
        </w:rPr>
      </w:pPr>
    </w:p>
    <w:p w:rsidR="00FE0BF0" w:rsidRDefault="00FE0BF0" w:rsidP="003B22F1">
      <w:pPr>
        <w:keepNext/>
        <w:keepLines/>
        <w:spacing w:before="240" w:after="240" w:line="240" w:lineRule="auto"/>
        <w:rPr>
          <w:rFonts w:ascii="Tahoma" w:hAnsi="Tahoma" w:cs="Tahoma"/>
          <w:i/>
          <w:sz w:val="24"/>
          <w:szCs w:val="24"/>
          <w:u w:val="single"/>
        </w:rPr>
      </w:pPr>
      <w:bookmarkStart w:id="9" w:name="_Toc372902738"/>
      <w:r w:rsidRPr="00A40C4B">
        <w:rPr>
          <w:rFonts w:ascii="Tahoma" w:hAnsi="Tahoma" w:cs="Tahoma"/>
          <w:i/>
          <w:sz w:val="24"/>
          <w:szCs w:val="24"/>
          <w:u w:val="single"/>
        </w:rPr>
        <w:t>Mortgage provisions</w:t>
      </w:r>
      <w:bookmarkEnd w:id="9"/>
    </w:p>
    <w:p w:rsidR="009D781C" w:rsidRPr="00B70976" w:rsidRDefault="009D781C" w:rsidP="000807EF">
      <w:pPr>
        <w:spacing w:after="240" w:line="240" w:lineRule="auto"/>
        <w:rPr>
          <w:rFonts w:ascii="Tahoma" w:hAnsi="Tahoma" w:cs="Tahoma"/>
          <w:color w:val="6D5125" w:themeColor="accent5" w:themeShade="80"/>
        </w:rPr>
      </w:pPr>
      <w:r w:rsidRPr="00B70976">
        <w:rPr>
          <w:rFonts w:ascii="Tahoma" w:hAnsi="Tahoma" w:cs="Tahoma"/>
          <w:color w:val="6D5125" w:themeColor="accent5" w:themeShade="80"/>
        </w:rPr>
        <w:t>Questions included in Consultation Paper</w:t>
      </w:r>
    </w:p>
    <w:p w:rsidR="007670CC" w:rsidRPr="003B22F1" w:rsidRDefault="007670CC" w:rsidP="000807EF">
      <w:pPr>
        <w:spacing w:after="240" w:line="240" w:lineRule="auto"/>
        <w:ind w:left="567" w:hanging="567"/>
        <w:rPr>
          <w:rFonts w:ascii="Tahoma" w:eastAsia="Times New Roman" w:hAnsi="Tahoma" w:cs="Tahoma"/>
          <w:color w:val="6D5125" w:themeColor="accent5" w:themeShade="80"/>
        </w:rPr>
      </w:pPr>
      <w:r w:rsidRPr="003B22F1">
        <w:rPr>
          <w:rFonts w:ascii="Tahoma" w:eastAsia="Times New Roman" w:hAnsi="Tahoma" w:cs="Tahoma"/>
          <w:color w:val="6D5125" w:themeColor="accent5" w:themeShade="80"/>
        </w:rPr>
        <w:t>10.1:</w:t>
      </w:r>
      <w:r w:rsidRPr="003B22F1">
        <w:rPr>
          <w:rFonts w:ascii="Tahoma" w:eastAsia="Times New Roman" w:hAnsi="Tahoma" w:cs="Tahoma"/>
          <w:color w:val="6D5125" w:themeColor="accent5" w:themeShade="80"/>
        </w:rPr>
        <w:tab/>
        <w:t>Do you believe that it is reasonable for a mortgage to have no effect if the mortgagee failed to take reasonable steps when undertaking a verification of identity?  If not, why not?</w:t>
      </w:r>
    </w:p>
    <w:p w:rsidR="007670CC" w:rsidRPr="003B22F1" w:rsidRDefault="007670CC" w:rsidP="000807EF">
      <w:pPr>
        <w:spacing w:after="240" w:line="240" w:lineRule="auto"/>
        <w:ind w:left="567" w:hanging="567"/>
        <w:rPr>
          <w:rFonts w:ascii="Tahoma" w:eastAsia="Times New Roman" w:hAnsi="Tahoma" w:cs="Tahoma"/>
          <w:color w:val="6D5125" w:themeColor="accent5" w:themeShade="80"/>
        </w:rPr>
      </w:pPr>
      <w:r w:rsidRPr="003B22F1">
        <w:rPr>
          <w:rFonts w:ascii="Tahoma" w:eastAsia="Times New Roman" w:hAnsi="Tahoma" w:cs="Tahoma"/>
          <w:color w:val="6D5125" w:themeColor="accent5" w:themeShade="80"/>
        </w:rPr>
        <w:t>10.2:</w:t>
      </w:r>
      <w:r w:rsidRPr="003B22F1">
        <w:rPr>
          <w:rFonts w:ascii="Tahoma" w:eastAsia="Times New Roman" w:hAnsi="Tahoma" w:cs="Tahoma"/>
          <w:color w:val="6D5125" w:themeColor="accent5" w:themeShade="80"/>
        </w:rPr>
        <w:tab/>
        <w:t>Do you believe that it is reasonable to limit the interest owing where a fraud has occurred?  If not, why not?</w:t>
      </w:r>
    </w:p>
    <w:p w:rsidR="007670CC" w:rsidRPr="003B22F1" w:rsidRDefault="007670CC" w:rsidP="000807EF">
      <w:pPr>
        <w:spacing w:after="240" w:line="240" w:lineRule="auto"/>
        <w:ind w:left="567" w:hanging="567"/>
        <w:rPr>
          <w:rFonts w:ascii="Tahoma" w:eastAsia="Times New Roman" w:hAnsi="Tahoma" w:cs="Tahoma"/>
          <w:color w:val="6D5125" w:themeColor="accent5" w:themeShade="80"/>
        </w:rPr>
      </w:pPr>
      <w:r w:rsidRPr="003B22F1">
        <w:rPr>
          <w:rFonts w:ascii="Tahoma" w:eastAsia="Times New Roman" w:hAnsi="Tahoma" w:cs="Tahoma"/>
          <w:color w:val="6D5125" w:themeColor="accent5" w:themeShade="80"/>
        </w:rPr>
        <w:t>10.3:</w:t>
      </w:r>
      <w:r w:rsidRPr="003B22F1">
        <w:rPr>
          <w:rFonts w:ascii="Tahoma" w:eastAsia="Times New Roman" w:hAnsi="Tahoma" w:cs="Tahoma"/>
          <w:color w:val="6D5125" w:themeColor="accent5" w:themeShade="80"/>
        </w:rPr>
        <w:tab/>
        <w:t>Which rate is the most suitable rate, the Reserve Bank of Australia’s official cash rate or the Bank Accepted Bills rate?  And why?  Would another rate be more suitable?  If so, which rate and why?</w:t>
      </w:r>
    </w:p>
    <w:p w:rsidR="003B22F1" w:rsidRDefault="003B22F1" w:rsidP="003B22F1">
      <w:pPr>
        <w:tabs>
          <w:tab w:val="left" w:pos="851"/>
        </w:tabs>
        <w:spacing w:before="240" w:after="240" w:line="240" w:lineRule="auto"/>
        <w:rPr>
          <w:rFonts w:ascii="Tahoma" w:hAnsi="Tahoma" w:cs="Tahoma"/>
          <w:i/>
        </w:rPr>
      </w:pPr>
    </w:p>
    <w:p w:rsidR="007161F5" w:rsidRDefault="007161F5" w:rsidP="003F697B">
      <w:pPr>
        <w:keepNext/>
        <w:keepLines/>
        <w:tabs>
          <w:tab w:val="left" w:pos="851"/>
        </w:tabs>
        <w:spacing w:before="240" w:after="240" w:line="240" w:lineRule="auto"/>
        <w:rPr>
          <w:rFonts w:ascii="Tahoma" w:hAnsi="Tahoma" w:cs="Tahoma"/>
          <w:i/>
        </w:rPr>
      </w:pPr>
      <w:r w:rsidRPr="00D66DA3">
        <w:rPr>
          <w:rFonts w:ascii="Tahoma" w:hAnsi="Tahoma" w:cs="Tahoma"/>
          <w:i/>
        </w:rPr>
        <w:t xml:space="preserve">Overview of stakeholder response to </w:t>
      </w:r>
      <w:r>
        <w:rPr>
          <w:rFonts w:ascii="Tahoma" w:hAnsi="Tahoma" w:cs="Tahoma"/>
          <w:i/>
        </w:rPr>
        <w:t xml:space="preserve">priority notices  </w:t>
      </w:r>
    </w:p>
    <w:p w:rsidR="007161F5" w:rsidRDefault="007B7D4C" w:rsidP="003B22F1">
      <w:pPr>
        <w:numPr>
          <w:ilvl w:val="0"/>
          <w:numId w:val="3"/>
        </w:numPr>
        <w:tabs>
          <w:tab w:val="clear" w:pos="360"/>
        </w:tabs>
        <w:spacing w:after="240" w:line="240" w:lineRule="auto"/>
        <w:ind w:left="567" w:hanging="567"/>
        <w:rPr>
          <w:rFonts w:ascii="Tahoma" w:hAnsi="Tahoma" w:cs="Tahoma"/>
        </w:rPr>
      </w:pPr>
      <w:r>
        <w:rPr>
          <w:rFonts w:ascii="Tahoma" w:eastAsia="Calibri" w:hAnsi="Tahoma" w:cs="Tahoma"/>
        </w:rPr>
        <w:t>Three</w:t>
      </w:r>
      <w:r w:rsidR="00F40522">
        <w:rPr>
          <w:rFonts w:ascii="Tahoma" w:eastAsia="Calibri" w:hAnsi="Tahoma" w:cs="Tahoma"/>
        </w:rPr>
        <w:t xml:space="preserve"> submissions supported the proposed voiding of mortgages when verification of ide</w:t>
      </w:r>
      <w:r>
        <w:rPr>
          <w:rFonts w:ascii="Tahoma" w:eastAsia="Calibri" w:hAnsi="Tahoma" w:cs="Tahoma"/>
        </w:rPr>
        <w:t>ntification was not performed</w:t>
      </w:r>
      <w:r w:rsidR="0096516B">
        <w:rPr>
          <w:rFonts w:ascii="Tahoma" w:eastAsia="Calibri" w:hAnsi="Tahoma" w:cs="Tahoma"/>
        </w:rPr>
        <w:t xml:space="preserve">.  </w:t>
      </w:r>
      <w:r>
        <w:rPr>
          <w:rFonts w:ascii="Tahoma" w:eastAsia="Calibri" w:hAnsi="Tahoma" w:cs="Tahoma"/>
        </w:rPr>
        <w:t>Two</w:t>
      </w:r>
      <w:r w:rsidR="00F40522">
        <w:rPr>
          <w:rFonts w:ascii="Tahoma" w:eastAsia="Calibri" w:hAnsi="Tahoma" w:cs="Tahoma"/>
        </w:rPr>
        <w:t xml:space="preserve"> submissio</w:t>
      </w:r>
      <w:r>
        <w:rPr>
          <w:rFonts w:ascii="Tahoma" w:eastAsia="Calibri" w:hAnsi="Tahoma" w:cs="Tahoma"/>
        </w:rPr>
        <w:t xml:space="preserve">ns opposed this proposal while seven submissions </w:t>
      </w:r>
      <w:r w:rsidR="007E38D7">
        <w:rPr>
          <w:rFonts w:ascii="Tahoma" w:eastAsia="Calibri" w:hAnsi="Tahoma" w:cs="Tahoma"/>
        </w:rPr>
        <w:t>made</w:t>
      </w:r>
      <w:r>
        <w:rPr>
          <w:rFonts w:ascii="Tahoma" w:eastAsia="Calibri" w:hAnsi="Tahoma" w:cs="Tahoma"/>
        </w:rPr>
        <w:t xml:space="preserve"> no comment.  Two</w:t>
      </w:r>
      <w:r w:rsidR="00F40522">
        <w:rPr>
          <w:rFonts w:ascii="Tahoma" w:eastAsia="Calibri" w:hAnsi="Tahoma" w:cs="Tahoma"/>
        </w:rPr>
        <w:t xml:space="preserve"> submissions supported the proposed restriction of the interest payable</w:t>
      </w:r>
      <w:r>
        <w:rPr>
          <w:rFonts w:ascii="Tahoma" w:eastAsia="Calibri" w:hAnsi="Tahoma" w:cs="Tahoma"/>
        </w:rPr>
        <w:t xml:space="preserve"> on fraudulent mortgages while four</w:t>
      </w:r>
      <w:r w:rsidR="00F40522">
        <w:rPr>
          <w:rFonts w:ascii="Tahoma" w:eastAsia="Calibri" w:hAnsi="Tahoma" w:cs="Tahoma"/>
        </w:rPr>
        <w:t xml:space="preserve"> subm</w:t>
      </w:r>
      <w:r>
        <w:rPr>
          <w:rFonts w:ascii="Tahoma" w:eastAsia="Calibri" w:hAnsi="Tahoma" w:cs="Tahoma"/>
        </w:rPr>
        <w:t>issions opposed this proposal</w:t>
      </w:r>
      <w:r w:rsidR="0096516B">
        <w:rPr>
          <w:rFonts w:ascii="Tahoma" w:eastAsia="Calibri" w:hAnsi="Tahoma" w:cs="Tahoma"/>
        </w:rPr>
        <w:t xml:space="preserve">.  </w:t>
      </w:r>
      <w:r>
        <w:rPr>
          <w:rFonts w:ascii="Tahoma" w:eastAsia="Calibri" w:hAnsi="Tahoma" w:cs="Tahoma"/>
        </w:rPr>
        <w:t>Six submissions made no comment</w:t>
      </w:r>
      <w:r w:rsidR="0096516B">
        <w:rPr>
          <w:rFonts w:ascii="Tahoma" w:eastAsia="Calibri" w:hAnsi="Tahoma" w:cs="Tahoma"/>
        </w:rPr>
        <w:t xml:space="preserve">.  </w:t>
      </w:r>
      <w:r>
        <w:rPr>
          <w:rFonts w:ascii="Tahoma" w:eastAsia="Calibri" w:hAnsi="Tahoma" w:cs="Tahoma"/>
        </w:rPr>
        <w:t>Two</w:t>
      </w:r>
      <w:r w:rsidR="00F40522">
        <w:rPr>
          <w:rFonts w:ascii="Tahoma" w:eastAsia="Calibri" w:hAnsi="Tahoma" w:cs="Tahoma"/>
        </w:rPr>
        <w:t xml:space="preserve"> submissions made comment on what was the most suitable </w:t>
      </w:r>
      <w:r>
        <w:rPr>
          <w:rFonts w:ascii="Tahoma" w:eastAsia="Calibri" w:hAnsi="Tahoma" w:cs="Tahoma"/>
        </w:rPr>
        <w:t>rate for determining interest; one</w:t>
      </w:r>
      <w:r w:rsidR="00F40522">
        <w:rPr>
          <w:rFonts w:ascii="Tahoma" w:eastAsia="Calibri" w:hAnsi="Tahoma" w:cs="Tahoma"/>
        </w:rPr>
        <w:t xml:space="preserve"> suggested the RBA cash rate, the other the rate set by the Attorney General under the </w:t>
      </w:r>
      <w:r w:rsidR="00F40522" w:rsidRPr="007B7D4C">
        <w:rPr>
          <w:rFonts w:ascii="Tahoma" w:eastAsia="Calibri" w:hAnsi="Tahoma" w:cs="Tahoma"/>
          <w:i/>
        </w:rPr>
        <w:t>Penalty Interest Rates Act 1983</w:t>
      </w:r>
      <w:r w:rsidR="00F40522">
        <w:rPr>
          <w:rFonts w:ascii="Tahoma" w:eastAsia="Calibri" w:hAnsi="Tahoma" w:cs="Tahoma"/>
        </w:rPr>
        <w:t>.</w:t>
      </w:r>
    </w:p>
    <w:p w:rsidR="003B22F1" w:rsidRDefault="003B22F1" w:rsidP="003B22F1">
      <w:pPr>
        <w:tabs>
          <w:tab w:val="left" w:pos="851"/>
        </w:tabs>
        <w:spacing w:before="240" w:after="240" w:line="240" w:lineRule="auto"/>
        <w:rPr>
          <w:rFonts w:ascii="Tahoma" w:hAnsi="Tahoma" w:cs="Tahoma"/>
          <w:i/>
        </w:rPr>
      </w:pPr>
    </w:p>
    <w:p w:rsidR="007161F5" w:rsidRPr="00570BBC" w:rsidRDefault="007161F5" w:rsidP="003F697B">
      <w:pPr>
        <w:keepNext/>
        <w:keepLines/>
        <w:tabs>
          <w:tab w:val="left" w:pos="851"/>
        </w:tabs>
        <w:spacing w:before="240" w:after="240" w:line="240" w:lineRule="auto"/>
        <w:rPr>
          <w:rFonts w:ascii="Tahoma" w:hAnsi="Tahoma" w:cs="Tahoma"/>
          <w:i/>
        </w:rPr>
      </w:pPr>
      <w:r w:rsidRPr="00570BBC">
        <w:rPr>
          <w:rFonts w:ascii="Tahoma" w:hAnsi="Tahoma" w:cs="Tahoma"/>
          <w:i/>
        </w:rPr>
        <w:t>Overview of Land Victoria response to stakeholders</w:t>
      </w:r>
    </w:p>
    <w:p w:rsidR="007B7D4C" w:rsidRPr="007B7D4C" w:rsidRDefault="007161F5" w:rsidP="007B7D4C">
      <w:pPr>
        <w:numPr>
          <w:ilvl w:val="0"/>
          <w:numId w:val="3"/>
        </w:numPr>
        <w:tabs>
          <w:tab w:val="clear" w:pos="360"/>
        </w:tabs>
        <w:spacing w:after="240" w:line="240" w:lineRule="auto"/>
        <w:ind w:left="567" w:hanging="567"/>
        <w:rPr>
          <w:rFonts w:ascii="Tahoma" w:hAnsi="Tahoma" w:cs="Tahoma"/>
        </w:rPr>
      </w:pPr>
      <w:r w:rsidRPr="00570BBC">
        <w:rPr>
          <w:rFonts w:ascii="Tahoma" w:hAnsi="Tahoma" w:cs="Tahoma"/>
        </w:rPr>
        <w:t>Land Victoria intends to</w:t>
      </w:r>
      <w:r>
        <w:rPr>
          <w:rFonts w:ascii="Tahoma" w:hAnsi="Tahoma" w:cs="Tahoma"/>
        </w:rPr>
        <w:t xml:space="preserve"> </w:t>
      </w:r>
      <w:r w:rsidR="00D621F4">
        <w:rPr>
          <w:rFonts w:ascii="Tahoma" w:hAnsi="Tahoma" w:cs="Tahoma"/>
        </w:rPr>
        <w:t>proceed with proposals outlined in the Consultation Paper</w:t>
      </w:r>
      <w:r w:rsidR="0096516B">
        <w:rPr>
          <w:rFonts w:ascii="Tahoma" w:hAnsi="Tahoma" w:cs="Tahoma"/>
        </w:rPr>
        <w:t xml:space="preserve">.  </w:t>
      </w:r>
      <w:r w:rsidR="00D621F4">
        <w:rPr>
          <w:rFonts w:ascii="Tahoma" w:hAnsi="Tahoma" w:cs="Tahoma"/>
        </w:rPr>
        <w:t xml:space="preserve">Land Victoria considers it inappropriate that legitimate registered proprietors and the State (via compensation payments </w:t>
      </w:r>
      <w:r w:rsidR="00393961">
        <w:rPr>
          <w:rFonts w:ascii="Tahoma" w:hAnsi="Tahoma" w:cs="Tahoma"/>
        </w:rPr>
        <w:t>from public funds</w:t>
      </w:r>
      <w:r w:rsidR="00323F30">
        <w:rPr>
          <w:rFonts w:ascii="Tahoma" w:hAnsi="Tahoma" w:cs="Tahoma"/>
        </w:rPr>
        <w:t>)</w:t>
      </w:r>
      <w:r w:rsidR="00393961">
        <w:rPr>
          <w:rFonts w:ascii="Tahoma" w:hAnsi="Tahoma" w:cs="Tahoma"/>
        </w:rPr>
        <w:t xml:space="preserve"> </w:t>
      </w:r>
      <w:r w:rsidR="00D621F4">
        <w:rPr>
          <w:rFonts w:ascii="Tahoma" w:hAnsi="Tahoma" w:cs="Tahoma"/>
        </w:rPr>
        <w:t xml:space="preserve">should be expected to honour a fraudulent mortgage that was issued following a failure by a financial institution to </w:t>
      </w:r>
      <w:r w:rsidR="00393961">
        <w:rPr>
          <w:rFonts w:ascii="Tahoma" w:hAnsi="Tahoma" w:cs="Tahoma"/>
        </w:rPr>
        <w:t xml:space="preserve">follow </w:t>
      </w:r>
      <w:r w:rsidR="007A4409">
        <w:rPr>
          <w:rFonts w:ascii="Tahoma" w:hAnsi="Tahoma" w:cs="Tahoma"/>
        </w:rPr>
        <w:t>prudent</w:t>
      </w:r>
      <w:r w:rsidR="00393961">
        <w:rPr>
          <w:rFonts w:ascii="Tahoma" w:hAnsi="Tahoma" w:cs="Tahoma"/>
        </w:rPr>
        <w:t xml:space="preserve"> process</w:t>
      </w:r>
      <w:r w:rsidR="007A4409">
        <w:rPr>
          <w:rFonts w:ascii="Tahoma" w:hAnsi="Tahoma" w:cs="Tahoma"/>
        </w:rPr>
        <w:t>es</w:t>
      </w:r>
      <w:r w:rsidR="00393961">
        <w:rPr>
          <w:rFonts w:ascii="Tahoma" w:hAnsi="Tahoma" w:cs="Tahoma"/>
        </w:rPr>
        <w:t xml:space="preserve"> and </w:t>
      </w:r>
      <w:r w:rsidR="00D621F4">
        <w:rPr>
          <w:rFonts w:ascii="Tahoma" w:hAnsi="Tahoma" w:cs="Tahoma"/>
        </w:rPr>
        <w:t>properly verify identity</w:t>
      </w:r>
      <w:r w:rsidR="0096516B">
        <w:rPr>
          <w:rFonts w:ascii="Tahoma" w:hAnsi="Tahoma" w:cs="Tahoma"/>
        </w:rPr>
        <w:t xml:space="preserve">.  </w:t>
      </w:r>
      <w:r w:rsidR="00D621F4">
        <w:rPr>
          <w:rFonts w:ascii="Tahoma" w:hAnsi="Tahoma" w:cs="Tahoma"/>
        </w:rPr>
        <w:t>Similarly, in cases where appropriate verification of identity was performed prior to issuing a fraudulent mortgage</w:t>
      </w:r>
      <w:r w:rsidR="00C14567">
        <w:rPr>
          <w:rFonts w:ascii="Tahoma" w:hAnsi="Tahoma" w:cs="Tahoma"/>
        </w:rPr>
        <w:t xml:space="preserve">, </w:t>
      </w:r>
      <w:r w:rsidR="00D621F4">
        <w:rPr>
          <w:rFonts w:ascii="Tahoma" w:hAnsi="Tahoma" w:cs="Tahoma"/>
        </w:rPr>
        <w:t xml:space="preserve">Land Victoria believes that the </w:t>
      </w:r>
      <w:r w:rsidR="00393961">
        <w:rPr>
          <w:rFonts w:ascii="Tahoma" w:hAnsi="Tahoma" w:cs="Tahoma"/>
        </w:rPr>
        <w:t>State</w:t>
      </w:r>
      <w:r w:rsidR="00D621F4">
        <w:rPr>
          <w:rFonts w:ascii="Tahoma" w:hAnsi="Tahoma" w:cs="Tahoma"/>
        </w:rPr>
        <w:t xml:space="preserve"> should not have to pay compensation </w:t>
      </w:r>
      <w:r w:rsidR="00393961">
        <w:rPr>
          <w:rFonts w:ascii="Tahoma" w:hAnsi="Tahoma" w:cs="Tahoma"/>
        </w:rPr>
        <w:lastRenderedPageBreak/>
        <w:t xml:space="preserve">from public funds </w:t>
      </w:r>
      <w:r w:rsidR="00D621F4">
        <w:rPr>
          <w:rFonts w:ascii="Tahoma" w:hAnsi="Tahoma" w:cs="Tahoma"/>
        </w:rPr>
        <w:t>for an interest rate that is greater than what is a reasonable market rate</w:t>
      </w:r>
      <w:r w:rsidR="0096516B">
        <w:rPr>
          <w:rFonts w:ascii="Tahoma" w:hAnsi="Tahoma" w:cs="Tahoma"/>
        </w:rPr>
        <w:t xml:space="preserve">.  </w:t>
      </w:r>
      <w:r w:rsidR="007B7D4C" w:rsidRPr="007B7D4C">
        <w:rPr>
          <w:rFonts w:ascii="Tahoma" w:hAnsi="Tahoma" w:cs="Tahoma"/>
        </w:rPr>
        <w:t xml:space="preserve">Upon consideration, Land Victoria regards the Banks Accepted Bills rate as the best means of measuring an appropriate level of interest as this measure is already used in Victorian legislation. </w:t>
      </w:r>
    </w:p>
    <w:p w:rsidR="003B22F1" w:rsidRDefault="003B22F1" w:rsidP="003B22F1">
      <w:pPr>
        <w:tabs>
          <w:tab w:val="left" w:pos="851"/>
        </w:tabs>
        <w:spacing w:before="240" w:after="240" w:line="240" w:lineRule="auto"/>
        <w:rPr>
          <w:rFonts w:ascii="Tahoma" w:hAnsi="Tahoma" w:cs="Tahoma"/>
          <w:i/>
        </w:rPr>
      </w:pPr>
    </w:p>
    <w:p w:rsidR="00516C78" w:rsidRDefault="00516C78" w:rsidP="003F697B">
      <w:pPr>
        <w:keepNext/>
        <w:keepLines/>
        <w:tabs>
          <w:tab w:val="left" w:pos="851"/>
        </w:tabs>
        <w:spacing w:before="240" w:after="240" w:line="240" w:lineRule="auto"/>
        <w:rPr>
          <w:rFonts w:ascii="Tahoma" w:hAnsi="Tahoma" w:cs="Tahoma"/>
          <w:i/>
        </w:rPr>
      </w:pPr>
      <w:r w:rsidRPr="00570BBC">
        <w:rPr>
          <w:rFonts w:ascii="Tahoma" w:hAnsi="Tahoma" w:cs="Tahoma"/>
          <w:i/>
        </w:rPr>
        <w:t>Key issues raised by stakeholders and Land Victoria’s response to these issues</w:t>
      </w:r>
    </w:p>
    <w:tbl>
      <w:tblPr>
        <w:tblStyle w:val="TableGrid"/>
        <w:tblW w:w="9638" w:type="dxa"/>
        <w:tblInd w:w="108" w:type="dxa"/>
        <w:tblLook w:val="04A0" w:firstRow="1" w:lastRow="0" w:firstColumn="1" w:lastColumn="0" w:noHBand="0" w:noVBand="1"/>
      </w:tblPr>
      <w:tblGrid>
        <w:gridCol w:w="4819"/>
        <w:gridCol w:w="4819"/>
      </w:tblGrid>
      <w:tr w:rsidR="002435E4" w:rsidRPr="00DF4230" w:rsidTr="000807EF">
        <w:trPr>
          <w:tblHeader/>
        </w:trPr>
        <w:tc>
          <w:tcPr>
            <w:tcW w:w="4819" w:type="dxa"/>
            <w:shd w:val="clear" w:color="auto" w:fill="D9D9D9" w:themeFill="background1" w:themeFillShade="D9"/>
            <w:vAlign w:val="center"/>
          </w:tcPr>
          <w:p w:rsidR="002435E4" w:rsidRPr="00DF4230" w:rsidRDefault="002435E4" w:rsidP="00DF4230">
            <w:pPr>
              <w:spacing w:before="60" w:after="60"/>
              <w:rPr>
                <w:rFonts w:ascii="Tahoma" w:hAnsi="Tahoma" w:cs="Tahoma"/>
                <w:b/>
              </w:rPr>
            </w:pPr>
            <w:r w:rsidRPr="00DF4230">
              <w:rPr>
                <w:rFonts w:ascii="Tahoma" w:hAnsi="Tahoma" w:cs="Tahoma"/>
                <w:b/>
              </w:rPr>
              <w:t>Issue</w:t>
            </w:r>
          </w:p>
        </w:tc>
        <w:tc>
          <w:tcPr>
            <w:tcW w:w="4819" w:type="dxa"/>
            <w:shd w:val="clear" w:color="auto" w:fill="D9D9D9" w:themeFill="background1" w:themeFillShade="D9"/>
            <w:vAlign w:val="center"/>
          </w:tcPr>
          <w:p w:rsidR="002435E4" w:rsidRPr="00DF4230" w:rsidRDefault="002435E4" w:rsidP="00DF4230">
            <w:pPr>
              <w:spacing w:before="60" w:after="60"/>
              <w:rPr>
                <w:rFonts w:ascii="Tahoma" w:hAnsi="Tahoma" w:cs="Tahoma"/>
                <w:b/>
              </w:rPr>
            </w:pPr>
            <w:r w:rsidRPr="00DF4230">
              <w:rPr>
                <w:rFonts w:ascii="Tahoma" w:hAnsi="Tahoma" w:cs="Tahoma"/>
                <w:b/>
              </w:rPr>
              <w:t>Land Victoria response</w:t>
            </w:r>
          </w:p>
        </w:tc>
      </w:tr>
      <w:tr w:rsidR="002435E4" w:rsidTr="000807EF">
        <w:tc>
          <w:tcPr>
            <w:tcW w:w="4819" w:type="dxa"/>
          </w:tcPr>
          <w:p w:rsidR="002435E4" w:rsidRDefault="002435E4" w:rsidP="00202152">
            <w:pPr>
              <w:spacing w:after="240"/>
              <w:rPr>
                <w:rFonts w:ascii="Tahoma" w:hAnsi="Tahoma" w:cs="Tahoma"/>
              </w:rPr>
            </w:pPr>
            <w:r>
              <w:rPr>
                <w:rFonts w:ascii="Tahoma" w:hAnsi="Tahoma" w:cs="Tahoma"/>
              </w:rPr>
              <w:t>Indefeasibility should apply for the full interest rate specified in the mortgage.</w:t>
            </w:r>
          </w:p>
        </w:tc>
        <w:tc>
          <w:tcPr>
            <w:tcW w:w="4819" w:type="dxa"/>
          </w:tcPr>
          <w:p w:rsidR="002435E4" w:rsidRDefault="002435E4" w:rsidP="00202152">
            <w:pPr>
              <w:spacing w:after="240"/>
              <w:rPr>
                <w:rFonts w:ascii="Tahoma" w:hAnsi="Tahoma" w:cs="Tahoma"/>
              </w:rPr>
            </w:pPr>
            <w:r>
              <w:rPr>
                <w:rFonts w:ascii="Tahoma" w:hAnsi="Tahoma" w:cs="Tahoma"/>
              </w:rPr>
              <w:t xml:space="preserve">Land Victoria disagrees with this position and believes that the </w:t>
            </w:r>
            <w:r w:rsidR="00C76F15">
              <w:rPr>
                <w:rFonts w:ascii="Tahoma" w:hAnsi="Tahoma" w:cs="Tahoma"/>
              </w:rPr>
              <w:t>State</w:t>
            </w:r>
            <w:r>
              <w:rPr>
                <w:rFonts w:ascii="Tahoma" w:hAnsi="Tahoma" w:cs="Tahoma"/>
              </w:rPr>
              <w:t xml:space="preserve"> should not have to pay compensation </w:t>
            </w:r>
            <w:r w:rsidR="00C76F15">
              <w:rPr>
                <w:rFonts w:ascii="Tahoma" w:hAnsi="Tahoma" w:cs="Tahoma"/>
              </w:rPr>
              <w:t xml:space="preserve">from public funds </w:t>
            </w:r>
            <w:r>
              <w:rPr>
                <w:rFonts w:ascii="Tahoma" w:hAnsi="Tahoma" w:cs="Tahoma"/>
              </w:rPr>
              <w:t>for an interest rate that is greater than what is a reasonable market rate</w:t>
            </w:r>
            <w:r w:rsidR="00490A7F">
              <w:rPr>
                <w:rFonts w:ascii="Tahoma" w:hAnsi="Tahoma" w:cs="Tahoma"/>
              </w:rPr>
              <w:t xml:space="preserve">.  </w:t>
            </w:r>
          </w:p>
        </w:tc>
      </w:tr>
      <w:tr w:rsidR="002435E4" w:rsidTr="000807EF">
        <w:tc>
          <w:tcPr>
            <w:tcW w:w="4819" w:type="dxa"/>
          </w:tcPr>
          <w:p w:rsidR="002435E4" w:rsidRDefault="002435E4" w:rsidP="00202152">
            <w:pPr>
              <w:spacing w:after="240"/>
              <w:rPr>
                <w:rFonts w:ascii="Tahoma" w:hAnsi="Tahoma" w:cs="Tahoma"/>
              </w:rPr>
            </w:pPr>
            <w:r>
              <w:rPr>
                <w:rFonts w:ascii="Tahoma" w:hAnsi="Tahoma" w:cs="Tahoma"/>
              </w:rPr>
              <w:t>The mere failure to verify identity should not of itself void a mortgage if the failure did not contribute to any fraud</w:t>
            </w:r>
            <w:r w:rsidR="00490A7F">
              <w:rPr>
                <w:rFonts w:ascii="Tahoma" w:hAnsi="Tahoma" w:cs="Tahoma"/>
              </w:rPr>
              <w:t xml:space="preserve">.  </w:t>
            </w:r>
          </w:p>
        </w:tc>
        <w:tc>
          <w:tcPr>
            <w:tcW w:w="4819" w:type="dxa"/>
          </w:tcPr>
          <w:p w:rsidR="002435E4" w:rsidRDefault="002435E4" w:rsidP="00202152">
            <w:pPr>
              <w:spacing w:after="240"/>
              <w:rPr>
                <w:rFonts w:ascii="Tahoma" w:hAnsi="Tahoma" w:cs="Tahoma"/>
              </w:rPr>
            </w:pPr>
            <w:r>
              <w:rPr>
                <w:rFonts w:ascii="Tahoma" w:hAnsi="Tahoma" w:cs="Tahoma"/>
              </w:rPr>
              <w:t>Land Victoria disagrees with this position and believes adequate verification of identity</w:t>
            </w:r>
            <w:r w:rsidR="000E7900">
              <w:rPr>
                <w:rFonts w:ascii="Tahoma" w:hAnsi="Tahoma" w:cs="Tahoma"/>
              </w:rPr>
              <w:t xml:space="preserve"> </w:t>
            </w:r>
            <w:r w:rsidR="00C76F15">
              <w:rPr>
                <w:rFonts w:ascii="Tahoma" w:hAnsi="Tahoma" w:cs="Tahoma"/>
              </w:rPr>
              <w:t xml:space="preserve">is a </w:t>
            </w:r>
            <w:r w:rsidR="000E7900">
              <w:rPr>
                <w:rFonts w:ascii="Tahoma" w:hAnsi="Tahoma" w:cs="Tahoma"/>
              </w:rPr>
              <w:t>prerequisite</w:t>
            </w:r>
            <w:r w:rsidR="0096516B">
              <w:rPr>
                <w:rFonts w:ascii="Tahoma" w:hAnsi="Tahoma" w:cs="Tahoma"/>
              </w:rPr>
              <w:t xml:space="preserve">.  </w:t>
            </w:r>
          </w:p>
        </w:tc>
      </w:tr>
      <w:tr w:rsidR="002435E4" w:rsidTr="000807EF">
        <w:tc>
          <w:tcPr>
            <w:tcW w:w="4819" w:type="dxa"/>
          </w:tcPr>
          <w:p w:rsidR="002435E4" w:rsidRDefault="00C76F15" w:rsidP="00202152">
            <w:pPr>
              <w:spacing w:after="240"/>
              <w:rPr>
                <w:rFonts w:ascii="Tahoma" w:hAnsi="Tahoma" w:cs="Tahoma"/>
              </w:rPr>
            </w:pPr>
            <w:r>
              <w:rPr>
                <w:rFonts w:ascii="Tahoma" w:hAnsi="Tahoma" w:cs="Tahoma"/>
              </w:rPr>
              <w:t>W</w:t>
            </w:r>
            <w:r w:rsidR="002435E4">
              <w:rPr>
                <w:rFonts w:ascii="Tahoma" w:hAnsi="Tahoma" w:cs="Tahoma"/>
              </w:rPr>
              <w:t xml:space="preserve">hat </w:t>
            </w:r>
            <w:r>
              <w:rPr>
                <w:rFonts w:ascii="Tahoma" w:hAnsi="Tahoma" w:cs="Tahoma"/>
              </w:rPr>
              <w:t xml:space="preserve">does </w:t>
            </w:r>
            <w:r w:rsidR="002435E4">
              <w:rPr>
                <w:rFonts w:ascii="Tahoma" w:hAnsi="Tahoma" w:cs="Tahoma"/>
              </w:rPr>
              <w:t>voiding a mortgage mean</w:t>
            </w:r>
            <w:r w:rsidR="00490A7F">
              <w:rPr>
                <w:rFonts w:ascii="Tahoma" w:hAnsi="Tahoma" w:cs="Tahoma"/>
              </w:rPr>
              <w:t xml:space="preserve">?  </w:t>
            </w:r>
          </w:p>
        </w:tc>
        <w:tc>
          <w:tcPr>
            <w:tcW w:w="4819" w:type="dxa"/>
          </w:tcPr>
          <w:p w:rsidR="002435E4" w:rsidRDefault="002435E4" w:rsidP="00202152">
            <w:pPr>
              <w:spacing w:after="240"/>
              <w:rPr>
                <w:rFonts w:ascii="Tahoma" w:hAnsi="Tahoma" w:cs="Tahoma"/>
              </w:rPr>
            </w:pPr>
            <w:r>
              <w:rPr>
                <w:rFonts w:ascii="Tahoma" w:hAnsi="Tahoma" w:cs="Tahoma"/>
              </w:rPr>
              <w:t xml:space="preserve">A mortgage would only be void for the purposes of the </w:t>
            </w:r>
            <w:r w:rsidRPr="007B7D4C">
              <w:rPr>
                <w:rFonts w:ascii="Tahoma" w:hAnsi="Tahoma" w:cs="Tahoma"/>
                <w:i/>
              </w:rPr>
              <w:t>Transfer of Land Act</w:t>
            </w:r>
            <w:r w:rsidR="0096516B">
              <w:rPr>
                <w:rFonts w:ascii="Tahoma" w:hAnsi="Tahoma" w:cs="Tahoma"/>
              </w:rPr>
              <w:t xml:space="preserve">.  </w:t>
            </w:r>
            <w:r>
              <w:rPr>
                <w:rFonts w:ascii="Tahoma" w:hAnsi="Tahoma" w:cs="Tahoma"/>
              </w:rPr>
              <w:t xml:space="preserve">This would mean the mortgagee could not seek to enforce the mortgage against the </w:t>
            </w:r>
            <w:r w:rsidR="00C76F15">
              <w:rPr>
                <w:rFonts w:ascii="Tahoma" w:hAnsi="Tahoma" w:cs="Tahoma"/>
              </w:rPr>
              <w:t xml:space="preserve">land and hence the </w:t>
            </w:r>
            <w:r>
              <w:rPr>
                <w:rFonts w:ascii="Tahoma" w:hAnsi="Tahoma" w:cs="Tahoma"/>
              </w:rPr>
              <w:t>legitimate registered proprietor</w:t>
            </w:r>
            <w:r w:rsidR="0096516B">
              <w:rPr>
                <w:rFonts w:ascii="Tahoma" w:hAnsi="Tahoma" w:cs="Tahoma"/>
              </w:rPr>
              <w:t xml:space="preserve">.  </w:t>
            </w:r>
            <w:r>
              <w:rPr>
                <w:rFonts w:ascii="Tahoma" w:hAnsi="Tahoma" w:cs="Tahoma"/>
              </w:rPr>
              <w:t>The proposals would not affect a mortgagee’s ability to take action against the fraudster under other legislation or at common law</w:t>
            </w:r>
            <w:r w:rsidR="00490A7F">
              <w:rPr>
                <w:rFonts w:ascii="Tahoma" w:hAnsi="Tahoma" w:cs="Tahoma"/>
              </w:rPr>
              <w:t xml:space="preserve">.  </w:t>
            </w:r>
          </w:p>
        </w:tc>
      </w:tr>
      <w:tr w:rsidR="002435E4" w:rsidTr="000807EF">
        <w:tc>
          <w:tcPr>
            <w:tcW w:w="4819" w:type="dxa"/>
          </w:tcPr>
          <w:p w:rsidR="002435E4" w:rsidRDefault="00C76F15" w:rsidP="00202152">
            <w:pPr>
              <w:spacing w:after="240"/>
              <w:rPr>
                <w:rFonts w:ascii="Tahoma" w:hAnsi="Tahoma" w:cs="Tahoma"/>
              </w:rPr>
            </w:pPr>
            <w:r>
              <w:rPr>
                <w:rFonts w:ascii="Tahoma" w:hAnsi="Tahoma" w:cs="Tahoma"/>
              </w:rPr>
              <w:t>A</w:t>
            </w:r>
            <w:r w:rsidR="002435E4">
              <w:rPr>
                <w:rFonts w:ascii="Tahoma" w:hAnsi="Tahoma" w:cs="Tahoma"/>
              </w:rPr>
              <w:t>ll mortgages will be held to be void unless the mortgagee proves otherwise.</w:t>
            </w:r>
          </w:p>
        </w:tc>
        <w:tc>
          <w:tcPr>
            <w:tcW w:w="4819" w:type="dxa"/>
          </w:tcPr>
          <w:p w:rsidR="007B7D4C" w:rsidRDefault="002435E4" w:rsidP="00202152">
            <w:pPr>
              <w:spacing w:after="240"/>
              <w:rPr>
                <w:rFonts w:ascii="Tahoma" w:hAnsi="Tahoma" w:cs="Tahoma"/>
              </w:rPr>
            </w:pPr>
            <w:r>
              <w:rPr>
                <w:rFonts w:ascii="Tahoma" w:hAnsi="Tahoma" w:cs="Tahoma"/>
              </w:rPr>
              <w:t>The proposals only apply to fraudulent mortgages</w:t>
            </w:r>
            <w:r w:rsidR="0096516B">
              <w:rPr>
                <w:rFonts w:ascii="Tahoma" w:hAnsi="Tahoma" w:cs="Tahoma"/>
              </w:rPr>
              <w:t xml:space="preserve">.  </w:t>
            </w:r>
            <w:r>
              <w:rPr>
                <w:rFonts w:ascii="Tahoma" w:hAnsi="Tahoma" w:cs="Tahoma"/>
              </w:rPr>
              <w:t xml:space="preserve">Financial </w:t>
            </w:r>
            <w:r w:rsidR="00C76F15">
              <w:rPr>
                <w:rFonts w:ascii="Tahoma" w:hAnsi="Tahoma" w:cs="Tahoma"/>
              </w:rPr>
              <w:t>i</w:t>
            </w:r>
            <w:r>
              <w:rPr>
                <w:rFonts w:ascii="Tahoma" w:hAnsi="Tahoma" w:cs="Tahoma"/>
              </w:rPr>
              <w:t>nstitutions that perform adequate verification of identity and keep appropriate records will not be affected</w:t>
            </w:r>
            <w:r w:rsidR="00490A7F">
              <w:rPr>
                <w:rFonts w:ascii="Tahoma" w:hAnsi="Tahoma" w:cs="Tahoma"/>
              </w:rPr>
              <w:t xml:space="preserve">.  </w:t>
            </w:r>
          </w:p>
        </w:tc>
      </w:tr>
      <w:tr w:rsidR="002435E4" w:rsidTr="000807EF">
        <w:tc>
          <w:tcPr>
            <w:tcW w:w="4819" w:type="dxa"/>
          </w:tcPr>
          <w:p w:rsidR="002435E4" w:rsidRDefault="00201355" w:rsidP="00202152">
            <w:pPr>
              <w:spacing w:after="240"/>
              <w:rPr>
                <w:rFonts w:ascii="Tahoma" w:hAnsi="Tahoma" w:cs="Tahoma"/>
              </w:rPr>
            </w:pPr>
            <w:r>
              <w:rPr>
                <w:rFonts w:ascii="Tahoma" w:hAnsi="Tahoma" w:cs="Tahoma"/>
              </w:rPr>
              <w:t>W</w:t>
            </w:r>
            <w:r w:rsidR="002435E4">
              <w:rPr>
                <w:rFonts w:ascii="Tahoma" w:hAnsi="Tahoma" w:cs="Tahoma"/>
              </w:rPr>
              <w:t xml:space="preserve">hy </w:t>
            </w:r>
            <w:r>
              <w:rPr>
                <w:rFonts w:ascii="Tahoma" w:hAnsi="Tahoma" w:cs="Tahoma"/>
              </w:rPr>
              <w:t xml:space="preserve">does </w:t>
            </w:r>
            <w:r w:rsidR="002435E4">
              <w:rPr>
                <w:rFonts w:ascii="Tahoma" w:hAnsi="Tahoma" w:cs="Tahoma"/>
              </w:rPr>
              <w:t>a mortgagee need to undertake VOI for a mortgage variation</w:t>
            </w:r>
            <w:r>
              <w:rPr>
                <w:rFonts w:ascii="Tahoma" w:hAnsi="Tahoma" w:cs="Tahoma"/>
              </w:rPr>
              <w:t>,</w:t>
            </w:r>
            <w:r w:rsidR="002435E4">
              <w:rPr>
                <w:rFonts w:ascii="Tahoma" w:hAnsi="Tahoma" w:cs="Tahoma"/>
              </w:rPr>
              <w:t xml:space="preserve"> if VOI was already undertaken when the mortgage was first issued</w:t>
            </w:r>
            <w:r>
              <w:rPr>
                <w:rFonts w:ascii="Tahoma" w:hAnsi="Tahoma" w:cs="Tahoma"/>
              </w:rPr>
              <w:t>?</w:t>
            </w:r>
          </w:p>
        </w:tc>
        <w:tc>
          <w:tcPr>
            <w:tcW w:w="4819" w:type="dxa"/>
          </w:tcPr>
          <w:p w:rsidR="002435E4" w:rsidRDefault="002435E4" w:rsidP="00202152">
            <w:pPr>
              <w:spacing w:after="240"/>
              <w:rPr>
                <w:rFonts w:ascii="Tahoma" w:hAnsi="Tahoma" w:cs="Tahoma"/>
              </w:rPr>
            </w:pPr>
            <w:r>
              <w:rPr>
                <w:rFonts w:ascii="Tahoma" w:hAnsi="Tahoma" w:cs="Tahoma"/>
              </w:rPr>
              <w:t xml:space="preserve">The financial institution should perform Verification of Identity to confirm the customer is who they claim to be. </w:t>
            </w:r>
            <w:r w:rsidR="00201355">
              <w:rPr>
                <w:rFonts w:ascii="Tahoma" w:hAnsi="Tahoma" w:cs="Tahoma"/>
              </w:rPr>
              <w:t xml:space="preserve"> It may be that the financial inst</w:t>
            </w:r>
            <w:r w:rsidR="000E7900">
              <w:rPr>
                <w:rFonts w:ascii="Tahoma" w:hAnsi="Tahoma" w:cs="Tahoma"/>
              </w:rPr>
              <w:t>it</w:t>
            </w:r>
            <w:r w:rsidR="00201355">
              <w:rPr>
                <w:rFonts w:ascii="Tahoma" w:hAnsi="Tahoma" w:cs="Tahoma"/>
              </w:rPr>
              <w:t xml:space="preserve">ution considers that </w:t>
            </w:r>
            <w:r w:rsidR="000E7900">
              <w:rPr>
                <w:rFonts w:ascii="Tahoma" w:hAnsi="Tahoma" w:cs="Tahoma"/>
              </w:rPr>
              <w:t xml:space="preserve">reliance on </w:t>
            </w:r>
            <w:r w:rsidR="00201355">
              <w:rPr>
                <w:rFonts w:ascii="Tahoma" w:hAnsi="Tahoma" w:cs="Tahoma"/>
              </w:rPr>
              <w:t xml:space="preserve">the original VOI constitutes taking </w:t>
            </w:r>
            <w:r w:rsidR="000E7900">
              <w:rPr>
                <w:rFonts w:ascii="Tahoma" w:hAnsi="Tahoma" w:cs="Tahoma"/>
              </w:rPr>
              <w:t>‘</w:t>
            </w:r>
            <w:r w:rsidR="00201355">
              <w:rPr>
                <w:rFonts w:ascii="Tahoma" w:hAnsi="Tahoma" w:cs="Tahoma"/>
              </w:rPr>
              <w:t>reasonable steps</w:t>
            </w:r>
            <w:r w:rsidR="000E7900">
              <w:rPr>
                <w:rFonts w:ascii="Tahoma" w:hAnsi="Tahoma" w:cs="Tahoma"/>
              </w:rPr>
              <w:t>’</w:t>
            </w:r>
            <w:r w:rsidR="00201355">
              <w:rPr>
                <w:rFonts w:ascii="Tahoma" w:hAnsi="Tahoma" w:cs="Tahoma"/>
              </w:rPr>
              <w:t>.</w:t>
            </w:r>
          </w:p>
        </w:tc>
      </w:tr>
      <w:tr w:rsidR="002435E4" w:rsidTr="000807EF">
        <w:tc>
          <w:tcPr>
            <w:tcW w:w="4819" w:type="dxa"/>
          </w:tcPr>
          <w:p w:rsidR="002435E4" w:rsidRDefault="00201355" w:rsidP="00202152">
            <w:pPr>
              <w:spacing w:after="240"/>
              <w:rPr>
                <w:rFonts w:ascii="Tahoma" w:hAnsi="Tahoma" w:cs="Tahoma"/>
              </w:rPr>
            </w:pPr>
            <w:r>
              <w:rPr>
                <w:rFonts w:ascii="Tahoma" w:hAnsi="Tahoma" w:cs="Tahoma"/>
              </w:rPr>
              <w:t>I</w:t>
            </w:r>
            <w:r w:rsidR="002435E4">
              <w:rPr>
                <w:rFonts w:ascii="Tahoma" w:hAnsi="Tahoma" w:cs="Tahoma"/>
              </w:rPr>
              <w:t xml:space="preserve">nterest payable on a fraudulent mortgage </w:t>
            </w:r>
            <w:r>
              <w:rPr>
                <w:rFonts w:ascii="Tahoma" w:hAnsi="Tahoma" w:cs="Tahoma"/>
              </w:rPr>
              <w:t xml:space="preserve">should not be limited </w:t>
            </w:r>
            <w:r w:rsidR="002435E4">
              <w:rPr>
                <w:rFonts w:ascii="Tahoma" w:hAnsi="Tahoma" w:cs="Tahoma"/>
              </w:rPr>
              <w:t>when a bank has fulfilled its VOI obligations</w:t>
            </w:r>
            <w:r w:rsidR="0096516B">
              <w:rPr>
                <w:rFonts w:ascii="Tahoma" w:hAnsi="Tahoma" w:cs="Tahoma"/>
              </w:rPr>
              <w:t xml:space="preserve">.  </w:t>
            </w:r>
            <w:r w:rsidR="002435E4">
              <w:rPr>
                <w:rFonts w:ascii="Tahoma" w:hAnsi="Tahoma" w:cs="Tahoma"/>
              </w:rPr>
              <w:t>Concerned this may have constitutional implications.</w:t>
            </w:r>
          </w:p>
        </w:tc>
        <w:tc>
          <w:tcPr>
            <w:tcW w:w="4819" w:type="dxa"/>
          </w:tcPr>
          <w:p w:rsidR="002435E4" w:rsidRDefault="002435E4" w:rsidP="00912314">
            <w:pPr>
              <w:spacing w:after="120"/>
              <w:rPr>
                <w:rFonts w:ascii="Tahoma" w:hAnsi="Tahoma" w:cs="Tahoma"/>
              </w:rPr>
            </w:pPr>
            <w:r>
              <w:rPr>
                <w:rFonts w:ascii="Tahoma" w:hAnsi="Tahoma" w:cs="Tahoma"/>
              </w:rPr>
              <w:t xml:space="preserve">Interest would only be limited for the purposes of the </w:t>
            </w:r>
            <w:r w:rsidRPr="007B7D4C">
              <w:rPr>
                <w:rFonts w:ascii="Tahoma" w:hAnsi="Tahoma" w:cs="Tahoma"/>
                <w:i/>
              </w:rPr>
              <w:t>Transfer of Land Act</w:t>
            </w:r>
            <w:r w:rsidR="0096516B">
              <w:rPr>
                <w:rFonts w:ascii="Tahoma" w:hAnsi="Tahoma" w:cs="Tahoma"/>
              </w:rPr>
              <w:t xml:space="preserve">.  </w:t>
            </w:r>
            <w:r>
              <w:rPr>
                <w:rFonts w:ascii="Tahoma" w:hAnsi="Tahoma" w:cs="Tahoma"/>
              </w:rPr>
              <w:t>This would mean the mortgagee could not claim interest above the market rate against the legitimate registered proprietor</w:t>
            </w:r>
            <w:r w:rsidR="0096516B">
              <w:rPr>
                <w:rFonts w:ascii="Tahoma" w:hAnsi="Tahoma" w:cs="Tahoma"/>
              </w:rPr>
              <w:t xml:space="preserve">.  </w:t>
            </w:r>
            <w:r>
              <w:rPr>
                <w:rFonts w:ascii="Tahoma" w:hAnsi="Tahoma" w:cs="Tahoma"/>
              </w:rPr>
              <w:t xml:space="preserve">The proposals would not affect a mortgagee’s ability to take action against the fraudster under other legislation or at common law. </w:t>
            </w:r>
          </w:p>
          <w:p w:rsidR="002435E4" w:rsidRDefault="002435E4" w:rsidP="00202152">
            <w:pPr>
              <w:spacing w:after="240"/>
              <w:rPr>
                <w:rFonts w:ascii="Tahoma" w:hAnsi="Tahoma" w:cs="Tahoma"/>
              </w:rPr>
            </w:pPr>
            <w:r>
              <w:rPr>
                <w:rFonts w:ascii="Tahoma" w:hAnsi="Tahoma" w:cs="Tahoma"/>
              </w:rPr>
              <w:t>Land Victoria does not see any constitutional implications</w:t>
            </w:r>
            <w:r w:rsidR="0096516B">
              <w:rPr>
                <w:rFonts w:ascii="Tahoma" w:hAnsi="Tahoma" w:cs="Tahoma"/>
              </w:rPr>
              <w:t xml:space="preserve">.  </w:t>
            </w:r>
          </w:p>
        </w:tc>
      </w:tr>
      <w:tr w:rsidR="002435E4" w:rsidTr="000807EF">
        <w:tc>
          <w:tcPr>
            <w:tcW w:w="4819" w:type="dxa"/>
          </w:tcPr>
          <w:p w:rsidR="002435E4" w:rsidRDefault="00201355" w:rsidP="00202152">
            <w:pPr>
              <w:spacing w:after="240"/>
              <w:rPr>
                <w:rFonts w:ascii="Tahoma" w:hAnsi="Tahoma" w:cs="Tahoma"/>
              </w:rPr>
            </w:pPr>
            <w:r>
              <w:rPr>
                <w:rFonts w:ascii="Tahoma" w:hAnsi="Tahoma" w:cs="Tahoma"/>
              </w:rPr>
              <w:lastRenderedPageBreak/>
              <w:t>T</w:t>
            </w:r>
            <w:r w:rsidR="002435E4">
              <w:rPr>
                <w:rFonts w:ascii="Tahoma" w:hAnsi="Tahoma" w:cs="Tahoma"/>
              </w:rPr>
              <w:t>he RBA official cash rate</w:t>
            </w:r>
            <w:r>
              <w:rPr>
                <w:rFonts w:ascii="Tahoma" w:hAnsi="Tahoma" w:cs="Tahoma"/>
              </w:rPr>
              <w:t xml:space="preserve"> should be used</w:t>
            </w:r>
            <w:r w:rsidR="00490A7F">
              <w:rPr>
                <w:rFonts w:ascii="Tahoma" w:hAnsi="Tahoma" w:cs="Tahoma"/>
              </w:rPr>
              <w:t xml:space="preserve">.  </w:t>
            </w:r>
          </w:p>
        </w:tc>
        <w:tc>
          <w:tcPr>
            <w:tcW w:w="4819" w:type="dxa"/>
          </w:tcPr>
          <w:p w:rsidR="002435E4" w:rsidRDefault="002435E4" w:rsidP="00202152">
            <w:pPr>
              <w:spacing w:after="240"/>
              <w:rPr>
                <w:rFonts w:ascii="Tahoma" w:hAnsi="Tahoma" w:cs="Tahoma"/>
              </w:rPr>
            </w:pPr>
            <w:r>
              <w:rPr>
                <w:rFonts w:ascii="Tahoma" w:hAnsi="Tahoma" w:cs="Tahoma"/>
              </w:rPr>
              <w:t>Upon consideration, Land Victoria regards the Banks Accepted Bills rate as the best means of measuring an appropriate level of interest</w:t>
            </w:r>
            <w:r w:rsidR="00201355">
              <w:rPr>
                <w:rFonts w:ascii="Tahoma" w:hAnsi="Tahoma" w:cs="Tahoma"/>
              </w:rPr>
              <w:t>,</w:t>
            </w:r>
            <w:r>
              <w:rPr>
                <w:rFonts w:ascii="Tahoma" w:hAnsi="Tahoma" w:cs="Tahoma"/>
              </w:rPr>
              <w:t xml:space="preserve"> as this measure is already used in Victorian legislation</w:t>
            </w:r>
            <w:r w:rsidR="00490A7F">
              <w:rPr>
                <w:rFonts w:ascii="Tahoma" w:hAnsi="Tahoma" w:cs="Tahoma"/>
              </w:rPr>
              <w:t xml:space="preserve">.  </w:t>
            </w:r>
          </w:p>
        </w:tc>
      </w:tr>
      <w:tr w:rsidR="002435E4" w:rsidTr="000807EF">
        <w:tc>
          <w:tcPr>
            <w:tcW w:w="4819" w:type="dxa"/>
          </w:tcPr>
          <w:p w:rsidR="002435E4" w:rsidRDefault="00277B6F" w:rsidP="00202152">
            <w:pPr>
              <w:spacing w:after="240"/>
              <w:rPr>
                <w:rFonts w:ascii="Tahoma" w:hAnsi="Tahoma" w:cs="Tahoma"/>
              </w:rPr>
            </w:pPr>
            <w:r>
              <w:rPr>
                <w:rFonts w:ascii="Tahoma" w:hAnsi="Tahoma" w:cs="Tahoma"/>
              </w:rPr>
              <w:t>I</w:t>
            </w:r>
            <w:r w:rsidR="002435E4">
              <w:rPr>
                <w:rFonts w:ascii="Tahoma" w:hAnsi="Tahoma" w:cs="Tahoma"/>
              </w:rPr>
              <w:t xml:space="preserve">t </w:t>
            </w:r>
            <w:r>
              <w:rPr>
                <w:rFonts w:ascii="Tahoma" w:hAnsi="Tahoma" w:cs="Tahoma"/>
              </w:rPr>
              <w:t xml:space="preserve">is </w:t>
            </w:r>
            <w:r w:rsidR="002435E4">
              <w:rPr>
                <w:rFonts w:ascii="Tahoma" w:hAnsi="Tahoma" w:cs="Tahoma"/>
              </w:rPr>
              <w:t xml:space="preserve">unreasonable to penalise a financier that has not contributed to a fraud. </w:t>
            </w:r>
          </w:p>
        </w:tc>
        <w:tc>
          <w:tcPr>
            <w:tcW w:w="4819" w:type="dxa"/>
          </w:tcPr>
          <w:p w:rsidR="002435E4" w:rsidRDefault="002435E4" w:rsidP="00202152">
            <w:pPr>
              <w:spacing w:after="240"/>
              <w:rPr>
                <w:rFonts w:ascii="Tahoma" w:hAnsi="Tahoma" w:cs="Tahoma"/>
              </w:rPr>
            </w:pPr>
            <w:r>
              <w:rPr>
                <w:rFonts w:ascii="Tahoma" w:hAnsi="Tahoma" w:cs="Tahoma"/>
              </w:rPr>
              <w:t xml:space="preserve">Land Victoria disagrees with this position and believes that the </w:t>
            </w:r>
            <w:r w:rsidR="00277B6F">
              <w:rPr>
                <w:rFonts w:ascii="Tahoma" w:hAnsi="Tahoma" w:cs="Tahoma"/>
              </w:rPr>
              <w:t>State</w:t>
            </w:r>
            <w:r>
              <w:rPr>
                <w:rFonts w:ascii="Tahoma" w:hAnsi="Tahoma" w:cs="Tahoma"/>
              </w:rPr>
              <w:t xml:space="preserve"> should not have to pay compensation </w:t>
            </w:r>
            <w:r w:rsidR="00AF25E8">
              <w:rPr>
                <w:rFonts w:ascii="Tahoma" w:hAnsi="Tahoma" w:cs="Tahoma"/>
              </w:rPr>
              <w:t xml:space="preserve">from public funds </w:t>
            </w:r>
            <w:r>
              <w:rPr>
                <w:rFonts w:ascii="Tahoma" w:hAnsi="Tahoma" w:cs="Tahoma"/>
              </w:rPr>
              <w:t>when a mortgagee did not adequately verify identity or when the interest rate in a fraudulent mortgage is greater than a reasonable market rate</w:t>
            </w:r>
            <w:r w:rsidR="00490A7F">
              <w:rPr>
                <w:rFonts w:ascii="Tahoma" w:hAnsi="Tahoma" w:cs="Tahoma"/>
              </w:rPr>
              <w:t xml:space="preserve">.  </w:t>
            </w:r>
          </w:p>
        </w:tc>
      </w:tr>
      <w:tr w:rsidR="002435E4" w:rsidTr="000807EF">
        <w:tc>
          <w:tcPr>
            <w:tcW w:w="4819" w:type="dxa"/>
          </w:tcPr>
          <w:p w:rsidR="002435E4" w:rsidRDefault="002435E4" w:rsidP="00202152">
            <w:pPr>
              <w:spacing w:after="240"/>
              <w:rPr>
                <w:rFonts w:ascii="Tahoma" w:hAnsi="Tahoma" w:cs="Tahoma"/>
              </w:rPr>
            </w:pPr>
            <w:r>
              <w:rPr>
                <w:rFonts w:ascii="Tahoma" w:hAnsi="Tahoma" w:cs="Tahoma"/>
              </w:rPr>
              <w:t xml:space="preserve">Both the RBA and Bank Accepted Bill rates are not workable as means of setting a rate of interest. </w:t>
            </w:r>
            <w:r w:rsidR="00277B6F">
              <w:rPr>
                <w:rFonts w:ascii="Tahoma" w:hAnsi="Tahoma" w:cs="Tahoma"/>
              </w:rPr>
              <w:t xml:space="preserve"> T</w:t>
            </w:r>
            <w:r>
              <w:rPr>
                <w:rFonts w:ascii="Tahoma" w:hAnsi="Tahoma" w:cs="Tahoma"/>
              </w:rPr>
              <w:t>he rate fixed by the Victorian Attorney</w:t>
            </w:r>
            <w:r w:rsidR="00277B6F">
              <w:rPr>
                <w:rFonts w:ascii="Tahoma" w:hAnsi="Tahoma" w:cs="Tahoma"/>
              </w:rPr>
              <w:t>-</w:t>
            </w:r>
            <w:r>
              <w:rPr>
                <w:rFonts w:ascii="Tahoma" w:hAnsi="Tahoma" w:cs="Tahoma"/>
              </w:rPr>
              <w:t xml:space="preserve">General under the </w:t>
            </w:r>
            <w:r w:rsidRPr="00E64720">
              <w:rPr>
                <w:rFonts w:ascii="Tahoma" w:hAnsi="Tahoma" w:cs="Tahoma"/>
                <w:i/>
              </w:rPr>
              <w:t>Penalty Interest Rates Act 1983</w:t>
            </w:r>
            <w:r>
              <w:rPr>
                <w:rFonts w:ascii="Tahoma" w:hAnsi="Tahoma" w:cs="Tahoma"/>
              </w:rPr>
              <w:t xml:space="preserve"> </w:t>
            </w:r>
            <w:r w:rsidR="00277B6F">
              <w:rPr>
                <w:rFonts w:ascii="Tahoma" w:hAnsi="Tahoma" w:cs="Tahoma"/>
              </w:rPr>
              <w:t>should be used</w:t>
            </w:r>
            <w:r>
              <w:rPr>
                <w:rFonts w:ascii="Tahoma" w:hAnsi="Tahoma" w:cs="Tahoma"/>
              </w:rPr>
              <w:t xml:space="preserve">.  </w:t>
            </w:r>
          </w:p>
        </w:tc>
        <w:tc>
          <w:tcPr>
            <w:tcW w:w="4819" w:type="dxa"/>
          </w:tcPr>
          <w:p w:rsidR="002435E4" w:rsidRDefault="002435E4" w:rsidP="00202152">
            <w:pPr>
              <w:spacing w:after="240"/>
              <w:rPr>
                <w:rFonts w:ascii="Tahoma" w:hAnsi="Tahoma" w:cs="Tahoma"/>
              </w:rPr>
            </w:pPr>
            <w:r>
              <w:rPr>
                <w:rFonts w:ascii="Tahoma" w:hAnsi="Tahoma" w:cs="Tahoma"/>
              </w:rPr>
              <w:t>The rate fixed by the Victorian Attorney</w:t>
            </w:r>
            <w:r w:rsidR="00277B6F">
              <w:rPr>
                <w:rFonts w:ascii="Tahoma" w:hAnsi="Tahoma" w:cs="Tahoma"/>
              </w:rPr>
              <w:t>-</w:t>
            </w:r>
            <w:r>
              <w:rPr>
                <w:rFonts w:ascii="Tahoma" w:hAnsi="Tahoma" w:cs="Tahoma"/>
              </w:rPr>
              <w:t>General is used for legal proceedings and is not considered a suitable rate for mortgages</w:t>
            </w:r>
            <w:r w:rsidR="0096516B">
              <w:rPr>
                <w:rFonts w:ascii="Tahoma" w:hAnsi="Tahoma" w:cs="Tahoma"/>
              </w:rPr>
              <w:t xml:space="preserve">.  </w:t>
            </w:r>
            <w:r>
              <w:rPr>
                <w:rFonts w:ascii="Tahoma" w:hAnsi="Tahoma" w:cs="Tahoma"/>
              </w:rPr>
              <w:t>Land Victori</w:t>
            </w:r>
            <w:r w:rsidR="007B7D4C">
              <w:rPr>
                <w:rFonts w:ascii="Tahoma" w:hAnsi="Tahoma" w:cs="Tahoma"/>
              </w:rPr>
              <w:t>a believes the Bank Accepted Bil</w:t>
            </w:r>
            <w:r>
              <w:rPr>
                <w:rFonts w:ascii="Tahoma" w:hAnsi="Tahoma" w:cs="Tahoma"/>
              </w:rPr>
              <w:t xml:space="preserve">ls rate is a workable measure as it is already used in Victorian legislation.  </w:t>
            </w:r>
          </w:p>
        </w:tc>
      </w:tr>
    </w:tbl>
    <w:p w:rsidR="00F62A27" w:rsidRDefault="00F62A27" w:rsidP="00C01A9C">
      <w:pPr>
        <w:spacing w:after="120" w:line="240" w:lineRule="auto"/>
        <w:rPr>
          <w:rFonts w:ascii="Tahoma" w:hAnsi="Tahoma" w:cs="Tahoma"/>
        </w:rPr>
      </w:pPr>
    </w:p>
    <w:p w:rsidR="008F6E10" w:rsidRDefault="008F6E10" w:rsidP="00C01A9C">
      <w:pPr>
        <w:spacing w:after="120" w:line="240" w:lineRule="auto"/>
        <w:rPr>
          <w:rFonts w:ascii="Tahoma" w:hAnsi="Tahoma" w:cs="Tahoma"/>
        </w:rPr>
      </w:pPr>
    </w:p>
    <w:p w:rsidR="007D0DA7" w:rsidRPr="00A40C4B" w:rsidRDefault="007D0DA7" w:rsidP="007D0DA7">
      <w:pPr>
        <w:spacing w:after="240" w:line="240" w:lineRule="auto"/>
        <w:rPr>
          <w:rFonts w:ascii="Tahoma" w:eastAsia="Calibri" w:hAnsi="Tahoma" w:cs="Tahoma"/>
          <w:b/>
          <w:sz w:val="24"/>
          <w:szCs w:val="24"/>
        </w:rPr>
      </w:pPr>
      <w:r>
        <w:rPr>
          <w:rFonts w:ascii="Tahoma" w:eastAsia="Calibri" w:hAnsi="Tahoma" w:cs="Tahoma"/>
          <w:b/>
          <w:sz w:val="24"/>
          <w:szCs w:val="24"/>
        </w:rPr>
        <w:t>Conclusion</w:t>
      </w:r>
    </w:p>
    <w:p w:rsidR="004577B6" w:rsidRPr="004577B6" w:rsidRDefault="007D0DA7" w:rsidP="007209C1">
      <w:pPr>
        <w:numPr>
          <w:ilvl w:val="0"/>
          <w:numId w:val="3"/>
        </w:numPr>
        <w:tabs>
          <w:tab w:val="clear" w:pos="360"/>
        </w:tabs>
        <w:spacing w:after="120" w:line="240" w:lineRule="auto"/>
        <w:ind w:left="567" w:hanging="567"/>
        <w:rPr>
          <w:rFonts w:ascii="Tahoma" w:hAnsi="Tahoma" w:cs="Tahoma"/>
        </w:rPr>
      </w:pPr>
      <w:r w:rsidRPr="000128AB">
        <w:rPr>
          <w:rFonts w:ascii="Tahoma" w:eastAsia="Calibri" w:hAnsi="Tahoma" w:cs="Tahoma"/>
        </w:rPr>
        <w:t>Based upon the comments received and further discussion at the national level</w:t>
      </w:r>
      <w:r w:rsidR="000128AB" w:rsidRPr="000128AB">
        <w:rPr>
          <w:rFonts w:ascii="Tahoma" w:eastAsia="Calibri" w:hAnsi="Tahoma" w:cs="Tahoma"/>
        </w:rPr>
        <w:t xml:space="preserve">, Land Victoria </w:t>
      </w:r>
      <w:r w:rsidRPr="000128AB">
        <w:rPr>
          <w:rFonts w:ascii="Tahoma" w:eastAsia="Calibri" w:hAnsi="Tahoma" w:cs="Tahoma"/>
        </w:rPr>
        <w:t>intend</w:t>
      </w:r>
      <w:r w:rsidR="000128AB" w:rsidRPr="000128AB">
        <w:rPr>
          <w:rFonts w:ascii="Tahoma" w:eastAsia="Calibri" w:hAnsi="Tahoma" w:cs="Tahoma"/>
        </w:rPr>
        <w:t>s</w:t>
      </w:r>
      <w:r w:rsidRPr="000128AB">
        <w:rPr>
          <w:rFonts w:ascii="Tahoma" w:eastAsia="Calibri" w:hAnsi="Tahoma" w:cs="Tahoma"/>
        </w:rPr>
        <w:t xml:space="preserve"> to proceed </w:t>
      </w:r>
      <w:r w:rsidR="00AF25E8">
        <w:rPr>
          <w:rFonts w:ascii="Tahoma" w:eastAsia="Calibri" w:hAnsi="Tahoma" w:cs="Tahoma"/>
        </w:rPr>
        <w:t xml:space="preserve">with the development of </w:t>
      </w:r>
      <w:r w:rsidRPr="000128AB">
        <w:rPr>
          <w:rFonts w:ascii="Tahoma" w:eastAsia="Calibri" w:hAnsi="Tahoma" w:cs="Tahoma"/>
        </w:rPr>
        <w:t>the proposals</w:t>
      </w:r>
      <w:r w:rsidR="009E6B04">
        <w:rPr>
          <w:rFonts w:ascii="Tahoma" w:eastAsia="Calibri" w:hAnsi="Tahoma" w:cs="Tahoma"/>
        </w:rPr>
        <w:t xml:space="preserve"> in the Consultation Paper</w:t>
      </w:r>
      <w:r w:rsidR="000128AB">
        <w:rPr>
          <w:rFonts w:ascii="Tahoma" w:eastAsia="Calibri" w:hAnsi="Tahoma" w:cs="Tahoma"/>
        </w:rPr>
        <w:t xml:space="preserve">. </w:t>
      </w:r>
      <w:r w:rsidR="00323F30">
        <w:rPr>
          <w:rFonts w:ascii="Tahoma" w:eastAsia="Calibri" w:hAnsi="Tahoma" w:cs="Tahoma"/>
        </w:rPr>
        <w:t xml:space="preserve"> </w:t>
      </w:r>
    </w:p>
    <w:p w:rsidR="000363D6" w:rsidRPr="000128AB" w:rsidRDefault="00323F30" w:rsidP="007209C1">
      <w:pPr>
        <w:numPr>
          <w:ilvl w:val="0"/>
          <w:numId w:val="3"/>
        </w:numPr>
        <w:tabs>
          <w:tab w:val="clear" w:pos="360"/>
        </w:tabs>
        <w:spacing w:after="120" w:line="240" w:lineRule="auto"/>
        <w:ind w:left="567" w:hanging="567"/>
        <w:rPr>
          <w:rFonts w:ascii="Tahoma" w:hAnsi="Tahoma" w:cs="Tahoma"/>
        </w:rPr>
      </w:pPr>
      <w:r>
        <w:rPr>
          <w:rFonts w:ascii="Tahoma" w:hAnsi="Tahoma" w:cs="Tahoma"/>
        </w:rPr>
        <w:t xml:space="preserve">Land Victoria will consult further with industry on implementation issues raised in the feedback prior to the proposals being implemented. </w:t>
      </w:r>
      <w:r w:rsidRPr="00570BBC">
        <w:rPr>
          <w:rFonts w:ascii="Tahoma" w:hAnsi="Tahoma" w:cs="Tahoma"/>
        </w:rPr>
        <w:t xml:space="preserve"> </w:t>
      </w:r>
    </w:p>
    <w:sectPr w:rsidR="000363D6" w:rsidRPr="000128AB" w:rsidSect="00EA0D04">
      <w:footerReference w:type="default" r:id="rId13"/>
      <w:pgSz w:w="11906" w:h="16838"/>
      <w:pgMar w:top="1440" w:right="1440" w:bottom="1440" w:left="1440" w:header="708"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16B" w:rsidRDefault="0096516B" w:rsidP="00FE0BF0">
      <w:pPr>
        <w:spacing w:after="0" w:line="240" w:lineRule="auto"/>
      </w:pPr>
      <w:r>
        <w:separator/>
      </w:r>
    </w:p>
  </w:endnote>
  <w:endnote w:type="continuationSeparator" w:id="0">
    <w:p w:rsidR="0096516B" w:rsidRDefault="0096516B" w:rsidP="00FE0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D04" w:rsidRDefault="00EA0D04">
    <w:pPr>
      <w:pStyle w:val="Footer"/>
      <w:jc w:val="center"/>
      <w:rPr>
        <w:b/>
        <w:bCs/>
        <w:sz w:val="24"/>
        <w:szCs w:val="24"/>
      </w:rPr>
    </w:pPr>
    <w:r>
      <w:rPr>
        <w:noProof/>
        <w:lang w:eastAsia="en-AU"/>
      </w:rPr>
      <w:drawing>
        <wp:anchor distT="0" distB="0" distL="114300" distR="114300" simplePos="0" relativeHeight="251659264" behindDoc="0" locked="0" layoutInCell="1" allowOverlap="1" wp14:anchorId="2B5761CB" wp14:editId="524F7D44">
          <wp:simplePos x="0" y="0"/>
          <wp:positionH relativeFrom="column">
            <wp:posOffset>5509260</wp:posOffset>
          </wp:positionH>
          <wp:positionV relativeFrom="paragraph">
            <wp:posOffset>57785</wp:posOffset>
          </wp:positionV>
          <wp:extent cx="762000" cy="435610"/>
          <wp:effectExtent l="0" t="0" r="0" b="2540"/>
          <wp:wrapTight wrapText="bothSides">
            <wp:wrapPolygon edited="0">
              <wp:start x="0" y="0"/>
              <wp:lineTo x="0" y="20781"/>
              <wp:lineTo x="21060" y="20781"/>
              <wp:lineTo x="21060" y="0"/>
              <wp:lineTo x="0" y="0"/>
            </wp:wrapPolygon>
          </wp:wrapTight>
          <wp:docPr id="1" name="Picture 11" descr="State Gov 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ate Gov Logo_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43561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sz w:val="24"/>
        <w:szCs w:val="24"/>
      </w:rPr>
      <w:fldChar w:fldCharType="begin"/>
    </w:r>
    <w:r>
      <w:rPr>
        <w:b/>
        <w:bCs/>
      </w:rPr>
      <w:instrText xml:space="preserve"> PAGE </w:instrText>
    </w:r>
    <w:r>
      <w:rPr>
        <w:b/>
        <w:bCs/>
        <w:sz w:val="24"/>
        <w:szCs w:val="24"/>
      </w:rPr>
      <w:fldChar w:fldCharType="separate"/>
    </w:r>
    <w:r>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63D80">
      <w:rPr>
        <w:b/>
        <w:bCs/>
        <w:noProof/>
      </w:rPr>
      <w:t>20</w:t>
    </w:r>
    <w:r>
      <w:rPr>
        <w:b/>
        <w:bCs/>
        <w:sz w:val="24"/>
        <w:szCs w:val="24"/>
      </w:rPr>
      <w:fldChar w:fldCharType="end"/>
    </w:r>
  </w:p>
  <w:p w:rsidR="00EA0D04" w:rsidRPr="00133F06" w:rsidRDefault="00EA0D04" w:rsidP="00965E6E">
    <w:pPr>
      <w:pStyle w:val="footerinfo"/>
      <w:rPr>
        <w:sz w:val="16"/>
        <w:szCs w:val="16"/>
      </w:rPr>
    </w:pPr>
    <w:r>
      <w:rPr>
        <w:sz w:val="16"/>
        <w:szCs w:val="16"/>
      </w:rPr>
      <w:t>Ref: Aligning paper and electronic conveyancing requirements</w:t>
    </w:r>
  </w:p>
  <w:p w:rsidR="00EA0D04" w:rsidRDefault="00EA0D04" w:rsidP="009E692C">
    <w:pPr>
      <w:pStyle w:val="Footer"/>
      <w:tabs>
        <w:tab w:val="left" w:pos="5609"/>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D04" w:rsidRDefault="00EA0D04" w:rsidP="00EA0D04">
    <w:pPr>
      <w:pStyle w:val="Footer"/>
      <w:jc w:val="center"/>
    </w:pPr>
    <w:r>
      <w:rPr>
        <w:noProof/>
        <w:lang w:eastAsia="en-AU"/>
      </w:rPr>
      <w:drawing>
        <wp:anchor distT="0" distB="0" distL="114300" distR="114300" simplePos="0" relativeHeight="251660288" behindDoc="0" locked="0" layoutInCell="1" allowOverlap="1" wp14:anchorId="22A2F042" wp14:editId="5FE7C68D">
          <wp:simplePos x="0" y="0"/>
          <wp:positionH relativeFrom="column">
            <wp:posOffset>5363210</wp:posOffset>
          </wp:positionH>
          <wp:positionV relativeFrom="paragraph">
            <wp:posOffset>-380365</wp:posOffset>
          </wp:positionV>
          <wp:extent cx="762000" cy="435610"/>
          <wp:effectExtent l="0" t="0" r="0" b="2540"/>
          <wp:wrapTight wrapText="bothSides">
            <wp:wrapPolygon edited="0">
              <wp:start x="0" y="0"/>
              <wp:lineTo x="0" y="20781"/>
              <wp:lineTo x="21060" y="20781"/>
              <wp:lineTo x="21060" y="0"/>
              <wp:lineTo x="0" y="0"/>
            </wp:wrapPolygon>
          </wp:wrapTight>
          <wp:docPr id="10" name="Picture 11" descr="State Gov 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ate Gov Logo_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4356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16B" w:rsidRPr="006E6718" w:rsidRDefault="0096516B" w:rsidP="006E6718">
    <w:pPr>
      <w:pStyle w:val="Footer"/>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D04" w:rsidRPr="00FE0BF0" w:rsidRDefault="00EA0D04" w:rsidP="00FE0BF0">
    <w:pPr>
      <w:pStyle w:val="Footer"/>
      <w:jc w:val="right"/>
      <w:rPr>
        <w:rFonts w:ascii="Tahoma" w:hAnsi="Tahoma" w:cs="Tahoma"/>
        <w:sz w:val="16"/>
        <w:szCs w:val="16"/>
      </w:rPr>
    </w:pPr>
    <w:r w:rsidRPr="00FE0BF0">
      <w:rPr>
        <w:rFonts w:ascii="Tahoma" w:hAnsi="Tahoma" w:cs="Tahoma"/>
        <w:sz w:val="16"/>
        <w:szCs w:val="16"/>
      </w:rPr>
      <w:t xml:space="preserve">Page </w:t>
    </w:r>
    <w:r w:rsidRPr="00FE0BF0">
      <w:rPr>
        <w:rFonts w:ascii="Tahoma" w:hAnsi="Tahoma" w:cs="Tahoma"/>
        <w:sz w:val="16"/>
        <w:szCs w:val="16"/>
      </w:rPr>
      <w:fldChar w:fldCharType="begin"/>
    </w:r>
    <w:r w:rsidRPr="00FE0BF0">
      <w:rPr>
        <w:rFonts w:ascii="Tahoma" w:hAnsi="Tahoma" w:cs="Tahoma"/>
        <w:sz w:val="16"/>
        <w:szCs w:val="16"/>
      </w:rPr>
      <w:instrText xml:space="preserve"> PAGE   \* MERGEFORMAT </w:instrText>
    </w:r>
    <w:r w:rsidRPr="00FE0BF0">
      <w:rPr>
        <w:rFonts w:ascii="Tahoma" w:hAnsi="Tahoma" w:cs="Tahoma"/>
        <w:sz w:val="16"/>
        <w:szCs w:val="16"/>
      </w:rPr>
      <w:fldChar w:fldCharType="separate"/>
    </w:r>
    <w:r w:rsidR="00B63D80">
      <w:rPr>
        <w:rFonts w:ascii="Tahoma" w:hAnsi="Tahoma" w:cs="Tahoma"/>
        <w:noProof/>
        <w:sz w:val="16"/>
        <w:szCs w:val="16"/>
      </w:rPr>
      <w:t>18</w:t>
    </w:r>
    <w:r w:rsidRPr="00FE0BF0">
      <w:rPr>
        <w:rFonts w:ascii="Tahoma" w:hAnsi="Tahoma" w:cs="Tahoma"/>
        <w:sz w:val="16"/>
        <w:szCs w:val="16"/>
      </w:rPr>
      <w:fldChar w:fldCharType="end"/>
    </w:r>
    <w:r w:rsidRPr="00FE0BF0">
      <w:rPr>
        <w:rFonts w:ascii="Tahoma" w:hAnsi="Tahoma" w:cs="Tahoma"/>
        <w:sz w:val="16"/>
        <w:szCs w:val="16"/>
      </w:rPr>
      <w:t xml:space="preserve"> of </w:t>
    </w:r>
    <w:r>
      <w:rPr>
        <w:rFonts w:ascii="Tahoma" w:hAnsi="Tahoma" w:cs="Tahoma"/>
        <w:sz w:val="16"/>
        <w:szCs w:val="16"/>
      </w:rPr>
      <w:t>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16B" w:rsidRDefault="0096516B" w:rsidP="00FE0BF0">
      <w:pPr>
        <w:spacing w:after="0" w:line="240" w:lineRule="auto"/>
      </w:pPr>
      <w:r>
        <w:separator/>
      </w:r>
    </w:p>
  </w:footnote>
  <w:footnote w:type="continuationSeparator" w:id="0">
    <w:p w:rsidR="0096516B" w:rsidRDefault="0096516B" w:rsidP="00FE0B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D04" w:rsidRDefault="00EA0D04" w:rsidP="00353D57">
    <w:pPr>
      <w:pStyle w:val="Header"/>
      <w:jc w:val="right"/>
    </w:pPr>
    <w:r w:rsidRPr="003C2AAF">
      <w:rPr>
        <w:b/>
      </w:rPr>
      <w:t>Department of Transport</w:t>
    </w:r>
    <w:r>
      <w:rPr>
        <w:b/>
      </w:rPr>
      <w:t>, Planning and Local Infrastructure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6C14"/>
    <w:multiLevelType w:val="hybridMultilevel"/>
    <w:tmpl w:val="0DC8F7EC"/>
    <w:lvl w:ilvl="0" w:tplc="0C09000F">
      <w:start w:val="1"/>
      <w:numFmt w:val="decimal"/>
      <w:lvlText w:val="%1."/>
      <w:lvlJc w:val="left"/>
      <w:pPr>
        <w:tabs>
          <w:tab w:val="num" w:pos="360"/>
        </w:tabs>
        <w:ind w:left="360" w:hanging="360"/>
      </w:p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nsid w:val="0F851D32"/>
    <w:multiLevelType w:val="hybridMultilevel"/>
    <w:tmpl w:val="586695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4F33F84"/>
    <w:multiLevelType w:val="hybridMultilevel"/>
    <w:tmpl w:val="BFCC9DB6"/>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nsid w:val="2CF43C90"/>
    <w:multiLevelType w:val="hybridMultilevel"/>
    <w:tmpl w:val="5EDA5A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B3F2E41"/>
    <w:multiLevelType w:val="hybridMultilevel"/>
    <w:tmpl w:val="3DB490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4267274C"/>
    <w:multiLevelType w:val="hybridMultilevel"/>
    <w:tmpl w:val="A296CC3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45953AAB"/>
    <w:multiLevelType w:val="hybridMultilevel"/>
    <w:tmpl w:val="CD1419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24D0DC9"/>
    <w:multiLevelType w:val="hybridMultilevel"/>
    <w:tmpl w:val="2D08EC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5573748"/>
    <w:multiLevelType w:val="hybridMultilevel"/>
    <w:tmpl w:val="F40ACA78"/>
    <w:lvl w:ilvl="0" w:tplc="0C090001">
      <w:start w:val="1"/>
      <w:numFmt w:val="bullet"/>
      <w:lvlText w:val=""/>
      <w:lvlJc w:val="left"/>
      <w:pPr>
        <w:tabs>
          <w:tab w:val="num" w:pos="927"/>
        </w:tabs>
        <w:ind w:left="927" w:hanging="360"/>
      </w:pPr>
      <w:rPr>
        <w:rFonts w:ascii="Symbol" w:hAnsi="Symbol" w:hint="default"/>
      </w:rPr>
    </w:lvl>
    <w:lvl w:ilvl="1" w:tplc="0C090001">
      <w:start w:val="1"/>
      <w:numFmt w:val="bullet"/>
      <w:lvlText w:val=""/>
      <w:lvlJc w:val="left"/>
      <w:pPr>
        <w:tabs>
          <w:tab w:val="num" w:pos="2007"/>
        </w:tabs>
        <w:ind w:left="2007" w:hanging="360"/>
      </w:pPr>
      <w:rPr>
        <w:rFonts w:ascii="Symbol" w:hAnsi="Symbol" w:hint="default"/>
      </w:rPr>
    </w:lvl>
    <w:lvl w:ilvl="2" w:tplc="0C09001B" w:tentative="1">
      <w:start w:val="1"/>
      <w:numFmt w:val="lowerRoman"/>
      <w:lvlText w:val="%3."/>
      <w:lvlJc w:val="right"/>
      <w:pPr>
        <w:tabs>
          <w:tab w:val="num" w:pos="2727"/>
        </w:tabs>
        <w:ind w:left="2727" w:hanging="180"/>
      </w:pPr>
    </w:lvl>
    <w:lvl w:ilvl="3" w:tplc="0C09000F" w:tentative="1">
      <w:start w:val="1"/>
      <w:numFmt w:val="decimal"/>
      <w:lvlText w:val="%4."/>
      <w:lvlJc w:val="left"/>
      <w:pPr>
        <w:tabs>
          <w:tab w:val="num" w:pos="3447"/>
        </w:tabs>
        <w:ind w:left="3447" w:hanging="360"/>
      </w:pPr>
    </w:lvl>
    <w:lvl w:ilvl="4" w:tplc="0C090019" w:tentative="1">
      <w:start w:val="1"/>
      <w:numFmt w:val="lowerLetter"/>
      <w:lvlText w:val="%5."/>
      <w:lvlJc w:val="left"/>
      <w:pPr>
        <w:tabs>
          <w:tab w:val="num" w:pos="4167"/>
        </w:tabs>
        <w:ind w:left="4167" w:hanging="360"/>
      </w:pPr>
    </w:lvl>
    <w:lvl w:ilvl="5" w:tplc="0C09001B" w:tentative="1">
      <w:start w:val="1"/>
      <w:numFmt w:val="lowerRoman"/>
      <w:lvlText w:val="%6."/>
      <w:lvlJc w:val="right"/>
      <w:pPr>
        <w:tabs>
          <w:tab w:val="num" w:pos="4887"/>
        </w:tabs>
        <w:ind w:left="4887" w:hanging="180"/>
      </w:pPr>
    </w:lvl>
    <w:lvl w:ilvl="6" w:tplc="0C09000F" w:tentative="1">
      <w:start w:val="1"/>
      <w:numFmt w:val="decimal"/>
      <w:lvlText w:val="%7."/>
      <w:lvlJc w:val="left"/>
      <w:pPr>
        <w:tabs>
          <w:tab w:val="num" w:pos="5607"/>
        </w:tabs>
        <w:ind w:left="5607" w:hanging="360"/>
      </w:pPr>
    </w:lvl>
    <w:lvl w:ilvl="7" w:tplc="0C090019" w:tentative="1">
      <w:start w:val="1"/>
      <w:numFmt w:val="lowerLetter"/>
      <w:lvlText w:val="%8."/>
      <w:lvlJc w:val="left"/>
      <w:pPr>
        <w:tabs>
          <w:tab w:val="num" w:pos="6327"/>
        </w:tabs>
        <w:ind w:left="6327" w:hanging="360"/>
      </w:pPr>
    </w:lvl>
    <w:lvl w:ilvl="8" w:tplc="0C09001B" w:tentative="1">
      <w:start w:val="1"/>
      <w:numFmt w:val="lowerRoman"/>
      <w:lvlText w:val="%9."/>
      <w:lvlJc w:val="right"/>
      <w:pPr>
        <w:tabs>
          <w:tab w:val="num" w:pos="7047"/>
        </w:tabs>
        <w:ind w:left="7047" w:hanging="180"/>
      </w:pPr>
    </w:lvl>
  </w:abstractNum>
  <w:abstractNum w:abstractNumId="9">
    <w:nsid w:val="741E775B"/>
    <w:multiLevelType w:val="hybridMultilevel"/>
    <w:tmpl w:val="E6D4E8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F5A7158"/>
    <w:multiLevelType w:val="hybridMultilevel"/>
    <w:tmpl w:val="15440F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6"/>
  </w:num>
  <w:num w:numId="5">
    <w:abstractNumId w:val="3"/>
  </w:num>
  <w:num w:numId="6">
    <w:abstractNumId w:val="9"/>
  </w:num>
  <w:num w:numId="7">
    <w:abstractNumId w:val="7"/>
  </w:num>
  <w:num w:numId="8">
    <w:abstractNumId w:val="2"/>
  </w:num>
  <w:num w:numId="9">
    <w:abstractNumId w:val="8"/>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6"/>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9C1"/>
    <w:rsid w:val="000052A5"/>
    <w:rsid w:val="00007DBE"/>
    <w:rsid w:val="000128AB"/>
    <w:rsid w:val="00021D09"/>
    <w:rsid w:val="0002661D"/>
    <w:rsid w:val="000363D6"/>
    <w:rsid w:val="00045AEB"/>
    <w:rsid w:val="00052347"/>
    <w:rsid w:val="0006105E"/>
    <w:rsid w:val="000744AF"/>
    <w:rsid w:val="000807EF"/>
    <w:rsid w:val="00084212"/>
    <w:rsid w:val="000A0951"/>
    <w:rsid w:val="000A66D6"/>
    <w:rsid w:val="000C4909"/>
    <w:rsid w:val="000C5B3E"/>
    <w:rsid w:val="000C757C"/>
    <w:rsid w:val="000E36A4"/>
    <w:rsid w:val="000E3A27"/>
    <w:rsid w:val="000E7900"/>
    <w:rsid w:val="000F12D8"/>
    <w:rsid w:val="00104911"/>
    <w:rsid w:val="00111CF2"/>
    <w:rsid w:val="00117227"/>
    <w:rsid w:val="00121B71"/>
    <w:rsid w:val="001248CA"/>
    <w:rsid w:val="00145B8A"/>
    <w:rsid w:val="00186032"/>
    <w:rsid w:val="00187B6B"/>
    <w:rsid w:val="00194C4B"/>
    <w:rsid w:val="00196A05"/>
    <w:rsid w:val="001B4BEE"/>
    <w:rsid w:val="001C34AA"/>
    <w:rsid w:val="001D61F3"/>
    <w:rsid w:val="001E2E5D"/>
    <w:rsid w:val="001F03BB"/>
    <w:rsid w:val="001F1B74"/>
    <w:rsid w:val="001F6B96"/>
    <w:rsid w:val="00201355"/>
    <w:rsid w:val="00202152"/>
    <w:rsid w:val="00210048"/>
    <w:rsid w:val="002147C1"/>
    <w:rsid w:val="00226B12"/>
    <w:rsid w:val="00230F7F"/>
    <w:rsid w:val="002435E4"/>
    <w:rsid w:val="002458EB"/>
    <w:rsid w:val="00246F66"/>
    <w:rsid w:val="0025399E"/>
    <w:rsid w:val="002640F7"/>
    <w:rsid w:val="00270BA0"/>
    <w:rsid w:val="0027133D"/>
    <w:rsid w:val="00277B6F"/>
    <w:rsid w:val="002A2ADB"/>
    <w:rsid w:val="002A5B97"/>
    <w:rsid w:val="002A6170"/>
    <w:rsid w:val="002B6D6F"/>
    <w:rsid w:val="002C72E2"/>
    <w:rsid w:val="002C74F8"/>
    <w:rsid w:val="002E1215"/>
    <w:rsid w:val="002E7542"/>
    <w:rsid w:val="003010A6"/>
    <w:rsid w:val="0030751D"/>
    <w:rsid w:val="00322A5E"/>
    <w:rsid w:val="00323F30"/>
    <w:rsid w:val="00324160"/>
    <w:rsid w:val="00332DDF"/>
    <w:rsid w:val="00366C8B"/>
    <w:rsid w:val="00366E21"/>
    <w:rsid w:val="00381BCA"/>
    <w:rsid w:val="00383791"/>
    <w:rsid w:val="00393961"/>
    <w:rsid w:val="003951F6"/>
    <w:rsid w:val="003B22F1"/>
    <w:rsid w:val="003C2BA2"/>
    <w:rsid w:val="003F19C1"/>
    <w:rsid w:val="003F4577"/>
    <w:rsid w:val="003F697B"/>
    <w:rsid w:val="00406626"/>
    <w:rsid w:val="004246E9"/>
    <w:rsid w:val="00425AB0"/>
    <w:rsid w:val="00426AF0"/>
    <w:rsid w:val="00432DA2"/>
    <w:rsid w:val="00433407"/>
    <w:rsid w:val="004577B6"/>
    <w:rsid w:val="0047584A"/>
    <w:rsid w:val="00490A7F"/>
    <w:rsid w:val="00492050"/>
    <w:rsid w:val="004A216E"/>
    <w:rsid w:val="004A30ED"/>
    <w:rsid w:val="004A3763"/>
    <w:rsid w:val="004B1B15"/>
    <w:rsid w:val="004D311E"/>
    <w:rsid w:val="004D7CFA"/>
    <w:rsid w:val="004E2E4A"/>
    <w:rsid w:val="004E579B"/>
    <w:rsid w:val="004F1EDA"/>
    <w:rsid w:val="00506DCD"/>
    <w:rsid w:val="00510C26"/>
    <w:rsid w:val="005115F6"/>
    <w:rsid w:val="005169CF"/>
    <w:rsid w:val="00516C78"/>
    <w:rsid w:val="00551C05"/>
    <w:rsid w:val="00554F9A"/>
    <w:rsid w:val="00570BBC"/>
    <w:rsid w:val="0057143F"/>
    <w:rsid w:val="00581765"/>
    <w:rsid w:val="00583634"/>
    <w:rsid w:val="00584DFF"/>
    <w:rsid w:val="00586868"/>
    <w:rsid w:val="005B23F2"/>
    <w:rsid w:val="005E41AF"/>
    <w:rsid w:val="005F21FA"/>
    <w:rsid w:val="005F41D8"/>
    <w:rsid w:val="005F4AEF"/>
    <w:rsid w:val="0060108D"/>
    <w:rsid w:val="00604939"/>
    <w:rsid w:val="00615045"/>
    <w:rsid w:val="00621C11"/>
    <w:rsid w:val="006450D8"/>
    <w:rsid w:val="00646357"/>
    <w:rsid w:val="006531EC"/>
    <w:rsid w:val="0068570C"/>
    <w:rsid w:val="006A3DE5"/>
    <w:rsid w:val="006A4D93"/>
    <w:rsid w:val="006C4991"/>
    <w:rsid w:val="006C7D45"/>
    <w:rsid w:val="006D0BA6"/>
    <w:rsid w:val="006D3025"/>
    <w:rsid w:val="006D6B38"/>
    <w:rsid w:val="006E6718"/>
    <w:rsid w:val="006E6BD6"/>
    <w:rsid w:val="007110C7"/>
    <w:rsid w:val="00711858"/>
    <w:rsid w:val="007161F5"/>
    <w:rsid w:val="007209C1"/>
    <w:rsid w:val="00723205"/>
    <w:rsid w:val="00723C15"/>
    <w:rsid w:val="00725AFF"/>
    <w:rsid w:val="00730E0F"/>
    <w:rsid w:val="007334F1"/>
    <w:rsid w:val="00742325"/>
    <w:rsid w:val="00742BD1"/>
    <w:rsid w:val="00742F84"/>
    <w:rsid w:val="00747F27"/>
    <w:rsid w:val="0076173E"/>
    <w:rsid w:val="00763E24"/>
    <w:rsid w:val="00764AE6"/>
    <w:rsid w:val="007670CC"/>
    <w:rsid w:val="007947AC"/>
    <w:rsid w:val="007A0347"/>
    <w:rsid w:val="007A4409"/>
    <w:rsid w:val="007B22D1"/>
    <w:rsid w:val="007B7D4C"/>
    <w:rsid w:val="007D0682"/>
    <w:rsid w:val="007D0DA7"/>
    <w:rsid w:val="007E38D7"/>
    <w:rsid w:val="007E57D0"/>
    <w:rsid w:val="007F41C5"/>
    <w:rsid w:val="007F7998"/>
    <w:rsid w:val="00817F06"/>
    <w:rsid w:val="00821EF8"/>
    <w:rsid w:val="008235C1"/>
    <w:rsid w:val="00823602"/>
    <w:rsid w:val="008239D8"/>
    <w:rsid w:val="00823C57"/>
    <w:rsid w:val="00824A87"/>
    <w:rsid w:val="00835BDE"/>
    <w:rsid w:val="0084521B"/>
    <w:rsid w:val="00857833"/>
    <w:rsid w:val="00864C41"/>
    <w:rsid w:val="0087290F"/>
    <w:rsid w:val="00873EB8"/>
    <w:rsid w:val="0088495F"/>
    <w:rsid w:val="00887FD6"/>
    <w:rsid w:val="008A490E"/>
    <w:rsid w:val="008B4DF7"/>
    <w:rsid w:val="008B7AE7"/>
    <w:rsid w:val="008C5EC8"/>
    <w:rsid w:val="008D3927"/>
    <w:rsid w:val="008D398C"/>
    <w:rsid w:val="008E2984"/>
    <w:rsid w:val="008E76A8"/>
    <w:rsid w:val="008F6E10"/>
    <w:rsid w:val="00900F26"/>
    <w:rsid w:val="00905D96"/>
    <w:rsid w:val="00912314"/>
    <w:rsid w:val="00912B68"/>
    <w:rsid w:val="00915F1E"/>
    <w:rsid w:val="00931B46"/>
    <w:rsid w:val="0093246F"/>
    <w:rsid w:val="00937884"/>
    <w:rsid w:val="00940475"/>
    <w:rsid w:val="00940F72"/>
    <w:rsid w:val="00946699"/>
    <w:rsid w:val="009611E5"/>
    <w:rsid w:val="00963578"/>
    <w:rsid w:val="00963A77"/>
    <w:rsid w:val="00964069"/>
    <w:rsid w:val="0096516B"/>
    <w:rsid w:val="00976050"/>
    <w:rsid w:val="00996A08"/>
    <w:rsid w:val="00997D41"/>
    <w:rsid w:val="009C6C86"/>
    <w:rsid w:val="009D781C"/>
    <w:rsid w:val="009E5DD8"/>
    <w:rsid w:val="009E6B04"/>
    <w:rsid w:val="009F3D8D"/>
    <w:rsid w:val="009F5B15"/>
    <w:rsid w:val="009F7173"/>
    <w:rsid w:val="00A0384F"/>
    <w:rsid w:val="00A0518E"/>
    <w:rsid w:val="00A21EB0"/>
    <w:rsid w:val="00A40C4B"/>
    <w:rsid w:val="00A61523"/>
    <w:rsid w:val="00A64BFB"/>
    <w:rsid w:val="00A73D43"/>
    <w:rsid w:val="00A86027"/>
    <w:rsid w:val="00AA7EE5"/>
    <w:rsid w:val="00AA7FE5"/>
    <w:rsid w:val="00AB3968"/>
    <w:rsid w:val="00AC02DE"/>
    <w:rsid w:val="00AC1549"/>
    <w:rsid w:val="00AC54F7"/>
    <w:rsid w:val="00AD68CE"/>
    <w:rsid w:val="00AE1BE0"/>
    <w:rsid w:val="00AE5F2F"/>
    <w:rsid w:val="00AF25E8"/>
    <w:rsid w:val="00B03021"/>
    <w:rsid w:val="00B145E7"/>
    <w:rsid w:val="00B225D1"/>
    <w:rsid w:val="00B26AA3"/>
    <w:rsid w:val="00B361E1"/>
    <w:rsid w:val="00B413DC"/>
    <w:rsid w:val="00B45E1C"/>
    <w:rsid w:val="00B5383A"/>
    <w:rsid w:val="00B626D6"/>
    <w:rsid w:val="00B63D80"/>
    <w:rsid w:val="00B70976"/>
    <w:rsid w:val="00B77181"/>
    <w:rsid w:val="00B83383"/>
    <w:rsid w:val="00B93B27"/>
    <w:rsid w:val="00BA5133"/>
    <w:rsid w:val="00BA58D7"/>
    <w:rsid w:val="00BB680E"/>
    <w:rsid w:val="00BB79B4"/>
    <w:rsid w:val="00BE2F54"/>
    <w:rsid w:val="00BE302C"/>
    <w:rsid w:val="00BF6673"/>
    <w:rsid w:val="00C01A9C"/>
    <w:rsid w:val="00C14567"/>
    <w:rsid w:val="00C1765A"/>
    <w:rsid w:val="00C56B53"/>
    <w:rsid w:val="00C76F15"/>
    <w:rsid w:val="00C774F6"/>
    <w:rsid w:val="00C80C19"/>
    <w:rsid w:val="00CA1D22"/>
    <w:rsid w:val="00CA27B4"/>
    <w:rsid w:val="00CB0412"/>
    <w:rsid w:val="00CB682D"/>
    <w:rsid w:val="00CB6D14"/>
    <w:rsid w:val="00CD2721"/>
    <w:rsid w:val="00CD3D10"/>
    <w:rsid w:val="00CD5017"/>
    <w:rsid w:val="00CE1C41"/>
    <w:rsid w:val="00CE463E"/>
    <w:rsid w:val="00CF24D0"/>
    <w:rsid w:val="00CF2D66"/>
    <w:rsid w:val="00D01127"/>
    <w:rsid w:val="00D1300D"/>
    <w:rsid w:val="00D21AA8"/>
    <w:rsid w:val="00D22187"/>
    <w:rsid w:val="00D22A46"/>
    <w:rsid w:val="00D23737"/>
    <w:rsid w:val="00D254F9"/>
    <w:rsid w:val="00D2662B"/>
    <w:rsid w:val="00D3309F"/>
    <w:rsid w:val="00D34E20"/>
    <w:rsid w:val="00D40E7F"/>
    <w:rsid w:val="00D553D4"/>
    <w:rsid w:val="00D56E63"/>
    <w:rsid w:val="00D621F4"/>
    <w:rsid w:val="00D66DA3"/>
    <w:rsid w:val="00D8695F"/>
    <w:rsid w:val="00D92DE1"/>
    <w:rsid w:val="00DA5EE8"/>
    <w:rsid w:val="00DB5F05"/>
    <w:rsid w:val="00DD35CF"/>
    <w:rsid w:val="00DD6203"/>
    <w:rsid w:val="00DE7580"/>
    <w:rsid w:val="00DF4230"/>
    <w:rsid w:val="00DF647B"/>
    <w:rsid w:val="00E26190"/>
    <w:rsid w:val="00E3196D"/>
    <w:rsid w:val="00E52307"/>
    <w:rsid w:val="00E64720"/>
    <w:rsid w:val="00E7125A"/>
    <w:rsid w:val="00E71AF6"/>
    <w:rsid w:val="00E7564A"/>
    <w:rsid w:val="00E934CA"/>
    <w:rsid w:val="00EA0D04"/>
    <w:rsid w:val="00EB07B3"/>
    <w:rsid w:val="00EB336D"/>
    <w:rsid w:val="00EC4B75"/>
    <w:rsid w:val="00EC554F"/>
    <w:rsid w:val="00ED0427"/>
    <w:rsid w:val="00ED6225"/>
    <w:rsid w:val="00ED72C0"/>
    <w:rsid w:val="00EE6503"/>
    <w:rsid w:val="00EF082A"/>
    <w:rsid w:val="00F02B00"/>
    <w:rsid w:val="00F1126C"/>
    <w:rsid w:val="00F15614"/>
    <w:rsid w:val="00F328E0"/>
    <w:rsid w:val="00F4029C"/>
    <w:rsid w:val="00F40522"/>
    <w:rsid w:val="00F4273E"/>
    <w:rsid w:val="00F43869"/>
    <w:rsid w:val="00F45892"/>
    <w:rsid w:val="00F52979"/>
    <w:rsid w:val="00F57533"/>
    <w:rsid w:val="00F6078D"/>
    <w:rsid w:val="00F62A27"/>
    <w:rsid w:val="00F70E62"/>
    <w:rsid w:val="00F715D6"/>
    <w:rsid w:val="00F7225A"/>
    <w:rsid w:val="00F96713"/>
    <w:rsid w:val="00FA723B"/>
    <w:rsid w:val="00FB63E8"/>
    <w:rsid w:val="00FD426D"/>
    <w:rsid w:val="00FD4D6D"/>
    <w:rsid w:val="00FE0B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09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209C1"/>
    <w:pPr>
      <w:ind w:left="720"/>
      <w:contextualSpacing/>
    </w:pPr>
  </w:style>
  <w:style w:type="paragraph" w:styleId="Header">
    <w:name w:val="header"/>
    <w:basedOn w:val="Normal"/>
    <w:link w:val="HeaderChar"/>
    <w:uiPriority w:val="99"/>
    <w:unhideWhenUsed/>
    <w:rsid w:val="00FE0B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0BF0"/>
  </w:style>
  <w:style w:type="paragraph" w:styleId="Footer">
    <w:name w:val="footer"/>
    <w:basedOn w:val="Normal"/>
    <w:link w:val="FooterChar"/>
    <w:uiPriority w:val="99"/>
    <w:unhideWhenUsed/>
    <w:rsid w:val="00FE0B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0BF0"/>
  </w:style>
  <w:style w:type="paragraph" w:styleId="BalloonText">
    <w:name w:val="Balloon Text"/>
    <w:basedOn w:val="Normal"/>
    <w:link w:val="BalloonTextChar"/>
    <w:uiPriority w:val="99"/>
    <w:semiHidden/>
    <w:unhideWhenUsed/>
    <w:rsid w:val="00FE0B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0BF0"/>
    <w:rPr>
      <w:rFonts w:ascii="Tahoma" w:hAnsi="Tahoma" w:cs="Tahoma"/>
      <w:sz w:val="16"/>
      <w:szCs w:val="16"/>
    </w:rPr>
  </w:style>
  <w:style w:type="character" w:styleId="CommentReference">
    <w:name w:val="annotation reference"/>
    <w:basedOn w:val="DefaultParagraphFont"/>
    <w:uiPriority w:val="99"/>
    <w:semiHidden/>
    <w:unhideWhenUsed/>
    <w:rsid w:val="00A40C4B"/>
    <w:rPr>
      <w:sz w:val="16"/>
      <w:szCs w:val="16"/>
    </w:rPr>
  </w:style>
  <w:style w:type="paragraph" w:styleId="CommentText">
    <w:name w:val="annotation text"/>
    <w:basedOn w:val="Normal"/>
    <w:link w:val="CommentTextChar"/>
    <w:uiPriority w:val="99"/>
    <w:semiHidden/>
    <w:unhideWhenUsed/>
    <w:rsid w:val="00A40C4B"/>
    <w:pPr>
      <w:spacing w:line="240" w:lineRule="auto"/>
    </w:pPr>
    <w:rPr>
      <w:sz w:val="20"/>
      <w:szCs w:val="20"/>
    </w:rPr>
  </w:style>
  <w:style w:type="character" w:customStyle="1" w:styleId="CommentTextChar">
    <w:name w:val="Comment Text Char"/>
    <w:basedOn w:val="DefaultParagraphFont"/>
    <w:link w:val="CommentText"/>
    <w:uiPriority w:val="99"/>
    <w:semiHidden/>
    <w:rsid w:val="00A40C4B"/>
    <w:rPr>
      <w:sz w:val="20"/>
      <w:szCs w:val="20"/>
    </w:rPr>
  </w:style>
  <w:style w:type="paragraph" w:styleId="CommentSubject">
    <w:name w:val="annotation subject"/>
    <w:basedOn w:val="CommentText"/>
    <w:next w:val="CommentText"/>
    <w:link w:val="CommentSubjectChar"/>
    <w:uiPriority w:val="99"/>
    <w:semiHidden/>
    <w:unhideWhenUsed/>
    <w:rsid w:val="00A40C4B"/>
    <w:rPr>
      <w:b/>
      <w:bCs/>
    </w:rPr>
  </w:style>
  <w:style w:type="character" w:customStyle="1" w:styleId="CommentSubjectChar">
    <w:name w:val="Comment Subject Char"/>
    <w:basedOn w:val="CommentTextChar"/>
    <w:link w:val="CommentSubject"/>
    <w:uiPriority w:val="99"/>
    <w:semiHidden/>
    <w:rsid w:val="00A40C4B"/>
    <w:rPr>
      <w:b/>
      <w:bCs/>
      <w:sz w:val="20"/>
      <w:szCs w:val="20"/>
    </w:rPr>
  </w:style>
  <w:style w:type="paragraph" w:customStyle="1" w:styleId="DTPLIContentFiguresheading">
    <w:name w:val="DTPLI Content/Figures heading"/>
    <w:basedOn w:val="Normal"/>
    <w:link w:val="DTPLIContentFiguresheadingChar"/>
    <w:qFormat/>
    <w:rsid w:val="00EA0D04"/>
    <w:pPr>
      <w:spacing w:after="400" w:line="240" w:lineRule="auto"/>
    </w:pPr>
    <w:rPr>
      <w:rFonts w:ascii="Tahoma" w:eastAsia="Times New Roman" w:hAnsi="Tahoma" w:cs="Times New Roman"/>
      <w:sz w:val="48"/>
      <w:szCs w:val="48"/>
    </w:rPr>
  </w:style>
  <w:style w:type="character" w:customStyle="1" w:styleId="DTPLIContentFiguresheadingChar">
    <w:name w:val="DTPLI Content/Figures heading Char"/>
    <w:link w:val="DTPLIContentFiguresheading"/>
    <w:rsid w:val="00EA0D04"/>
    <w:rPr>
      <w:rFonts w:ascii="Tahoma" w:eastAsia="Times New Roman" w:hAnsi="Tahoma" w:cs="Times New Roman"/>
      <w:sz w:val="48"/>
      <w:szCs w:val="48"/>
    </w:rPr>
  </w:style>
  <w:style w:type="paragraph" w:customStyle="1" w:styleId="footerinfo">
    <w:name w:val="footer info"/>
    <w:basedOn w:val="Normal"/>
    <w:qFormat/>
    <w:rsid w:val="00EA0D04"/>
    <w:pPr>
      <w:spacing w:after="0" w:line="240" w:lineRule="auto"/>
    </w:pPr>
    <w:rPr>
      <w:rFonts w:ascii="Tahoma" w:eastAsia="Times New Roman" w:hAnsi="Tahoma" w:cs="Times New Roman"/>
      <w:color w:val="000000"/>
      <w:sz w:val="20"/>
      <w:szCs w:val="20"/>
    </w:rPr>
  </w:style>
  <w:style w:type="paragraph" w:customStyle="1" w:styleId="DTPLICover2Title">
    <w:name w:val="DTPLI Cover 2 Title"/>
    <w:basedOn w:val="Normal"/>
    <w:qFormat/>
    <w:rsid w:val="00EA0D04"/>
    <w:pPr>
      <w:spacing w:after="120" w:line="240" w:lineRule="auto"/>
      <w:ind w:left="3402" w:right="-472"/>
      <w:jc w:val="right"/>
    </w:pPr>
    <w:rPr>
      <w:rFonts w:ascii="Tahoma" w:eastAsia="Times New Roman" w:hAnsi="Tahoma" w:cs="Times New Roman"/>
      <w:color w:val="FFFFFF"/>
      <w:sz w:val="54"/>
      <w:szCs w:val="20"/>
    </w:rPr>
  </w:style>
  <w:style w:type="paragraph" w:customStyle="1" w:styleId="DTPLICover2Sub-title">
    <w:name w:val="DTPLI Cover 2 Sub-title"/>
    <w:basedOn w:val="Normal"/>
    <w:qFormat/>
    <w:rsid w:val="00EA0D04"/>
    <w:pPr>
      <w:spacing w:before="120" w:after="120" w:line="240" w:lineRule="auto"/>
      <w:ind w:left="3402" w:right="-472"/>
      <w:jc w:val="right"/>
    </w:pPr>
    <w:rPr>
      <w:rFonts w:ascii="Tahoma" w:eastAsia="Times New Roman" w:hAnsi="Tahoma" w:cs="Times New Roman"/>
      <w:color w:val="FFFFFF"/>
      <w:sz w:val="28"/>
      <w:szCs w:val="20"/>
    </w:rPr>
  </w:style>
  <w:style w:type="paragraph" w:customStyle="1" w:styleId="BasicParagraph">
    <w:name w:val="[Basic Paragraph]"/>
    <w:basedOn w:val="Normal"/>
    <w:rsid w:val="00EA0D04"/>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09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209C1"/>
    <w:pPr>
      <w:ind w:left="720"/>
      <w:contextualSpacing/>
    </w:pPr>
  </w:style>
  <w:style w:type="paragraph" w:styleId="Header">
    <w:name w:val="header"/>
    <w:basedOn w:val="Normal"/>
    <w:link w:val="HeaderChar"/>
    <w:uiPriority w:val="99"/>
    <w:unhideWhenUsed/>
    <w:rsid w:val="00FE0B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0BF0"/>
  </w:style>
  <w:style w:type="paragraph" w:styleId="Footer">
    <w:name w:val="footer"/>
    <w:basedOn w:val="Normal"/>
    <w:link w:val="FooterChar"/>
    <w:uiPriority w:val="99"/>
    <w:unhideWhenUsed/>
    <w:rsid w:val="00FE0B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0BF0"/>
  </w:style>
  <w:style w:type="paragraph" w:styleId="BalloonText">
    <w:name w:val="Balloon Text"/>
    <w:basedOn w:val="Normal"/>
    <w:link w:val="BalloonTextChar"/>
    <w:uiPriority w:val="99"/>
    <w:semiHidden/>
    <w:unhideWhenUsed/>
    <w:rsid w:val="00FE0B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0BF0"/>
    <w:rPr>
      <w:rFonts w:ascii="Tahoma" w:hAnsi="Tahoma" w:cs="Tahoma"/>
      <w:sz w:val="16"/>
      <w:szCs w:val="16"/>
    </w:rPr>
  </w:style>
  <w:style w:type="character" w:styleId="CommentReference">
    <w:name w:val="annotation reference"/>
    <w:basedOn w:val="DefaultParagraphFont"/>
    <w:uiPriority w:val="99"/>
    <w:semiHidden/>
    <w:unhideWhenUsed/>
    <w:rsid w:val="00A40C4B"/>
    <w:rPr>
      <w:sz w:val="16"/>
      <w:szCs w:val="16"/>
    </w:rPr>
  </w:style>
  <w:style w:type="paragraph" w:styleId="CommentText">
    <w:name w:val="annotation text"/>
    <w:basedOn w:val="Normal"/>
    <w:link w:val="CommentTextChar"/>
    <w:uiPriority w:val="99"/>
    <w:semiHidden/>
    <w:unhideWhenUsed/>
    <w:rsid w:val="00A40C4B"/>
    <w:pPr>
      <w:spacing w:line="240" w:lineRule="auto"/>
    </w:pPr>
    <w:rPr>
      <w:sz w:val="20"/>
      <w:szCs w:val="20"/>
    </w:rPr>
  </w:style>
  <w:style w:type="character" w:customStyle="1" w:styleId="CommentTextChar">
    <w:name w:val="Comment Text Char"/>
    <w:basedOn w:val="DefaultParagraphFont"/>
    <w:link w:val="CommentText"/>
    <w:uiPriority w:val="99"/>
    <w:semiHidden/>
    <w:rsid w:val="00A40C4B"/>
    <w:rPr>
      <w:sz w:val="20"/>
      <w:szCs w:val="20"/>
    </w:rPr>
  </w:style>
  <w:style w:type="paragraph" w:styleId="CommentSubject">
    <w:name w:val="annotation subject"/>
    <w:basedOn w:val="CommentText"/>
    <w:next w:val="CommentText"/>
    <w:link w:val="CommentSubjectChar"/>
    <w:uiPriority w:val="99"/>
    <w:semiHidden/>
    <w:unhideWhenUsed/>
    <w:rsid w:val="00A40C4B"/>
    <w:rPr>
      <w:b/>
      <w:bCs/>
    </w:rPr>
  </w:style>
  <w:style w:type="character" w:customStyle="1" w:styleId="CommentSubjectChar">
    <w:name w:val="Comment Subject Char"/>
    <w:basedOn w:val="CommentTextChar"/>
    <w:link w:val="CommentSubject"/>
    <w:uiPriority w:val="99"/>
    <w:semiHidden/>
    <w:rsid w:val="00A40C4B"/>
    <w:rPr>
      <w:b/>
      <w:bCs/>
      <w:sz w:val="20"/>
      <w:szCs w:val="20"/>
    </w:rPr>
  </w:style>
  <w:style w:type="paragraph" w:customStyle="1" w:styleId="DTPLIContentFiguresheading">
    <w:name w:val="DTPLI Content/Figures heading"/>
    <w:basedOn w:val="Normal"/>
    <w:link w:val="DTPLIContentFiguresheadingChar"/>
    <w:qFormat/>
    <w:rsid w:val="00EA0D04"/>
    <w:pPr>
      <w:spacing w:after="400" w:line="240" w:lineRule="auto"/>
    </w:pPr>
    <w:rPr>
      <w:rFonts w:ascii="Tahoma" w:eastAsia="Times New Roman" w:hAnsi="Tahoma" w:cs="Times New Roman"/>
      <w:sz w:val="48"/>
      <w:szCs w:val="48"/>
    </w:rPr>
  </w:style>
  <w:style w:type="character" w:customStyle="1" w:styleId="DTPLIContentFiguresheadingChar">
    <w:name w:val="DTPLI Content/Figures heading Char"/>
    <w:link w:val="DTPLIContentFiguresheading"/>
    <w:rsid w:val="00EA0D04"/>
    <w:rPr>
      <w:rFonts w:ascii="Tahoma" w:eastAsia="Times New Roman" w:hAnsi="Tahoma" w:cs="Times New Roman"/>
      <w:sz w:val="48"/>
      <w:szCs w:val="48"/>
    </w:rPr>
  </w:style>
  <w:style w:type="paragraph" w:customStyle="1" w:styleId="footerinfo">
    <w:name w:val="footer info"/>
    <w:basedOn w:val="Normal"/>
    <w:qFormat/>
    <w:rsid w:val="00EA0D04"/>
    <w:pPr>
      <w:spacing w:after="0" w:line="240" w:lineRule="auto"/>
    </w:pPr>
    <w:rPr>
      <w:rFonts w:ascii="Tahoma" w:eastAsia="Times New Roman" w:hAnsi="Tahoma" w:cs="Times New Roman"/>
      <w:color w:val="000000"/>
      <w:sz w:val="20"/>
      <w:szCs w:val="20"/>
    </w:rPr>
  </w:style>
  <w:style w:type="paragraph" w:customStyle="1" w:styleId="DTPLICover2Title">
    <w:name w:val="DTPLI Cover 2 Title"/>
    <w:basedOn w:val="Normal"/>
    <w:qFormat/>
    <w:rsid w:val="00EA0D04"/>
    <w:pPr>
      <w:spacing w:after="120" w:line="240" w:lineRule="auto"/>
      <w:ind w:left="3402" w:right="-472"/>
      <w:jc w:val="right"/>
    </w:pPr>
    <w:rPr>
      <w:rFonts w:ascii="Tahoma" w:eastAsia="Times New Roman" w:hAnsi="Tahoma" w:cs="Times New Roman"/>
      <w:color w:val="FFFFFF"/>
      <w:sz w:val="54"/>
      <w:szCs w:val="20"/>
    </w:rPr>
  </w:style>
  <w:style w:type="paragraph" w:customStyle="1" w:styleId="DTPLICover2Sub-title">
    <w:name w:val="DTPLI Cover 2 Sub-title"/>
    <w:basedOn w:val="Normal"/>
    <w:qFormat/>
    <w:rsid w:val="00EA0D04"/>
    <w:pPr>
      <w:spacing w:before="120" w:after="120" w:line="240" w:lineRule="auto"/>
      <w:ind w:left="3402" w:right="-472"/>
      <w:jc w:val="right"/>
    </w:pPr>
    <w:rPr>
      <w:rFonts w:ascii="Tahoma" w:eastAsia="Times New Roman" w:hAnsi="Tahoma" w:cs="Times New Roman"/>
      <w:color w:val="FFFFFF"/>
      <w:sz w:val="28"/>
      <w:szCs w:val="20"/>
    </w:rPr>
  </w:style>
  <w:style w:type="paragraph" w:customStyle="1" w:styleId="BasicParagraph">
    <w:name w:val="[Basic Paragraph]"/>
    <w:basedOn w:val="Normal"/>
    <w:rsid w:val="00EA0D04"/>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BF6F4-86F2-4591-9983-DF6C7F508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20</Pages>
  <Words>6032</Words>
  <Characters>34383</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CenITex</Company>
  <LinksUpToDate>false</LinksUpToDate>
  <CharactersWithSpaces>40335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Astbury</dc:creator>
  <cp:lastModifiedBy>Margaret Astbury</cp:lastModifiedBy>
  <cp:revision>6</cp:revision>
  <cp:lastPrinted>2014-05-23T05:40:00Z</cp:lastPrinted>
  <dcterms:created xsi:type="dcterms:W3CDTF">2014-05-23T05:29:00Z</dcterms:created>
  <dcterms:modified xsi:type="dcterms:W3CDTF">2014-05-23T05:42:00Z</dcterms:modified>
</cp:coreProperties>
</file>