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EB6813" w:rsidP="0081473C">
            <w:pPr>
              <w:pStyle w:val="Title"/>
            </w:pPr>
            <w:bookmarkStart w:id="0" w:name="_GoBack"/>
            <w:bookmarkEnd w:id="0"/>
            <w:r>
              <w:t xml:space="preserve">Land </w:t>
            </w:r>
            <w:r w:rsidR="00F6579C">
              <w:t xml:space="preserve">Use </w:t>
            </w:r>
            <w:r>
              <w:t>Victoria</w:t>
            </w:r>
            <w:r w:rsidR="007D3A3E">
              <w:br/>
            </w:r>
            <w:r w:rsidRPr="00EB6813">
              <w:rPr>
                <w:b w:val="0"/>
                <w:sz w:val="32"/>
                <w:szCs w:val="32"/>
              </w:rPr>
              <w:t>Customer Information Bulletin 16</w:t>
            </w:r>
            <w:r w:rsidR="00885C1E">
              <w:rPr>
                <w:b w:val="0"/>
                <w:sz w:val="32"/>
                <w:szCs w:val="32"/>
              </w:rPr>
              <w:t>6</w:t>
            </w:r>
            <w:r w:rsidRPr="00EB6813">
              <w:rPr>
                <w:b w:val="0"/>
                <w:sz w:val="32"/>
                <w:szCs w:val="32"/>
              </w:rPr>
              <w:t xml:space="preserve">, </w:t>
            </w:r>
            <w:r w:rsidR="00885C1E">
              <w:rPr>
                <w:b w:val="0"/>
                <w:sz w:val="32"/>
                <w:szCs w:val="32"/>
              </w:rPr>
              <w:t>June</w:t>
            </w:r>
            <w:r w:rsidR="00E90F23">
              <w:rPr>
                <w:b w:val="0"/>
                <w:sz w:val="32"/>
                <w:szCs w:val="32"/>
              </w:rPr>
              <w:t xml:space="preserve"> </w:t>
            </w:r>
            <w:r w:rsidRPr="00EB6813">
              <w:rPr>
                <w:b w:val="0"/>
                <w:sz w:val="32"/>
                <w:szCs w:val="32"/>
              </w:rPr>
              <w:t>201</w:t>
            </w:r>
            <w:r w:rsidR="00A00B59">
              <w:rPr>
                <w:b w:val="0"/>
                <w:sz w:val="32"/>
                <w:szCs w:val="32"/>
              </w:rPr>
              <w:t>7</w:t>
            </w:r>
          </w:p>
        </w:tc>
      </w:tr>
    </w:tbl>
    <w:p w:rsidR="00806AB6" w:rsidRDefault="00806AB6" w:rsidP="00307C36"/>
    <w:p w:rsidR="00E14F25" w:rsidRDefault="00E14F25" w:rsidP="00307C36"/>
    <w:p w:rsidR="00E14F25" w:rsidRDefault="00E14F25" w:rsidP="00307C36"/>
    <w:p w:rsidR="00806AB6" w:rsidRDefault="00806AB6" w:rsidP="00806AB6">
      <w:pPr>
        <w:pStyle w:val="BodyText"/>
      </w:pPr>
    </w:p>
    <w:p w:rsidR="00A16DFC" w:rsidRDefault="00A16DFC" w:rsidP="00806AB6">
      <w:pPr>
        <w:pStyle w:val="BodyText"/>
        <w:sectPr w:rsidR="00A16DFC" w:rsidSect="003D1370">
          <w:headerReference w:type="even" r:id="rId9"/>
          <w:headerReference w:type="default" r:id="rId10"/>
          <w:footerReference w:type="even" r:id="rId11"/>
          <w:footerReference w:type="default" r:id="rId12"/>
          <w:headerReference w:type="first" r:id="rId13"/>
          <w:footerReference w:type="first" r:id="rId14"/>
          <w:pgSz w:w="11907" w:h="16840" w:code="9"/>
          <w:pgMar w:top="1985" w:right="737" w:bottom="794" w:left="851" w:header="284" w:footer="0" w:gutter="0"/>
          <w:cols w:space="284"/>
          <w:titlePg/>
          <w:docGrid w:linePitch="360"/>
        </w:sectPr>
      </w:pPr>
    </w:p>
    <w:p w:rsidR="00885C1E" w:rsidRDefault="00885C1E" w:rsidP="00885C1E">
      <w:pPr>
        <w:pStyle w:val="Heading1"/>
      </w:pPr>
      <w:r w:rsidRPr="002F4D0D">
        <w:lastRenderedPageBreak/>
        <w:t>New forms</w:t>
      </w:r>
    </w:p>
    <w:p w:rsidR="00885C1E" w:rsidRDefault="00885C1E" w:rsidP="00885C1E">
      <w:pPr>
        <w:pStyle w:val="Body"/>
      </w:pPr>
      <w:r w:rsidRPr="007045D1">
        <w:t xml:space="preserve">Land Use Victoria (LUV) </w:t>
      </w:r>
      <w:r>
        <w:t xml:space="preserve">has </w:t>
      </w:r>
      <w:r w:rsidRPr="007045D1">
        <w:t>publish</w:t>
      </w:r>
      <w:r>
        <w:t>ed</w:t>
      </w:r>
      <w:r w:rsidRPr="007045D1">
        <w:t xml:space="preserve"> new versions of </w:t>
      </w:r>
      <w:r>
        <w:t xml:space="preserve">approved </w:t>
      </w:r>
      <w:r w:rsidRPr="007045D1">
        <w:t xml:space="preserve">forms containing </w:t>
      </w:r>
      <w:r>
        <w:t xml:space="preserve">new </w:t>
      </w:r>
      <w:r w:rsidRPr="007045D1">
        <w:t>options for signing</w:t>
      </w:r>
      <w:r>
        <w:t>.</w:t>
      </w:r>
    </w:p>
    <w:p w:rsidR="00885C1E" w:rsidRDefault="00885C1E" w:rsidP="00885C1E">
      <w:pPr>
        <w:pStyle w:val="Body"/>
      </w:pPr>
      <w:r>
        <w:t xml:space="preserve">The forms are found at </w:t>
      </w:r>
      <w:hyperlink r:id="rId15" w:history="1">
        <w:r w:rsidRPr="00CC0885">
          <w:rPr>
            <w:rStyle w:val="Hyperlink"/>
            <w:szCs w:val="22"/>
          </w:rPr>
          <w:t>www.propertyandlandtitles.vic.gov.au/forms-guides-and-fees</w:t>
        </w:r>
      </w:hyperlink>
      <w:r>
        <w:t>.</w:t>
      </w:r>
    </w:p>
    <w:p w:rsidR="00885C1E" w:rsidRPr="00806811" w:rsidRDefault="00885C1E" w:rsidP="00885C1E">
      <w:pPr>
        <w:pStyle w:val="Body"/>
      </w:pPr>
      <w:r>
        <w:t>All f</w:t>
      </w:r>
      <w:r w:rsidRPr="007045D1">
        <w:t xml:space="preserve">orms </w:t>
      </w:r>
      <w:r>
        <w:t xml:space="preserve">are in PDF format and </w:t>
      </w:r>
      <w:r w:rsidRPr="007045D1">
        <w:t xml:space="preserve">can be partially completed, saved </w:t>
      </w:r>
      <w:r>
        <w:t>locally</w:t>
      </w:r>
      <w:r w:rsidRPr="007045D1">
        <w:t xml:space="preserve"> and finalised later. </w:t>
      </w:r>
      <w:r>
        <w:rPr>
          <w:rFonts w:eastAsiaTheme="minorHAnsi" w:cs="Helv"/>
          <w:color w:val="000000"/>
        </w:rPr>
        <w:t xml:space="preserve">You must have the </w:t>
      </w:r>
      <w:r w:rsidRPr="00184096">
        <w:rPr>
          <w:rFonts w:eastAsiaTheme="minorHAnsi" w:cs="Helv"/>
          <w:color w:val="000000"/>
        </w:rPr>
        <w:t>latest version of Adobe</w:t>
      </w:r>
      <w:r>
        <w:rPr>
          <w:rFonts w:eastAsiaTheme="minorHAnsi" w:cs="Helv"/>
          <w:color w:val="000000"/>
        </w:rPr>
        <w:t xml:space="preserve"> Reader installed on your computer to access the forms.</w:t>
      </w:r>
    </w:p>
    <w:p w:rsidR="00885C1E" w:rsidRPr="007045D1" w:rsidRDefault="00885C1E" w:rsidP="00885C1E">
      <w:pPr>
        <w:pStyle w:val="Body"/>
      </w:pPr>
      <w:r w:rsidRPr="007045D1">
        <w:t xml:space="preserve">Included </w:t>
      </w:r>
      <w:r>
        <w:t xml:space="preserve">at the end of </w:t>
      </w:r>
      <w:r w:rsidRPr="007045D1">
        <w:t>this bulletin are examples of:</w:t>
      </w:r>
    </w:p>
    <w:p w:rsidR="00885C1E" w:rsidRPr="007045D1" w:rsidRDefault="00885C1E" w:rsidP="00885C1E">
      <w:pPr>
        <w:pStyle w:val="Bullet"/>
      </w:pPr>
      <w:r>
        <w:t>a</w:t>
      </w:r>
      <w:r w:rsidRPr="007045D1">
        <w:t xml:space="preserve"> </w:t>
      </w:r>
      <w:r w:rsidRPr="0095419F">
        <w:rPr>
          <w:i/>
        </w:rPr>
        <w:t>Transfer of Land</w:t>
      </w:r>
      <w:r w:rsidRPr="007045D1">
        <w:t>, signed by a</w:t>
      </w:r>
      <w:r>
        <w:t>n</w:t>
      </w:r>
      <w:r w:rsidRPr="007045D1">
        <w:t xml:space="preserve"> </w:t>
      </w:r>
      <w:r>
        <w:t>Australian L</w:t>
      </w:r>
      <w:r w:rsidRPr="007045D1">
        <w:t xml:space="preserve">egal </w:t>
      </w:r>
      <w:r>
        <w:t>P</w:t>
      </w:r>
      <w:r w:rsidRPr="007045D1">
        <w:t xml:space="preserve">ractitioner on behalf of the transferor and </w:t>
      </w:r>
      <w:r>
        <w:t xml:space="preserve">signed by </w:t>
      </w:r>
      <w:r w:rsidRPr="007045D1">
        <w:t xml:space="preserve">a </w:t>
      </w:r>
      <w:r>
        <w:t>l</w:t>
      </w:r>
      <w:r w:rsidRPr="007045D1">
        <w:t xml:space="preserve">icensed </w:t>
      </w:r>
      <w:r>
        <w:t>c</w:t>
      </w:r>
      <w:r w:rsidRPr="007045D1">
        <w:t>onveyancer on behalf of the transferee</w:t>
      </w:r>
    </w:p>
    <w:p w:rsidR="00885C1E" w:rsidRPr="007045D1" w:rsidRDefault="00885C1E" w:rsidP="00885C1E">
      <w:pPr>
        <w:pStyle w:val="Bullet"/>
      </w:pPr>
      <w:r>
        <w:rPr>
          <w:iCs/>
        </w:rPr>
        <w:t>a</w:t>
      </w:r>
      <w:r w:rsidRPr="007045D1">
        <w:rPr>
          <w:iCs/>
        </w:rPr>
        <w:t xml:space="preserve">n </w:t>
      </w:r>
      <w:r w:rsidRPr="0095419F">
        <w:rPr>
          <w:i/>
          <w:iCs/>
        </w:rPr>
        <w:t>Application by surviving proprietor</w:t>
      </w:r>
      <w:r w:rsidRPr="007045D1">
        <w:rPr>
          <w:iCs/>
        </w:rPr>
        <w:t xml:space="preserve">, signed </w:t>
      </w:r>
      <w:r w:rsidRPr="007045D1">
        <w:t>by a</w:t>
      </w:r>
      <w:r>
        <w:t>n</w:t>
      </w:r>
      <w:r w:rsidRPr="007045D1">
        <w:t xml:space="preserve"> </w:t>
      </w:r>
      <w:r>
        <w:t>Australian L</w:t>
      </w:r>
      <w:r w:rsidRPr="007045D1">
        <w:t xml:space="preserve">egal </w:t>
      </w:r>
      <w:r>
        <w:t>P</w:t>
      </w:r>
      <w:r w:rsidRPr="007045D1">
        <w:t>ractitioner on behalf of the applicant</w:t>
      </w:r>
      <w:r>
        <w:t>.</w:t>
      </w:r>
    </w:p>
    <w:p w:rsidR="00885C1E" w:rsidRDefault="00885C1E" w:rsidP="00885C1E">
      <w:pPr>
        <w:pStyle w:val="Body"/>
      </w:pPr>
      <w:r w:rsidRPr="007045D1">
        <w:t>Each example contains the required certifications</w:t>
      </w:r>
      <w:r>
        <w:t>.</w:t>
      </w:r>
    </w:p>
    <w:p w:rsidR="00885C1E" w:rsidRDefault="00885C1E" w:rsidP="00885C1E">
      <w:pPr>
        <w:pStyle w:val="Body"/>
      </w:pPr>
      <w:r w:rsidRPr="007045D1">
        <w:t>LUV is also working with the major forms package providers</w:t>
      </w:r>
      <w:r>
        <w:t>,</w:t>
      </w:r>
      <w:r w:rsidRPr="007045D1">
        <w:t xml:space="preserve"> who </w:t>
      </w:r>
      <w:r>
        <w:t>intend</w:t>
      </w:r>
      <w:r w:rsidRPr="007045D1">
        <w:t xml:space="preserve"> to provide the new forms </w:t>
      </w:r>
      <w:r>
        <w:t xml:space="preserve">templates </w:t>
      </w:r>
      <w:r w:rsidRPr="007045D1">
        <w:t>to their customers.</w:t>
      </w:r>
      <w:r>
        <w:t xml:space="preserve"> As per the transition period detailed below, forms that have been previously approved (i.e. do not contain certifications) can continue to be used during the transition period. All variations to form templates after 26 May 2017 must include certifications and adhere to the standardised layout set out in the Registrar’s requirements.</w:t>
      </w:r>
    </w:p>
    <w:p w:rsidR="00885C1E" w:rsidRDefault="00885C1E" w:rsidP="00885C1E">
      <w:pPr>
        <w:pStyle w:val="Heading2"/>
      </w:pPr>
      <w:r>
        <w:t>National mortgage form</w:t>
      </w:r>
    </w:p>
    <w:p w:rsidR="00885C1E" w:rsidRDefault="00885C1E" w:rsidP="00885C1E">
      <w:pPr>
        <w:pStyle w:val="Body"/>
        <w:rPr>
          <w:rFonts w:eastAsiaTheme="minorEastAsia"/>
        </w:rPr>
      </w:pPr>
      <w:r>
        <w:rPr>
          <w:rFonts w:eastAsiaTheme="minorEastAsia"/>
        </w:rPr>
        <w:t xml:space="preserve">Victoria will publish its national mortgage form in July 2017. Until then, customers can use the ARNECC National Mortgage Form available at </w:t>
      </w:r>
      <w:hyperlink w:history="1">
        <w:r>
          <w:rPr>
            <w:rStyle w:val="Hyperlink"/>
            <w:rFonts w:eastAsiaTheme="minorEastAsia"/>
          </w:rPr>
          <w:t>www.arnecc.gov.au</w:t>
        </w:r>
      </w:hyperlink>
      <w:r>
        <w:rPr>
          <w:rFonts w:eastAsiaTheme="minorEastAsia"/>
        </w:rPr>
        <w:t>&gt;Publications&gt;Forms – select the link to the National Land Registry Forms portal (under the heading ‘National Land Registry forms’).</w:t>
      </w:r>
    </w:p>
    <w:p w:rsidR="00885C1E" w:rsidRDefault="00885C1E" w:rsidP="00885C1E">
      <w:pPr>
        <w:pStyle w:val="Heading2"/>
      </w:pPr>
      <w:r w:rsidRPr="00FB355F">
        <w:t>Guid</w:t>
      </w:r>
      <w:r>
        <w:t>es</w:t>
      </w:r>
      <w:r w:rsidRPr="00FB355F">
        <w:t xml:space="preserve"> for new forms</w:t>
      </w:r>
    </w:p>
    <w:p w:rsidR="00885C1E" w:rsidRDefault="00885C1E" w:rsidP="00885C1E">
      <w:pPr>
        <w:pStyle w:val="Body"/>
      </w:pPr>
      <w:r>
        <w:t>Revised</w:t>
      </w:r>
      <w:r w:rsidRPr="00184096">
        <w:t xml:space="preserve"> </w:t>
      </w:r>
      <w:r>
        <w:t xml:space="preserve">LUV </w:t>
      </w:r>
      <w:r w:rsidRPr="00184096">
        <w:t>guid</w:t>
      </w:r>
      <w:r>
        <w:t>es for the</w:t>
      </w:r>
      <w:r w:rsidRPr="00184096">
        <w:t xml:space="preserve"> </w:t>
      </w:r>
      <w:r>
        <w:t xml:space="preserve">new </w:t>
      </w:r>
      <w:r w:rsidRPr="00184096">
        <w:t>forms a</w:t>
      </w:r>
      <w:r>
        <w:t>re</w:t>
      </w:r>
      <w:r w:rsidRPr="00184096">
        <w:t xml:space="preserve"> </w:t>
      </w:r>
      <w:r>
        <w:t xml:space="preserve">currently underway </w:t>
      </w:r>
      <w:r w:rsidRPr="00184096">
        <w:t xml:space="preserve">and will be progressively published on </w:t>
      </w:r>
      <w:r>
        <w:t>our</w:t>
      </w:r>
      <w:r w:rsidRPr="00184096">
        <w:t xml:space="preserve"> website</w:t>
      </w:r>
      <w:r>
        <w:t xml:space="preserve"> at </w:t>
      </w:r>
      <w:hyperlink r:id="rId16" w:history="1">
        <w:r w:rsidRPr="00CC0885">
          <w:rPr>
            <w:rStyle w:val="Hyperlink"/>
            <w:szCs w:val="22"/>
          </w:rPr>
          <w:t>www.propertyandlandtitles.vic.gov.au/forms-guides-and-fees</w:t>
        </w:r>
      </w:hyperlink>
      <w:r>
        <w:t xml:space="preserve">. </w:t>
      </w:r>
    </w:p>
    <w:p w:rsidR="00885C1E" w:rsidRPr="00FD0868" w:rsidRDefault="00885C1E" w:rsidP="00885C1E">
      <w:pPr>
        <w:pStyle w:val="Body"/>
        <w:rPr>
          <w:i/>
          <w:sz w:val="28"/>
          <w:szCs w:val="28"/>
        </w:rPr>
      </w:pPr>
      <w:r>
        <w:t>A new guide about signing options is also being prepared and will soon be available.</w:t>
      </w:r>
    </w:p>
    <w:p w:rsidR="00885C1E" w:rsidRDefault="00885C1E" w:rsidP="00885C1E">
      <w:pPr>
        <w:pStyle w:val="Heading2"/>
      </w:pPr>
      <w:r>
        <w:t>Client Authorisations</w:t>
      </w:r>
      <w:r w:rsidRPr="00FB355F">
        <w:t xml:space="preserve"> </w:t>
      </w:r>
      <w:r>
        <w:t>and certifications</w:t>
      </w:r>
    </w:p>
    <w:p w:rsidR="00885C1E" w:rsidRPr="0081473C" w:rsidRDefault="00885C1E" w:rsidP="00885C1E">
      <w:pPr>
        <w:pStyle w:val="Body"/>
        <w:rPr>
          <w:rFonts w:eastAsiaTheme="minorEastAsia"/>
        </w:rPr>
      </w:pPr>
      <w:r w:rsidRPr="0081473C">
        <w:rPr>
          <w:rFonts w:eastAsiaTheme="minorEastAsia"/>
        </w:rPr>
        <w:t>The Registrar’s requirement for Client Authorisations for paper c</w:t>
      </w:r>
      <w:r>
        <w:rPr>
          <w:rFonts w:eastAsiaTheme="minorEastAsia"/>
        </w:rPr>
        <w:t>onveyancing transactions ca</w:t>
      </w:r>
      <w:r w:rsidRPr="0081473C">
        <w:rPr>
          <w:rFonts w:eastAsiaTheme="minorEastAsia"/>
        </w:rPr>
        <w:t>me into effect on 26 May 20</w:t>
      </w:r>
      <w:r>
        <w:rPr>
          <w:rFonts w:eastAsiaTheme="minorEastAsia"/>
        </w:rPr>
        <w:t>17. A Client Authorisation</w:t>
      </w:r>
      <w:r w:rsidRPr="0081473C">
        <w:rPr>
          <w:rFonts w:eastAsiaTheme="minorEastAsia"/>
        </w:rPr>
        <w:t xml:space="preserve"> authorise</w:t>
      </w:r>
      <w:r>
        <w:rPr>
          <w:rFonts w:eastAsiaTheme="minorEastAsia"/>
        </w:rPr>
        <w:t>s</w:t>
      </w:r>
      <w:r w:rsidRPr="0081473C">
        <w:rPr>
          <w:rFonts w:eastAsiaTheme="minorEastAsia"/>
        </w:rPr>
        <w:t xml:space="preserve"> a conveyancer or lawyer to act as their client’s agent and sign paper conveyancing transactions on their client’s behalf.</w:t>
      </w:r>
      <w:r>
        <w:rPr>
          <w:rFonts w:eastAsiaTheme="minorEastAsia"/>
        </w:rPr>
        <w:t xml:space="preserve"> </w:t>
      </w:r>
    </w:p>
    <w:p w:rsidR="00885C1E" w:rsidRPr="00885C1E" w:rsidRDefault="00885C1E" w:rsidP="00885C1E">
      <w:pPr>
        <w:pStyle w:val="Body"/>
        <w:rPr>
          <w:rFonts w:eastAsiaTheme="minorEastAsia"/>
        </w:rPr>
      </w:pPr>
      <w:r w:rsidRPr="00885C1E">
        <w:rPr>
          <w:rFonts w:eastAsiaTheme="minorEastAsia"/>
        </w:rPr>
        <w:t>The Registrar’s requirement for certifications for paper conveyancing transactions also commenced on the 26 May 2017. This require</w:t>
      </w:r>
      <w:r w:rsidR="00C64561">
        <w:rPr>
          <w:rFonts w:eastAsiaTheme="minorEastAsia"/>
        </w:rPr>
        <w:t>s</w:t>
      </w:r>
      <w:r w:rsidRPr="00885C1E">
        <w:rPr>
          <w:rFonts w:eastAsiaTheme="minorEastAsia"/>
        </w:rPr>
        <w:t xml:space="preserve"> a conveyancer, lawyer, an ADI and a PEXA subscriber to provide certifications for each paper conveyancing transaction they sign. </w:t>
      </w:r>
    </w:p>
    <w:p w:rsidR="00885C1E" w:rsidRPr="00885C1E" w:rsidRDefault="00885C1E" w:rsidP="00885C1E">
      <w:pPr>
        <w:pStyle w:val="Body"/>
        <w:rPr>
          <w:rFonts w:eastAsiaTheme="minorEastAsia"/>
        </w:rPr>
      </w:pPr>
      <w:r w:rsidRPr="00885C1E">
        <w:rPr>
          <w:rFonts w:eastAsiaTheme="minorEastAsia"/>
        </w:rPr>
        <w:lastRenderedPageBreak/>
        <w:t>Client Authorisation and certification requirements are already in place for electronic conveyancing transactions. The Registrar’s requirements for paper conveyancing transactions are available at www.propertyandlandtitles.vic.gov.au/publications.</w:t>
      </w:r>
    </w:p>
    <w:p w:rsidR="00885C1E" w:rsidRPr="00885C1E" w:rsidRDefault="00885C1E" w:rsidP="00885C1E">
      <w:pPr>
        <w:pStyle w:val="Body"/>
        <w:rPr>
          <w:rFonts w:eastAsiaTheme="minorEastAsia"/>
        </w:rPr>
      </w:pPr>
      <w:r w:rsidRPr="00885C1E">
        <w:rPr>
          <w:rFonts w:eastAsiaTheme="minorEastAsia"/>
        </w:rPr>
        <w:t>Certifications must form part of an approved form and cannot be placed on annexure sheets.</w:t>
      </w:r>
    </w:p>
    <w:p w:rsidR="00885C1E" w:rsidRPr="00885C1E" w:rsidRDefault="00885C1E" w:rsidP="00885C1E">
      <w:pPr>
        <w:pStyle w:val="Heading2"/>
      </w:pPr>
      <w:r w:rsidRPr="00885C1E">
        <w:t>Transition period</w:t>
      </w:r>
    </w:p>
    <w:p w:rsidR="00885C1E" w:rsidRDefault="00885C1E" w:rsidP="00885C1E">
      <w:pPr>
        <w:pStyle w:val="Body"/>
        <w:rPr>
          <w:rFonts w:eastAsiaTheme="minorEastAsia"/>
        </w:rPr>
      </w:pPr>
      <w:r w:rsidRPr="0081473C">
        <w:rPr>
          <w:rFonts w:eastAsiaTheme="minorEastAsia"/>
        </w:rPr>
        <w:t>Customers are encouraged to start using Client Authorisations from 26 May 2017.</w:t>
      </w:r>
      <w:r>
        <w:rPr>
          <w:rFonts w:eastAsiaTheme="minorEastAsia"/>
        </w:rPr>
        <w:t xml:space="preserve"> </w:t>
      </w:r>
      <w:r w:rsidRPr="0081473C">
        <w:rPr>
          <w:rFonts w:eastAsiaTheme="minorEastAsia"/>
        </w:rPr>
        <w:t xml:space="preserve">This means that a conveyancer or lawyer </w:t>
      </w:r>
      <w:r>
        <w:rPr>
          <w:rFonts w:eastAsiaTheme="minorEastAsia"/>
        </w:rPr>
        <w:t>must</w:t>
      </w:r>
      <w:r w:rsidRPr="0081473C">
        <w:rPr>
          <w:rFonts w:eastAsiaTheme="minorEastAsia"/>
        </w:rPr>
        <w:t xml:space="preserve"> have a Client Authorisation in place if they need to sign either an electronic or paper instrument on behalf of their client.</w:t>
      </w:r>
    </w:p>
    <w:p w:rsidR="00885C1E" w:rsidRDefault="00885C1E" w:rsidP="00885C1E">
      <w:pPr>
        <w:pStyle w:val="Body"/>
        <w:rPr>
          <w:rFonts w:eastAsiaTheme="minorEastAsia"/>
        </w:rPr>
      </w:pPr>
      <w:r>
        <w:rPr>
          <w:rFonts w:eastAsiaTheme="minorEastAsia"/>
        </w:rPr>
        <w:t>However, there is</w:t>
      </w:r>
      <w:r w:rsidRPr="0081473C">
        <w:rPr>
          <w:rFonts w:eastAsiaTheme="minorEastAsia"/>
        </w:rPr>
        <w:t xml:space="preserve"> a transition period </w:t>
      </w:r>
      <w:r>
        <w:rPr>
          <w:rFonts w:eastAsiaTheme="minorEastAsia"/>
        </w:rPr>
        <w:t>from</w:t>
      </w:r>
      <w:r w:rsidRPr="0081473C">
        <w:rPr>
          <w:rFonts w:eastAsiaTheme="minorEastAsia"/>
        </w:rPr>
        <w:t xml:space="preserve">26 May to 31 December 2017 </w:t>
      </w:r>
      <w:r>
        <w:rPr>
          <w:rFonts w:eastAsiaTheme="minorEastAsia"/>
        </w:rPr>
        <w:t xml:space="preserve">for using </w:t>
      </w:r>
      <w:r w:rsidRPr="0081473C">
        <w:rPr>
          <w:rFonts w:eastAsiaTheme="minorEastAsia"/>
        </w:rPr>
        <w:t>Client Authorisations and certifications.</w:t>
      </w:r>
      <w:r>
        <w:rPr>
          <w:rFonts w:eastAsiaTheme="minorEastAsia"/>
        </w:rPr>
        <w:t xml:space="preserve"> During that time, t</w:t>
      </w:r>
      <w:r w:rsidRPr="0081473C">
        <w:rPr>
          <w:rFonts w:eastAsiaTheme="minorEastAsia"/>
        </w:rPr>
        <w:t xml:space="preserve">ransactions can be lodged </w:t>
      </w:r>
      <w:r>
        <w:rPr>
          <w:rFonts w:eastAsiaTheme="minorEastAsia"/>
        </w:rPr>
        <w:t>in one of the following two ways:</w:t>
      </w:r>
    </w:p>
    <w:p w:rsidR="00885C1E" w:rsidRPr="00885C1E" w:rsidRDefault="00885C1E" w:rsidP="00885C1E">
      <w:pPr>
        <w:pStyle w:val="Bullet"/>
      </w:pPr>
      <w:r w:rsidRPr="00885C1E">
        <w:t>using the new LUV forms (which contain certifications) supported by a Client Authorisation (if applicable)</w:t>
      </w:r>
    </w:p>
    <w:p w:rsidR="00885C1E" w:rsidRPr="00885C1E" w:rsidRDefault="00885C1E" w:rsidP="00885C1E">
      <w:pPr>
        <w:pStyle w:val="Bullet"/>
      </w:pPr>
      <w:r w:rsidRPr="00885C1E">
        <w:t xml:space="preserve">using forms approved by the Registrar prior to 26 May 2017 (which do not contain certifications). </w:t>
      </w:r>
    </w:p>
    <w:p w:rsidR="00885C1E" w:rsidRDefault="00885C1E" w:rsidP="00885C1E">
      <w:pPr>
        <w:pStyle w:val="Body"/>
        <w:rPr>
          <w:rFonts w:eastAsiaTheme="minorEastAsia"/>
          <w:color w:val="000000"/>
          <w:lang w:eastAsia="en-AU"/>
        </w:rPr>
      </w:pPr>
      <w:r>
        <w:rPr>
          <w:rFonts w:eastAsiaTheme="minorEastAsia"/>
          <w:color w:val="000000"/>
          <w:lang w:eastAsia="en-AU"/>
        </w:rPr>
        <w:t>From 1 January 2018, the following will apply:</w:t>
      </w:r>
    </w:p>
    <w:p w:rsidR="00885C1E" w:rsidRDefault="00885C1E" w:rsidP="00885C1E">
      <w:pPr>
        <w:pStyle w:val="Bullet"/>
      </w:pPr>
      <w:r>
        <w:t>LUV will accept forms that contain certifications supported by a Client Authorisation (if applicable)</w:t>
      </w:r>
    </w:p>
    <w:p w:rsidR="00885C1E" w:rsidRDefault="00885C1E" w:rsidP="00885C1E">
      <w:pPr>
        <w:pStyle w:val="Bullet"/>
      </w:pPr>
      <w:r>
        <w:t xml:space="preserve">LUV will accept forms approved by the Registrar prior to 26 May 2017, when parties have signed on or before 31 December 2017. </w:t>
      </w:r>
    </w:p>
    <w:p w:rsidR="00885C1E" w:rsidRDefault="00885C1E" w:rsidP="00885C1E">
      <w:pPr>
        <w:pStyle w:val="Body"/>
        <w:rPr>
          <w:rFonts w:eastAsiaTheme="minorEastAsia"/>
        </w:rPr>
      </w:pPr>
      <w:r>
        <w:rPr>
          <w:rFonts w:eastAsiaTheme="minorEastAsia"/>
        </w:rPr>
        <w:t>When parties have signed on or after 1 January 2018, LUV will not accept forms that do not contain certifications.</w:t>
      </w:r>
    </w:p>
    <w:p w:rsidR="00885C1E" w:rsidRPr="004F7203" w:rsidRDefault="00885C1E" w:rsidP="00885C1E">
      <w:pPr>
        <w:pStyle w:val="Body"/>
        <w:rPr>
          <w:szCs w:val="22"/>
          <w:lang w:val="en"/>
        </w:rPr>
      </w:pPr>
      <w:r w:rsidRPr="004F7203">
        <w:rPr>
          <w:szCs w:val="22"/>
          <w:lang w:val="en"/>
        </w:rPr>
        <w:t xml:space="preserve">The Client Authorisation form </w:t>
      </w:r>
      <w:r>
        <w:rPr>
          <w:szCs w:val="22"/>
          <w:lang w:val="en"/>
        </w:rPr>
        <w:t>is available on the</w:t>
      </w:r>
      <w:r w:rsidRPr="004F7203">
        <w:rPr>
          <w:szCs w:val="22"/>
          <w:lang w:val="en"/>
        </w:rPr>
        <w:t xml:space="preserve"> </w:t>
      </w:r>
      <w:r w:rsidR="00BC76E2">
        <w:fldChar w:fldCharType="begin"/>
      </w:r>
      <w:r w:rsidR="00BC76E2">
        <w:instrText xml:space="preserve"> HYPERLINK "https://www.arnecc.gov.au/publications/forms" \t "_blank" \o "ARNECC website" </w:instrText>
      </w:r>
      <w:r w:rsidR="00BC76E2">
        <w:fldChar w:fldCharType="separate"/>
      </w:r>
      <w:r w:rsidRPr="004F7203">
        <w:rPr>
          <w:rStyle w:val="Hyperlink"/>
          <w:szCs w:val="22"/>
          <w:lang w:val="en"/>
        </w:rPr>
        <w:t>ARNECC</w:t>
      </w:r>
      <w:r w:rsidR="00BC76E2">
        <w:rPr>
          <w:rStyle w:val="Hyperlink"/>
          <w:szCs w:val="22"/>
          <w:lang w:val="en"/>
        </w:rPr>
        <w:fldChar w:fldCharType="end"/>
      </w:r>
      <w:r w:rsidRPr="004F7203">
        <w:rPr>
          <w:szCs w:val="22"/>
          <w:lang w:val="en"/>
        </w:rPr>
        <w:t xml:space="preserve"> website</w:t>
      </w:r>
      <w:r>
        <w:rPr>
          <w:szCs w:val="22"/>
          <w:lang w:val="en"/>
        </w:rPr>
        <w:t xml:space="preserve"> </w:t>
      </w:r>
      <w:r>
        <w:rPr>
          <w:rFonts w:eastAsiaTheme="minorEastAsia"/>
        </w:rPr>
        <w:t xml:space="preserve">at </w:t>
      </w:r>
      <w:hyperlink w:history="1">
        <w:r>
          <w:rPr>
            <w:rStyle w:val="Hyperlink"/>
            <w:rFonts w:eastAsiaTheme="minorEastAsia"/>
          </w:rPr>
          <w:t>www.arnecc.gov.au</w:t>
        </w:r>
      </w:hyperlink>
      <w:r>
        <w:rPr>
          <w:rFonts w:eastAsiaTheme="minorEastAsia"/>
        </w:rPr>
        <w:t>&gt;Publications&gt;Forms</w:t>
      </w:r>
      <w:r w:rsidRPr="004F7203">
        <w:rPr>
          <w:szCs w:val="22"/>
          <w:lang w:val="en"/>
        </w:rPr>
        <w:t>.</w:t>
      </w:r>
    </w:p>
    <w:p w:rsidR="00885C1E" w:rsidRPr="002550F4" w:rsidRDefault="00885C1E" w:rsidP="00885C1E">
      <w:pPr>
        <w:pStyle w:val="Heading1"/>
      </w:pPr>
      <w:r w:rsidRPr="002550F4">
        <w:t>Transition to 100% digital lodgement</w:t>
      </w:r>
    </w:p>
    <w:p w:rsidR="00885C1E" w:rsidRPr="004F7203" w:rsidRDefault="00885C1E" w:rsidP="00885C1E">
      <w:pPr>
        <w:pStyle w:val="Body"/>
      </w:pPr>
      <w:r>
        <w:t>The following sets out the r</w:t>
      </w:r>
      <w:r w:rsidRPr="004F7203">
        <w:t xml:space="preserve">equirements and timelines </w:t>
      </w:r>
      <w:r>
        <w:t>for transitioning to 100% digital lodgement.</w:t>
      </w:r>
    </w:p>
    <w:p w:rsidR="00885C1E" w:rsidRPr="004F7203" w:rsidRDefault="00885C1E" w:rsidP="00885C1E">
      <w:pPr>
        <w:pStyle w:val="Heading2"/>
      </w:pPr>
      <w:r w:rsidRPr="004F7203">
        <w:t>2017</w:t>
      </w:r>
    </w:p>
    <w:p w:rsidR="00885C1E" w:rsidRPr="004F7203" w:rsidRDefault="00885C1E" w:rsidP="00885C1E">
      <w:pPr>
        <w:pStyle w:val="Heading3"/>
      </w:pPr>
      <w:r w:rsidRPr="004F7203">
        <w:t>26 May</w:t>
      </w:r>
    </w:p>
    <w:p w:rsidR="00885C1E" w:rsidRPr="008122B5" w:rsidRDefault="00885C1E" w:rsidP="00885C1E">
      <w:pPr>
        <w:pStyle w:val="Bullet"/>
      </w:pPr>
      <w:r w:rsidRPr="008122B5">
        <w:t>National Mortgage Form implemented.</w:t>
      </w:r>
    </w:p>
    <w:p w:rsidR="00885C1E" w:rsidRPr="008122B5" w:rsidRDefault="00885C1E" w:rsidP="00885C1E">
      <w:pPr>
        <w:pStyle w:val="Bullet"/>
      </w:pPr>
      <w:r w:rsidRPr="008122B5">
        <w:t>Client Authorisations required for paper conveyancing transactions.</w:t>
      </w:r>
    </w:p>
    <w:p w:rsidR="00885C1E" w:rsidRPr="008122B5" w:rsidRDefault="00885C1E" w:rsidP="00885C1E">
      <w:pPr>
        <w:pStyle w:val="Bullet"/>
      </w:pPr>
      <w:r w:rsidRPr="008122B5">
        <w:t xml:space="preserve">Certifications required for paper conveyancing transactions, including mortgages under section 74(1A) of the </w:t>
      </w:r>
      <w:r w:rsidRPr="008122B5">
        <w:rPr>
          <w:i/>
        </w:rPr>
        <w:t>Transfer of Land Act 1958</w:t>
      </w:r>
      <w:r w:rsidRPr="008122B5">
        <w:t>.</w:t>
      </w:r>
    </w:p>
    <w:p w:rsidR="00885C1E" w:rsidRPr="004F7203" w:rsidRDefault="00885C1E" w:rsidP="00885C1E">
      <w:pPr>
        <w:pStyle w:val="Body"/>
      </w:pPr>
      <w:r>
        <w:t>Note: t</w:t>
      </w:r>
      <w:r w:rsidRPr="008122B5">
        <w:t xml:space="preserve">here </w:t>
      </w:r>
      <w:r>
        <w:t>is</w:t>
      </w:r>
      <w:r w:rsidRPr="008122B5">
        <w:t xml:space="preserve"> a transition period</w:t>
      </w:r>
      <w:r>
        <w:t xml:space="preserve"> </w:t>
      </w:r>
      <w:r w:rsidRPr="008122B5">
        <w:t>from 26 May to 31 December</w:t>
      </w:r>
      <w:r>
        <w:t xml:space="preserve"> 2017</w:t>
      </w:r>
      <w:r w:rsidRPr="008122B5">
        <w:t xml:space="preserve"> for implementation of the National Mortgage F</w:t>
      </w:r>
      <w:r>
        <w:t>orm, Client Authorisations and C</w:t>
      </w:r>
      <w:r w:rsidRPr="008122B5">
        <w:t>ertifications.</w:t>
      </w:r>
    </w:p>
    <w:p w:rsidR="00885C1E" w:rsidRPr="004F7203" w:rsidRDefault="00885C1E" w:rsidP="00885C1E">
      <w:pPr>
        <w:pStyle w:val="Heading3"/>
      </w:pPr>
      <w:r w:rsidRPr="004F7203">
        <w:t>July</w:t>
      </w:r>
    </w:p>
    <w:p w:rsidR="00885C1E" w:rsidRPr="00885C1E" w:rsidRDefault="00885C1E" w:rsidP="00885C1E">
      <w:pPr>
        <w:numPr>
          <w:ilvl w:val="0"/>
          <w:numId w:val="19"/>
        </w:numPr>
        <w:rPr>
          <w:rStyle w:val="BulletChar"/>
        </w:rPr>
      </w:pPr>
      <w:r w:rsidRPr="00885C1E">
        <w:rPr>
          <w:rStyle w:val="BulletChar"/>
        </w:rPr>
        <w:t>A second bulk conversion of paper Certificates of Title to electronic Certificates of Title will be</w:t>
      </w:r>
      <w:r w:rsidRPr="004F7203">
        <w:rPr>
          <w:color w:val="auto"/>
          <w:sz w:val="22"/>
          <w:szCs w:val="22"/>
        </w:rPr>
        <w:t xml:space="preserve"> </w:t>
      </w:r>
      <w:r w:rsidRPr="00885C1E">
        <w:rPr>
          <w:rStyle w:val="BulletChar"/>
        </w:rPr>
        <w:t>undertaken. Details will be provided in the next CIB.</w:t>
      </w:r>
    </w:p>
    <w:p w:rsidR="00885C1E" w:rsidRPr="004F7203" w:rsidRDefault="00885C1E" w:rsidP="00885C1E">
      <w:pPr>
        <w:pStyle w:val="Heading3"/>
      </w:pPr>
      <w:r w:rsidRPr="004F7203">
        <w:t xml:space="preserve">1 August </w:t>
      </w:r>
    </w:p>
    <w:p w:rsidR="00885C1E" w:rsidRPr="004F7203" w:rsidRDefault="00885C1E" w:rsidP="00C64561">
      <w:pPr>
        <w:pStyle w:val="Bullet"/>
      </w:pPr>
      <w:r w:rsidRPr="004F7203">
        <w:t>Commercial mortgages, refinance transactions (including commercial mortgages) to be lodged electronically whe</w:t>
      </w:r>
      <w:r>
        <w:t>n</w:t>
      </w:r>
      <w:r w:rsidRPr="004F7203">
        <w:t xml:space="preserve"> the mortgagee is an ADI</w:t>
      </w:r>
      <w:r>
        <w:t xml:space="preserve"> (or mortgagees are ADIs)</w:t>
      </w:r>
      <w:r w:rsidRPr="004F7203">
        <w:t>.</w:t>
      </w:r>
      <w:r>
        <w:t xml:space="preserve"> </w:t>
      </w:r>
      <w:r w:rsidRPr="004F7203">
        <w:t>This requirement applies to ADIs</w:t>
      </w:r>
      <w:r>
        <w:t>,</w:t>
      </w:r>
      <w:r w:rsidRPr="004F7203">
        <w:t xml:space="preserve"> and conveyancers and lawyers acting for an ADI.</w:t>
      </w:r>
    </w:p>
    <w:p w:rsidR="00885C1E" w:rsidRPr="004F7203" w:rsidRDefault="00885C1E" w:rsidP="00885C1E">
      <w:pPr>
        <w:pStyle w:val="Heading3"/>
      </w:pPr>
      <w:r w:rsidRPr="004F7203">
        <w:lastRenderedPageBreak/>
        <w:t xml:space="preserve">November </w:t>
      </w:r>
    </w:p>
    <w:p w:rsidR="00885C1E" w:rsidRPr="00885C1E" w:rsidRDefault="00885C1E" w:rsidP="00885C1E">
      <w:pPr>
        <w:pStyle w:val="Bullet"/>
      </w:pPr>
      <w:r w:rsidRPr="004F7203">
        <w:t>Survivorship application functionality will be available in PEXA.</w:t>
      </w:r>
    </w:p>
    <w:p w:rsidR="00885C1E" w:rsidRPr="004F7203" w:rsidRDefault="00885C1E" w:rsidP="00885C1E">
      <w:pPr>
        <w:pStyle w:val="Heading3"/>
      </w:pPr>
      <w:r w:rsidRPr="004F7203">
        <w:t>1 December</w:t>
      </w:r>
    </w:p>
    <w:p w:rsidR="00885C1E" w:rsidRPr="004F7203" w:rsidRDefault="00885C1E" w:rsidP="00885C1E">
      <w:pPr>
        <w:pStyle w:val="Bullet"/>
      </w:pPr>
      <w:r w:rsidRPr="004F7203">
        <w:t>Standalone caveats and withdrawals of caveat to be lodged electronically. This requirement applies to conveyancers and lawyers acting for a party or for themselves</w:t>
      </w:r>
      <w:r>
        <w:t>,</w:t>
      </w:r>
      <w:r w:rsidRPr="004F7203">
        <w:t xml:space="preserve"> and PEXA </w:t>
      </w:r>
      <w:r>
        <w:t>s</w:t>
      </w:r>
      <w:r w:rsidRPr="004F7203">
        <w:t>ubscribers.</w:t>
      </w:r>
    </w:p>
    <w:p w:rsidR="00885C1E" w:rsidRDefault="00885C1E" w:rsidP="00885C1E">
      <w:pPr>
        <w:pStyle w:val="Bullet"/>
      </w:pPr>
      <w:r w:rsidRPr="004F7203">
        <w:t xml:space="preserve">Non-ADI standalone discharges of mortgage, standalone mortgages and refinance transactions are to be lodged electronically. This requirement applies to conveyancers and lawyers acting for a non-ADI and non-ADIs who are PEXA </w:t>
      </w:r>
      <w:r>
        <w:t>s</w:t>
      </w:r>
      <w:r w:rsidRPr="004F7203">
        <w:t>ubscribers.</w:t>
      </w:r>
    </w:p>
    <w:p w:rsidR="00885C1E" w:rsidRDefault="00885C1E" w:rsidP="00885C1E">
      <w:pPr>
        <w:pStyle w:val="Heading2"/>
      </w:pPr>
      <w:r w:rsidRPr="004F7203">
        <w:t>2018</w:t>
      </w:r>
    </w:p>
    <w:p w:rsidR="00885C1E" w:rsidRPr="004F7203" w:rsidRDefault="00885C1E" w:rsidP="00885C1E">
      <w:pPr>
        <w:pStyle w:val="Heading3"/>
      </w:pPr>
      <w:r w:rsidRPr="004F7203">
        <w:t>1 January</w:t>
      </w:r>
    </w:p>
    <w:p w:rsidR="00885C1E" w:rsidRPr="007C46AF" w:rsidRDefault="00885C1E" w:rsidP="007C46AF">
      <w:pPr>
        <w:pStyle w:val="Bullet"/>
      </w:pPr>
      <w:r w:rsidRPr="004F7203">
        <w:t>Transition period</w:t>
      </w:r>
      <w:r>
        <w:t xml:space="preserve"> ends</w:t>
      </w:r>
      <w:r w:rsidRPr="004F7203">
        <w:t xml:space="preserve"> for </w:t>
      </w:r>
      <w:r>
        <w:t xml:space="preserve">the national </w:t>
      </w:r>
      <w:r w:rsidRPr="004F7203">
        <w:t>mortgage</w:t>
      </w:r>
      <w:r>
        <w:t xml:space="preserve"> form</w:t>
      </w:r>
      <w:r w:rsidRPr="004F7203">
        <w:t xml:space="preserve">, Client Authorisations and </w:t>
      </w:r>
      <w:r>
        <w:t>C</w:t>
      </w:r>
      <w:r w:rsidRPr="004F7203">
        <w:t>ertifications.</w:t>
      </w:r>
    </w:p>
    <w:p w:rsidR="00885C1E" w:rsidRPr="004F7203" w:rsidRDefault="00885C1E" w:rsidP="00885C1E">
      <w:pPr>
        <w:pStyle w:val="Heading3"/>
      </w:pPr>
      <w:r w:rsidRPr="004F7203">
        <w:t>1 March</w:t>
      </w:r>
    </w:p>
    <w:p w:rsidR="00885C1E" w:rsidRPr="00885C1E" w:rsidRDefault="00885C1E" w:rsidP="00885C1E">
      <w:pPr>
        <w:pStyle w:val="Bullet"/>
      </w:pPr>
      <w:r w:rsidRPr="004F7203">
        <w:t>All survivorship applications and standalone transfers must be lodged electronically. This requirement applies to conveyancers and lawyers acting for a party or themselves</w:t>
      </w:r>
      <w:r>
        <w:t>,</w:t>
      </w:r>
      <w:r w:rsidRPr="004F7203">
        <w:t xml:space="preserve"> and PEXA </w:t>
      </w:r>
      <w:r>
        <w:t>s</w:t>
      </w:r>
      <w:r w:rsidRPr="004F7203">
        <w:t>ubscribers.</w:t>
      </w:r>
    </w:p>
    <w:p w:rsidR="00885C1E" w:rsidRPr="004F7203" w:rsidRDefault="00885C1E" w:rsidP="00885C1E">
      <w:pPr>
        <w:pStyle w:val="Heading3"/>
      </w:pPr>
      <w:r w:rsidRPr="004F7203">
        <w:t>1 October</w:t>
      </w:r>
    </w:p>
    <w:p w:rsidR="00885C1E" w:rsidRPr="004F7203" w:rsidRDefault="00885C1E" w:rsidP="00885C1E">
      <w:pPr>
        <w:pStyle w:val="Bullet"/>
      </w:pPr>
      <w:r w:rsidRPr="004F7203">
        <w:t>All combinations of transactions available in PEXA to be lodged electronically.</w:t>
      </w:r>
      <w:r>
        <w:t xml:space="preserve"> </w:t>
      </w:r>
      <w:r w:rsidRPr="004F7203">
        <w:t>For example, a case comprising a withdrawal of caveat, discharge of mortgage, transfer and mortgage. This requirement applies to conveyancers and lawyers acting for a party or themselves</w:t>
      </w:r>
      <w:r>
        <w:t>,</w:t>
      </w:r>
      <w:r w:rsidRPr="004F7203">
        <w:t xml:space="preserve"> and PEXA </w:t>
      </w:r>
      <w:r>
        <w:t>s</w:t>
      </w:r>
      <w:r w:rsidRPr="004F7203">
        <w:t>ubscribers.</w:t>
      </w:r>
    </w:p>
    <w:p w:rsidR="00885C1E" w:rsidRPr="004F7203" w:rsidRDefault="00885C1E" w:rsidP="00885C1E">
      <w:pPr>
        <w:pStyle w:val="Heading2"/>
      </w:pPr>
      <w:r w:rsidRPr="004F7203">
        <w:t>2019</w:t>
      </w:r>
    </w:p>
    <w:p w:rsidR="00885C1E" w:rsidRPr="004F7203" w:rsidRDefault="00885C1E" w:rsidP="00885C1E">
      <w:pPr>
        <w:pStyle w:val="Heading3"/>
      </w:pPr>
      <w:r w:rsidRPr="004F7203">
        <w:t>1 August</w:t>
      </w:r>
    </w:p>
    <w:p w:rsidR="00885C1E" w:rsidRPr="004F7203" w:rsidRDefault="00885C1E" w:rsidP="00885C1E">
      <w:pPr>
        <w:pStyle w:val="Bullet"/>
      </w:pPr>
      <w:r w:rsidRPr="004F7203">
        <w:t>All transactions to be lodged electronically. This requirement applies to conveyancers and lawyers acting for a party or themselves</w:t>
      </w:r>
      <w:r>
        <w:t>,</w:t>
      </w:r>
      <w:r w:rsidRPr="004F7203">
        <w:t xml:space="preserve"> and PEXA </w:t>
      </w:r>
      <w:r>
        <w:t>s</w:t>
      </w:r>
      <w:r w:rsidRPr="004F7203">
        <w:t>ubscribers.</w:t>
      </w:r>
    </w:p>
    <w:p w:rsidR="00885C1E" w:rsidRPr="00885C1E" w:rsidRDefault="00885C1E" w:rsidP="00885C1E">
      <w:pPr>
        <w:pStyle w:val="Body"/>
      </w:pPr>
      <w:r w:rsidRPr="004F7203">
        <w:t>The exception will be when there is an existing paper instrument that has been signed prior to the date when electronic lodgement of that class of instrument or transaction is required.</w:t>
      </w:r>
    </w:p>
    <w:p w:rsidR="00885C1E" w:rsidRPr="00885C1E" w:rsidRDefault="00885C1E" w:rsidP="00885C1E">
      <w:pPr>
        <w:pStyle w:val="Heading1"/>
      </w:pPr>
      <w:r w:rsidRPr="002550F4">
        <w:t xml:space="preserve">New process enables five-day subdivision registration </w:t>
      </w:r>
    </w:p>
    <w:p w:rsidR="00885C1E" w:rsidRDefault="00885C1E" w:rsidP="00885C1E">
      <w:pPr>
        <w:pStyle w:val="Body"/>
      </w:pPr>
      <w:r>
        <w:t xml:space="preserve">In </w:t>
      </w:r>
      <w:r w:rsidRPr="00885C1E">
        <w:t>response</w:t>
      </w:r>
      <w:r>
        <w:t xml:space="preserve"> to customer feedback about Land Use Victoria (LUV) trialling a new system that aims to improve timeframes for registration of subdivisions of 10 or more lots </w:t>
      </w:r>
      <w:r>
        <w:rPr>
          <w:rFonts w:eastAsiaTheme="minorEastAsia"/>
        </w:rPr>
        <w:t>(refer</w:t>
      </w:r>
      <w:r w:rsidRPr="00FD1F94">
        <w:rPr>
          <w:rFonts w:eastAsiaTheme="minorEastAsia"/>
        </w:rPr>
        <w:t xml:space="preserve"> Customer Information Bulletin</w:t>
      </w:r>
      <w:r>
        <w:rPr>
          <w:rFonts w:eastAsiaTheme="minorEastAsia"/>
        </w:rPr>
        <w:t xml:space="preserve"> </w:t>
      </w:r>
      <w:r w:rsidRPr="00FD1F94">
        <w:rPr>
          <w:rFonts w:eastAsiaTheme="minorEastAsia"/>
        </w:rPr>
        <w:t>164</w:t>
      </w:r>
      <w:r>
        <w:rPr>
          <w:rFonts w:eastAsiaTheme="minorEastAsia"/>
        </w:rPr>
        <w:t>, April 2017)</w:t>
      </w:r>
      <w:r>
        <w:t>, LUV provides the following information to clarify the circumstances when these plans will be subject to the standard registration timeframes.</w:t>
      </w:r>
    </w:p>
    <w:p w:rsidR="00885C1E" w:rsidRDefault="00885C1E" w:rsidP="00885C1E">
      <w:pPr>
        <w:pStyle w:val="Body"/>
      </w:pPr>
      <w:r>
        <w:t xml:space="preserve">Lodged plans that require any of the following </w:t>
      </w:r>
      <w:r w:rsidRPr="00B56F53">
        <w:t>will lose their accelerated status and be subject to the standard registration timeframes</w:t>
      </w:r>
      <w:r>
        <w:t xml:space="preserve">: </w:t>
      </w:r>
    </w:p>
    <w:p w:rsidR="00885C1E" w:rsidRDefault="00885C1E" w:rsidP="00885C1E">
      <w:pPr>
        <w:pStyle w:val="Bullet"/>
      </w:pPr>
      <w:r>
        <w:t xml:space="preserve">re-certification </w:t>
      </w:r>
    </w:p>
    <w:p w:rsidR="00885C1E" w:rsidRDefault="00885C1E" w:rsidP="00885C1E">
      <w:pPr>
        <w:pStyle w:val="Bullet"/>
      </w:pPr>
      <w:r>
        <w:t xml:space="preserve">consent to an amendment by a council </w:t>
      </w:r>
    </w:p>
    <w:p w:rsidR="00885C1E" w:rsidRDefault="00885C1E" w:rsidP="00885C1E">
      <w:pPr>
        <w:pStyle w:val="Bullet"/>
      </w:pPr>
      <w:r>
        <w:t>answers to any other requisitions; or, any other amendments to the plan or associated documents, not satisfied within 24 hours.</w:t>
      </w:r>
    </w:p>
    <w:p w:rsidR="00885C1E" w:rsidRDefault="00885C1E" w:rsidP="00885C1E">
      <w:pPr>
        <w:pStyle w:val="Body"/>
      </w:pPr>
      <w:r>
        <w:lastRenderedPageBreak/>
        <w:t xml:space="preserve">The performance target for </w:t>
      </w:r>
      <w:r w:rsidRPr="00B56F53">
        <w:t xml:space="preserve">standard registration timeframes </w:t>
      </w:r>
      <w:r>
        <w:t>is 15 business days from lodgement.</w:t>
      </w:r>
    </w:p>
    <w:p w:rsidR="00885C1E" w:rsidRDefault="00885C1E" w:rsidP="00885C1E">
      <w:pPr>
        <w:pStyle w:val="Body"/>
      </w:pPr>
      <w:r>
        <w:t xml:space="preserve">Customers are also advised to contact </w:t>
      </w:r>
      <w:hyperlink r:id="rId17" w:history="1">
        <w:r w:rsidRPr="00FC2183">
          <w:rPr>
            <w:rStyle w:val="Hyperlink"/>
          </w:rPr>
          <w:t>subdivision.branch@delwp.vic.gov.au</w:t>
        </w:r>
      </w:hyperlink>
      <w:r>
        <w:t xml:space="preserve"> in circumstances where a 10 or more-lot plan is dependent on a leader plan with less than 10 lots, once the 10 or more-lot plan has been successfully lodged. Upon receiving this advice, the Subdivision Branch will examine the plans together, in accordance with the conditions of the new system.</w:t>
      </w:r>
    </w:p>
    <w:p w:rsidR="00885C1E" w:rsidRDefault="00885C1E" w:rsidP="00885C1E">
      <w:pPr>
        <w:pStyle w:val="Body"/>
      </w:pPr>
      <w:r>
        <w:t xml:space="preserve">The new system is on trial until the end of June. It will then be reviewed. </w:t>
      </w:r>
    </w:p>
    <w:p w:rsidR="00885C1E" w:rsidRDefault="00885C1E" w:rsidP="00885C1E">
      <w:pPr>
        <w:pStyle w:val="Body"/>
      </w:pPr>
      <w:r>
        <w:t xml:space="preserve">Land Use Victoria encourages everyone involved in lodging plans of subdivision to carefully check all details of the plans and associated documents to avoid them being requisitioned. </w:t>
      </w:r>
    </w:p>
    <w:p w:rsidR="00885C1E" w:rsidRPr="00676CDD" w:rsidRDefault="00885C1E" w:rsidP="00885C1E">
      <w:pPr>
        <w:pStyle w:val="Heading1"/>
      </w:pPr>
      <w:r>
        <w:t>Reminder – n</w:t>
      </w:r>
      <w:r w:rsidRPr="00676CDD">
        <w:t>ew website for Land Use Victoria</w:t>
      </w:r>
    </w:p>
    <w:p w:rsidR="00885C1E" w:rsidRDefault="00885C1E" w:rsidP="00885C1E">
      <w:pPr>
        <w:pStyle w:val="Body"/>
      </w:pPr>
      <w:r>
        <w:t>Our</w:t>
      </w:r>
      <w:r w:rsidRPr="007045D1">
        <w:t xml:space="preserve"> new website (www.propertyandlandtitles.vic.gov.au) was launched on 8 May, with </w:t>
      </w:r>
      <w:r w:rsidRPr="007045D1">
        <w:rPr>
          <w:rFonts w:eastAsia="Calibri" w:cs="Calibri"/>
        </w:rPr>
        <w:t>easier to use functionality</w:t>
      </w:r>
      <w:r w:rsidRPr="007045D1">
        <w:t>.</w:t>
      </w:r>
    </w:p>
    <w:p w:rsidR="00885C1E" w:rsidRPr="007045D1" w:rsidRDefault="00885C1E" w:rsidP="00885C1E">
      <w:pPr>
        <w:pStyle w:val="Body"/>
        <w:rPr>
          <w:rFonts w:eastAsia="Calibri"/>
        </w:rPr>
      </w:pPr>
      <w:r w:rsidRPr="007045D1">
        <w:rPr>
          <w:rFonts w:eastAsia="Calibri"/>
        </w:rPr>
        <w:t xml:space="preserve">The new site was created following consultation across Victoria to gain an understanding of what </w:t>
      </w:r>
      <w:r>
        <w:rPr>
          <w:rFonts w:eastAsia="Calibri"/>
        </w:rPr>
        <w:t>DELWP</w:t>
      </w:r>
      <w:r w:rsidRPr="007045D1">
        <w:rPr>
          <w:rFonts w:eastAsia="Calibri"/>
        </w:rPr>
        <w:t xml:space="preserve"> customers want from the DELWP website. </w:t>
      </w:r>
    </w:p>
    <w:p w:rsidR="00885C1E" w:rsidRPr="007045D1" w:rsidRDefault="00885C1E" w:rsidP="00885C1E">
      <w:pPr>
        <w:pStyle w:val="Body"/>
        <w:rPr>
          <w:rFonts w:eastAsia="Calibri"/>
        </w:rPr>
      </w:pPr>
      <w:r w:rsidRPr="007045D1">
        <w:rPr>
          <w:rFonts w:eastAsia="Calibri"/>
        </w:rPr>
        <w:t>Specific features you will find in the new website are:</w:t>
      </w:r>
    </w:p>
    <w:p w:rsidR="00885C1E" w:rsidRPr="007045D1" w:rsidRDefault="00885C1E" w:rsidP="00885C1E">
      <w:pPr>
        <w:pStyle w:val="Bullet"/>
        <w:rPr>
          <w:rFonts w:eastAsia="Calibri" w:cs="Calibri"/>
          <w:color w:val="000000"/>
        </w:rPr>
      </w:pPr>
      <w:r w:rsidRPr="007045D1">
        <w:rPr>
          <w:rFonts w:eastAsia="Calibri" w:cs="Calibri"/>
          <w:color w:val="000000"/>
        </w:rPr>
        <w:t xml:space="preserve">easy to navigate </w:t>
      </w:r>
      <w:hyperlink r:id="rId18" w:history="1">
        <w:r w:rsidRPr="007045D1">
          <w:rPr>
            <w:rStyle w:val="Hyperlink"/>
            <w:rFonts w:eastAsia="Calibri" w:cs="Calibri"/>
            <w:szCs w:val="22"/>
          </w:rPr>
          <w:t>forms, guides and fees</w:t>
        </w:r>
      </w:hyperlink>
      <w:r w:rsidRPr="007045D1">
        <w:rPr>
          <w:rFonts w:eastAsia="Calibri" w:cs="Calibri"/>
          <w:color w:val="000000"/>
        </w:rPr>
        <w:t xml:space="preserve"> pages</w:t>
      </w:r>
      <w:r>
        <w:rPr>
          <w:rFonts w:eastAsia="Calibri" w:cs="Calibri"/>
          <w:color w:val="000000"/>
        </w:rPr>
        <w:t xml:space="preserve"> </w:t>
      </w:r>
      <w:r>
        <w:rPr>
          <w:iCs/>
        </w:rPr>
        <w:t xml:space="preserve">at </w:t>
      </w:r>
      <w:hyperlink r:id="rId19" w:history="1">
        <w:r w:rsidRPr="00CC0885">
          <w:rPr>
            <w:rStyle w:val="Hyperlink"/>
            <w:szCs w:val="22"/>
          </w:rPr>
          <w:t>www.propertyandlandtitles.vic.gov.au/forms-guides-and-fees</w:t>
        </w:r>
      </w:hyperlink>
    </w:p>
    <w:p w:rsidR="00885C1E" w:rsidRPr="007045D1" w:rsidRDefault="00885C1E" w:rsidP="00885C1E">
      <w:pPr>
        <w:pStyle w:val="Bullet"/>
        <w:rPr>
          <w:rFonts w:eastAsia="Calibri" w:cs="Calibri"/>
          <w:color w:val="000000"/>
        </w:rPr>
      </w:pPr>
      <w:r w:rsidRPr="007045D1">
        <w:rPr>
          <w:rFonts w:eastAsia="Calibri" w:cs="Calibri"/>
          <w:color w:val="000000"/>
        </w:rPr>
        <w:t>a drop-down menu on the top right-hand of each page that takes you to all the most popular locations</w:t>
      </w:r>
    </w:p>
    <w:p w:rsidR="00885C1E" w:rsidRPr="007045D1" w:rsidRDefault="00885C1E" w:rsidP="00885C1E">
      <w:pPr>
        <w:pStyle w:val="Bullet"/>
        <w:rPr>
          <w:rFonts w:eastAsia="Calibri" w:cs="Calibri"/>
          <w:color w:val="000000"/>
        </w:rPr>
      </w:pPr>
      <w:r w:rsidRPr="007045D1">
        <w:t xml:space="preserve">a search box. </w:t>
      </w:r>
    </w:p>
    <w:p w:rsidR="00885C1E" w:rsidRDefault="00885C1E" w:rsidP="00885C1E">
      <w:pPr>
        <w:pStyle w:val="Body"/>
      </w:pPr>
      <w:r w:rsidRPr="007045D1">
        <w:t xml:space="preserve">Any Land Use Victoria pages </w:t>
      </w:r>
      <w:r>
        <w:t xml:space="preserve">you bookmarked </w:t>
      </w:r>
      <w:r w:rsidRPr="007045D1">
        <w:t>from the previous website should continue to work</w:t>
      </w:r>
      <w:r w:rsidR="007C46AF">
        <w:t>; however, we strongly recommend updating your bookmarks to the new URLs</w:t>
      </w:r>
      <w:r w:rsidRPr="007045D1">
        <w:t xml:space="preserve">. </w:t>
      </w:r>
    </w:p>
    <w:p w:rsidR="00885C1E" w:rsidRPr="007045D1" w:rsidRDefault="00885C1E" w:rsidP="00885C1E">
      <w:pPr>
        <w:pStyle w:val="Body"/>
      </w:pPr>
      <w:r>
        <w:t xml:space="preserve">If </w:t>
      </w:r>
      <w:r w:rsidRPr="007045D1">
        <w:t>you have any enquiries, please contact Land Registry Services on 8636 2010.</w:t>
      </w:r>
    </w:p>
    <w:p w:rsidR="00885C1E" w:rsidRPr="0074625D" w:rsidRDefault="00885C1E" w:rsidP="00885C1E">
      <w:pPr>
        <w:pStyle w:val="Heading1"/>
      </w:pPr>
      <w:r w:rsidRPr="0074625D">
        <w:t>Land Use Victoria is moving</w:t>
      </w:r>
    </w:p>
    <w:p w:rsidR="00885C1E" w:rsidRDefault="00885C1E" w:rsidP="00885C1E">
      <w:pPr>
        <w:pStyle w:val="Body"/>
        <w:rPr>
          <w:rFonts w:eastAsia="Calibri"/>
        </w:rPr>
      </w:pPr>
      <w:r w:rsidRPr="0074625D">
        <w:rPr>
          <w:rFonts w:eastAsia="Calibri"/>
        </w:rPr>
        <w:t>After more than 15 years at 570 Bourke Street</w:t>
      </w:r>
      <w:r>
        <w:rPr>
          <w:rFonts w:eastAsia="Calibri"/>
        </w:rPr>
        <w:t>,</w:t>
      </w:r>
      <w:r w:rsidRPr="0074625D">
        <w:rPr>
          <w:rFonts w:eastAsia="Calibri"/>
        </w:rPr>
        <w:t xml:space="preserve"> Land Use Victoria is moving to 2 Lonsdale Street. The move </w:t>
      </w:r>
      <w:r>
        <w:rPr>
          <w:rFonts w:eastAsia="Calibri"/>
        </w:rPr>
        <w:t xml:space="preserve">is scheduled to </w:t>
      </w:r>
      <w:r w:rsidRPr="0074625D">
        <w:rPr>
          <w:rFonts w:eastAsia="Calibri"/>
        </w:rPr>
        <w:t>occur in August but more information will be provided in future editions.</w:t>
      </w:r>
    </w:p>
    <w:p w:rsidR="00885C1E" w:rsidRPr="004F627B" w:rsidRDefault="00885C1E" w:rsidP="00885C1E">
      <w:pPr>
        <w:pStyle w:val="Heading1"/>
      </w:pPr>
      <w:r w:rsidRPr="004F627B">
        <w:t>Contact us</w:t>
      </w:r>
    </w:p>
    <w:p w:rsidR="00885C1E" w:rsidRDefault="00885C1E" w:rsidP="00885C1E">
      <w:pPr>
        <w:pStyle w:val="Body"/>
      </w:pPr>
      <w:r w:rsidRPr="00FF4197">
        <w:rPr>
          <w:rFonts w:eastAsia="Calibri"/>
        </w:rPr>
        <w:t xml:space="preserve">For </w:t>
      </w:r>
      <w:hyperlink r:id="rId20" w:history="1">
        <w:r w:rsidRPr="00DB36BB">
          <w:rPr>
            <w:rStyle w:val="Hyperlink"/>
            <w:rFonts w:eastAsia="Calibri"/>
          </w:rPr>
          <w:t>location and contact details</w:t>
        </w:r>
      </w:hyperlink>
      <w:r w:rsidRPr="00FF4197">
        <w:rPr>
          <w:rFonts w:eastAsia="Calibri"/>
        </w:rPr>
        <w:t>, go to</w:t>
      </w:r>
      <w:r>
        <w:rPr>
          <w:rFonts w:eastAsia="Calibri"/>
        </w:rPr>
        <w:t xml:space="preserve"> </w:t>
      </w:r>
      <w:hyperlink r:id="rId21" w:history="1">
        <w:r w:rsidRPr="00A2084C">
          <w:rPr>
            <w:rStyle w:val="Hyperlink"/>
          </w:rPr>
          <w:t>www.propertyandlandtitles.vic.gov.au/contact-us</w:t>
        </w:r>
      </w:hyperlink>
      <w:r>
        <w:t>.</w:t>
      </w:r>
    </w:p>
    <w:p w:rsidR="00885C1E" w:rsidRPr="004F627B" w:rsidRDefault="00885C1E" w:rsidP="00885C1E">
      <w:pPr>
        <w:pStyle w:val="Heading1"/>
        <w:rPr>
          <w:rFonts w:eastAsia="Calibri"/>
        </w:rPr>
      </w:pPr>
      <w:r w:rsidRPr="004F627B">
        <w:rPr>
          <w:rFonts w:eastAsia="Calibri"/>
        </w:rPr>
        <w:t>Subscribe</w:t>
      </w:r>
    </w:p>
    <w:p w:rsidR="00885C1E" w:rsidRPr="00187F89" w:rsidRDefault="00885C1E" w:rsidP="00885C1E">
      <w:pPr>
        <w:pStyle w:val="Body"/>
        <w:rPr>
          <w:rFonts w:eastAsia="Calibri"/>
        </w:rPr>
      </w:pPr>
      <w:r w:rsidRPr="00FF4197">
        <w:rPr>
          <w:rFonts w:eastAsia="Calibri"/>
        </w:rPr>
        <w:t>To receive the Customer Information Bulletin online, please send an email to lv.cib@delwp.vic.gov.au with SUBSCRIBE in the subject line – include your name and email address in the body of the email.</w:t>
      </w:r>
    </w:p>
    <w:p w:rsidR="00885C1E" w:rsidRDefault="00885C1E" w:rsidP="00885C1E"/>
    <w:p w:rsidR="00885C1E" w:rsidRDefault="00885C1E" w:rsidP="00885C1E">
      <w:pPr>
        <w:spacing w:after="200" w:line="276" w:lineRule="auto"/>
        <w:rPr>
          <w:sz w:val="22"/>
          <w:szCs w:val="22"/>
        </w:rPr>
      </w:pPr>
      <w:r>
        <w:rPr>
          <w:sz w:val="22"/>
          <w:szCs w:val="22"/>
        </w:rPr>
        <w:br w:type="page"/>
      </w:r>
    </w:p>
    <w:p w:rsidR="00885C1E" w:rsidRDefault="00885C1E" w:rsidP="00885C1E">
      <w:pPr>
        <w:pStyle w:val="Heading1"/>
      </w:pPr>
      <w:r w:rsidRPr="004F4809">
        <w:lastRenderedPageBreak/>
        <w:t>Example Forms</w:t>
      </w:r>
    </w:p>
    <w:p w:rsidR="00885C1E" w:rsidRDefault="00885C1E" w:rsidP="00885C1E">
      <w:pPr>
        <w:rPr>
          <w:b/>
          <w:color w:val="E1A9AC" w:themeColor="accent5"/>
          <w:sz w:val="40"/>
          <w:szCs w:val="40"/>
        </w:rPr>
      </w:pPr>
      <w:r w:rsidRPr="00FD1F94">
        <w:rPr>
          <w:b/>
          <w:color w:val="E1A9AC" w:themeColor="accent5"/>
          <w:sz w:val="40"/>
          <w:szCs w:val="40"/>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1pt;height:505.45pt" o:ole="">
            <v:imagedata r:id="rId22" o:title=""/>
          </v:shape>
          <o:OLEObject Type="Embed" ProgID="Acrobat.Document.11" ShapeID="_x0000_i1025" DrawAspect="Content" ObjectID="_1527081113" r:id="rId23"/>
        </w:object>
      </w:r>
    </w:p>
    <w:p w:rsidR="00885C1E" w:rsidRDefault="00885C1E" w:rsidP="00885C1E">
      <w:pPr>
        <w:rPr>
          <w:rFonts w:ascii="Arial" w:hAnsi="Arial"/>
        </w:rPr>
      </w:pPr>
      <w:r w:rsidRPr="00FD1F94">
        <w:rPr>
          <w:rFonts w:ascii="Arial" w:hAnsi="Arial"/>
        </w:rPr>
        <w:object w:dxaOrig="7140" w:dyaOrig="10092">
          <v:shape id="_x0000_i1026" type="#_x0000_t75" style="width:357.1pt;height:505.45pt" o:ole="">
            <v:imagedata r:id="rId24" o:title=""/>
          </v:shape>
          <o:OLEObject Type="Embed" ProgID="Acrobat.Document.11" ShapeID="_x0000_i1026" DrawAspect="Content" ObjectID="_1527081114" r:id="rId25"/>
        </w:object>
      </w:r>
    </w:p>
    <w:p w:rsidR="00885C1E" w:rsidRDefault="00885C1E" w:rsidP="00885C1E">
      <w:pPr>
        <w:rPr>
          <w:rFonts w:ascii="Arial" w:hAnsi="Arial"/>
        </w:rPr>
      </w:pPr>
    </w:p>
    <w:p w:rsidR="00885C1E" w:rsidRDefault="00885C1E" w:rsidP="00885C1E">
      <w:pPr>
        <w:rPr>
          <w:rFonts w:ascii="Arial" w:hAnsi="Arial"/>
        </w:rPr>
      </w:pPr>
    </w:p>
    <w:p w:rsidR="00885C1E" w:rsidRDefault="00885C1E" w:rsidP="00885C1E">
      <w:pPr>
        <w:rPr>
          <w:rFonts w:ascii="Arial" w:hAnsi="Arial"/>
        </w:rPr>
      </w:pPr>
    </w:p>
    <w:p w:rsidR="00885C1E" w:rsidRDefault="00885C1E" w:rsidP="00885C1E">
      <w:pPr>
        <w:rPr>
          <w:rFonts w:ascii="Arial" w:hAnsi="Arial"/>
        </w:rPr>
      </w:pPr>
      <w:r w:rsidRPr="00FD1F94">
        <w:rPr>
          <w:rFonts w:ascii="Arial" w:hAnsi="Arial"/>
        </w:rPr>
        <w:object w:dxaOrig="7140" w:dyaOrig="10092">
          <v:shape id="_x0000_i1027" type="#_x0000_t75" style="width:357.1pt;height:505.45pt" o:ole="">
            <v:imagedata r:id="rId26" o:title=""/>
          </v:shape>
          <o:OLEObject Type="Embed" ProgID="Acrobat.Document.11" ShapeID="_x0000_i1027" DrawAspect="Content" ObjectID="_1527081115" r:id="rId27"/>
        </w:object>
      </w:r>
    </w:p>
    <w:p w:rsidR="003D1370" w:rsidRPr="00885C1E" w:rsidRDefault="00885C1E" w:rsidP="00885C1E">
      <w:pPr>
        <w:rPr>
          <w:rFonts w:ascii="Arial" w:hAnsi="Arial"/>
        </w:rPr>
      </w:pPr>
      <w:r w:rsidRPr="00FD1F94">
        <w:rPr>
          <w:rFonts w:ascii="Arial" w:hAnsi="Arial"/>
        </w:rPr>
        <w:object w:dxaOrig="7140" w:dyaOrig="10092">
          <v:shape id="_x0000_i1028" type="#_x0000_t75" style="width:357.1pt;height:505.45pt" o:ole="">
            <v:imagedata r:id="rId28" o:title=""/>
          </v:shape>
          <o:OLEObject Type="Embed" ProgID="Acrobat.Document.11" ShapeID="_x0000_i1028" DrawAspect="Content" ObjectID="_1527081116" r:id="rId29"/>
        </w:objec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C76E2">
              <w:rPr>
                <w:noProof/>
              </w:rPr>
              <w:t>2020</w:t>
            </w:r>
            <w:r>
              <w:fldChar w:fldCharType="end"/>
            </w:r>
          </w:p>
          <w:p w:rsidR="00001E86" w:rsidRDefault="00001E86" w:rsidP="00C255C2">
            <w:pPr>
              <w:pStyle w:val="SmallBodyText"/>
            </w:pPr>
            <w:r>
              <w:rPr>
                <w:noProof/>
                <w:lang w:val="en-US" w:eastAsia="en-US"/>
              </w:rPr>
              <w:drawing>
                <wp:anchor distT="0" distB="0" distL="114300" distR="36195" simplePos="0" relativeHeight="251656192" behindDoc="0" locked="1" layoutInCell="1" allowOverlap="1" wp14:anchorId="29105FBD" wp14:editId="74359259">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3" w:name="_Accessibility"/>
            <w:bookmarkEnd w:id="3"/>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31" w:history="1">
              <w:r w:rsidRPr="003C5C56">
                <w:t>customer.service@delwp.vic.gov.au</w:t>
              </w:r>
            </w:hyperlink>
            <w:r>
              <w:t xml:space="preserve">, or via the National Relay Service on 133 677 </w:t>
            </w:r>
            <w:hyperlink r:id="rId32" w:history="1">
              <w:r w:rsidRPr="00AE3298">
                <w:t>www.relayservice.com.au</w:t>
              </w:r>
            </w:hyperlink>
            <w:r>
              <w:t xml:space="preserve">. This document is also available on the internet at </w:t>
            </w:r>
            <w:hyperlink r:id="rId33" w:history="1">
              <w:r w:rsidRPr="00AE3298">
                <w:t>www.delwp.vic.gov.au</w:t>
              </w:r>
            </w:hyperlink>
            <w:r>
              <w:t xml:space="preserve">. </w:t>
            </w:r>
          </w:p>
          <w:p w:rsidR="00001E86" w:rsidRDefault="00001E86" w:rsidP="00C255C2">
            <w:pPr>
              <w:pStyle w:val="SmallBodyText"/>
            </w:pPr>
          </w:p>
        </w:tc>
      </w:tr>
    </w:tbl>
    <w:p w:rsidR="00001E86" w:rsidRPr="00806AB6" w:rsidRDefault="00001E86" w:rsidP="003D1370"/>
    <w:sectPr w:rsidR="00001E86" w:rsidRPr="00806AB6" w:rsidSect="003D025A">
      <w:type w:val="continuous"/>
      <w:pgSz w:w="11907" w:h="16840" w:code="9"/>
      <w:pgMar w:top="2211" w:right="851" w:bottom="794" w:left="851" w:header="284" w:footer="483"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2D6" w:rsidRDefault="003142D6">
      <w:r>
        <w:separator/>
      </w:r>
    </w:p>
    <w:p w:rsidR="003142D6" w:rsidRDefault="003142D6"/>
    <w:p w:rsidR="003142D6" w:rsidRDefault="003142D6"/>
  </w:endnote>
  <w:endnote w:type="continuationSeparator" w:id="0">
    <w:p w:rsidR="003142D6" w:rsidRDefault="003142D6">
      <w:r>
        <w:continuationSeparator/>
      </w:r>
    </w:p>
    <w:p w:rsidR="003142D6" w:rsidRDefault="003142D6"/>
    <w:p w:rsidR="003142D6" w:rsidRDefault="00314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Webdings">
    <w:panose1 w:val="05030102010509060703"/>
    <w:charset w:val="02"/>
    <w:family w:val="auto"/>
    <w:pitch w:val="variable"/>
    <w:sig w:usb0="00000000" w:usb1="10000000" w:usb2="00000000" w:usb3="00000000" w:csb0="80000000" w:csb1="00000000"/>
  </w:font>
  <w:font w:name="新細明體">
    <w:charset w:val="51"/>
    <w:family w:val="auto"/>
    <w:pitch w:val="variable"/>
    <w:sig w:usb0="00000001" w:usb1="08080000" w:usb2="00000010" w:usb3="00000000" w:csb0="00100000" w:csb1="00000000"/>
  </w:font>
  <w:font w:name="Tahoma">
    <w:panose1 w:val="020B0604030504040204"/>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7591"/>
      <w:docPartObj>
        <w:docPartGallery w:val="Page Numbers (Top of Page)"/>
        <w:docPartUnique/>
      </w:docPartObj>
    </w:sdtPr>
    <w:sdtEndPr/>
    <w:sdtContent>
      <w:p w:rsidR="00835988" w:rsidRDefault="00835988" w:rsidP="003D025A">
        <w:pPr>
          <w:pStyle w:val="CaptionImageorFigure"/>
        </w:pPr>
        <w:r>
          <w:t>Customer Information Bulletin 166, June 2017</w:t>
        </w:r>
      </w:p>
      <w:p w:rsidR="00A209C4" w:rsidRPr="00E81944" w:rsidRDefault="003D025A" w:rsidP="00E81944">
        <w:pPr>
          <w:pStyle w:val="CaptionImageorFigure"/>
          <w:rPr>
            <w:b w:val="0"/>
            <w:bCs w:val="0"/>
            <w:sz w:val="20"/>
          </w:rPr>
        </w:pPr>
        <w:r>
          <w:t xml:space="preserve">Page </w:t>
        </w:r>
        <w:r>
          <w:rPr>
            <w:sz w:val="24"/>
            <w:szCs w:val="24"/>
          </w:rPr>
          <w:fldChar w:fldCharType="begin"/>
        </w:r>
        <w:r>
          <w:instrText xml:space="preserve"> PAGE </w:instrText>
        </w:r>
        <w:r>
          <w:rPr>
            <w:sz w:val="24"/>
            <w:szCs w:val="24"/>
          </w:rPr>
          <w:fldChar w:fldCharType="separate"/>
        </w:r>
        <w:r w:rsidR="00BC76E2">
          <w:rPr>
            <w:noProof/>
          </w:rPr>
          <w:t>2</w:t>
        </w:r>
        <w:r>
          <w:rPr>
            <w:sz w:val="24"/>
            <w:szCs w:val="24"/>
          </w:rPr>
          <w:fldChar w:fldCharType="end"/>
        </w:r>
        <w:r>
          <w:t xml:space="preserve"> of </w:t>
        </w:r>
        <w:r w:rsidR="00BC76E2">
          <w:fldChar w:fldCharType="begin"/>
        </w:r>
        <w:r w:rsidR="00BC76E2">
          <w:instrText xml:space="preserve"> NUMPAGES  </w:instrText>
        </w:r>
        <w:r w:rsidR="00BC76E2">
          <w:fldChar w:fldCharType="separate"/>
        </w:r>
        <w:r w:rsidR="00BC76E2">
          <w:rPr>
            <w:noProof/>
          </w:rPr>
          <w:t>8</w:t>
        </w:r>
        <w:r w:rsidR="00BC76E2">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595144"/>
      <w:docPartObj>
        <w:docPartGallery w:val="Page Numbers (Bottom of Page)"/>
        <w:docPartUnique/>
      </w:docPartObj>
    </w:sdtPr>
    <w:sdtEndPr/>
    <w:sdtContent>
      <w:sdt>
        <w:sdtPr>
          <w:id w:val="-1570262898"/>
          <w:docPartObj>
            <w:docPartGallery w:val="Page Numbers (Top of Page)"/>
            <w:docPartUnique/>
          </w:docPartObj>
        </w:sdtPr>
        <w:sdtEndPr/>
        <w:sdtContent>
          <w:p w:rsidR="00E81944" w:rsidRDefault="00E81944" w:rsidP="00E81944">
            <w:pPr>
              <w:pStyle w:val="CaptionImageorFigure"/>
            </w:pPr>
            <w:r>
              <w:t>Customer Information Bulletin 166, June 2017</w:t>
            </w:r>
          </w:p>
          <w:p w:rsidR="00A209C4" w:rsidRDefault="003D025A" w:rsidP="00E81944">
            <w:pPr>
              <w:pStyle w:val="CaptionImageorFigure"/>
            </w:pPr>
            <w:r>
              <w:t xml:space="preserve">Page </w:t>
            </w:r>
            <w:r>
              <w:rPr>
                <w:sz w:val="24"/>
                <w:szCs w:val="24"/>
              </w:rPr>
              <w:fldChar w:fldCharType="begin"/>
            </w:r>
            <w:r>
              <w:instrText xml:space="preserve"> PAGE </w:instrText>
            </w:r>
            <w:r>
              <w:rPr>
                <w:sz w:val="24"/>
                <w:szCs w:val="24"/>
              </w:rPr>
              <w:fldChar w:fldCharType="separate"/>
            </w:r>
            <w:r w:rsidR="00BC76E2">
              <w:rPr>
                <w:noProof/>
              </w:rPr>
              <w:t>3</w:t>
            </w:r>
            <w:r>
              <w:rPr>
                <w:sz w:val="24"/>
                <w:szCs w:val="24"/>
              </w:rPr>
              <w:fldChar w:fldCharType="end"/>
            </w:r>
            <w:r>
              <w:t xml:space="preserve"> of </w:t>
            </w:r>
            <w:r w:rsidR="00BC76E2">
              <w:fldChar w:fldCharType="begin"/>
            </w:r>
            <w:r w:rsidR="00BC76E2">
              <w:instrText xml:space="preserve"> NUMPAGES  </w:instrText>
            </w:r>
            <w:r w:rsidR="00BC76E2">
              <w:fldChar w:fldCharType="separate"/>
            </w:r>
            <w:r w:rsidR="00BC76E2">
              <w:rPr>
                <w:noProof/>
              </w:rPr>
              <w:t>8</w:t>
            </w:r>
            <w:r w:rsidR="00BC76E2">
              <w:rPr>
                <w:noProof/>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lang w:val="en-US" w:eastAsia="en-US"/>
      </w:rPr>
      <mc:AlternateContent>
        <mc:Choice Requires="wps">
          <w:drawing>
            <wp:anchor distT="0" distB="0" distL="114300" distR="114300" simplePos="0" relativeHeight="251660288" behindDoc="0" locked="1" layoutInCell="1" allowOverlap="1" wp14:anchorId="23E93C81" wp14:editId="45C2F95B">
              <wp:simplePos x="0" y="0"/>
              <wp:positionH relativeFrom="page">
                <wp:align>left</wp:align>
              </wp:positionH>
              <wp:positionV relativeFrom="page">
                <wp:align>bottom</wp:align>
              </wp:positionV>
              <wp:extent cx="3848400" cy="720000"/>
              <wp:effectExtent l="0" t="0" r="0" b="4445"/>
              <wp:wrapNone/>
              <wp:docPr id="4"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E93C81" id="_x0000_t202" coordsize="21600,21600" o:spt="202" path="m,l,21600r21600,l21600,xe">
              <v:stroke joinstyle="miter"/>
              <v:path gradientshapeok="t" o:connecttype="rect"/>
            </v:shapetype>
            <v:shape id="WebAddress" o:spid="_x0000_s1026"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lang w:val="en-US" w:eastAsia="en-US"/>
      </w:rPr>
      <w:drawing>
        <wp:anchor distT="0" distB="0" distL="114300" distR="114300" simplePos="0" relativeHeight="251659264" behindDoc="1" locked="1" layoutInCell="1" allowOverlap="1" wp14:anchorId="63E4DF63" wp14:editId="5E5AD62B">
          <wp:simplePos x="0" y="0"/>
          <wp:positionH relativeFrom="page">
            <wp:align>right</wp:align>
          </wp:positionH>
          <wp:positionV relativeFrom="page">
            <wp:align>bottom</wp:align>
          </wp:positionV>
          <wp:extent cx="2422800" cy="108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2D6" w:rsidRPr="008F5280" w:rsidRDefault="003142D6" w:rsidP="008F5280">
      <w:pPr>
        <w:pStyle w:val="FootnoteSeparator"/>
      </w:pPr>
    </w:p>
    <w:p w:rsidR="003142D6" w:rsidRDefault="003142D6"/>
  </w:footnote>
  <w:footnote w:type="continuationSeparator" w:id="0">
    <w:p w:rsidR="003142D6" w:rsidRDefault="003142D6" w:rsidP="008F5280">
      <w:pPr>
        <w:pStyle w:val="FootnoteSeparator"/>
      </w:pPr>
    </w:p>
    <w:p w:rsidR="003142D6" w:rsidRDefault="003142D6"/>
    <w:p w:rsidR="003142D6" w:rsidRDefault="003142D6"/>
  </w:footnote>
  <w:footnote w:type="continuationNotice" w:id="1">
    <w:p w:rsidR="003142D6" w:rsidRDefault="003142D6" w:rsidP="00D55628"/>
    <w:p w:rsidR="003142D6" w:rsidRDefault="003142D6"/>
    <w:p w:rsidR="003142D6" w:rsidRDefault="003142D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5757B8" w:rsidRDefault="00BC76E2" w:rsidP="005757B8">
          <w:pPr>
            <w:pStyle w:val="Header"/>
            <w:rPr>
              <w:sz w:val="32"/>
              <w:szCs w:val="32"/>
            </w:rPr>
          </w:pPr>
          <w:r>
            <w:fldChar w:fldCharType="begin"/>
          </w:r>
          <w:r>
            <w:instrText xml:space="preserve"> STYLEREF  Title  \* MERGEFORMAT </w:instrText>
          </w:r>
          <w:r>
            <w:fldChar w:fldCharType="separate"/>
          </w:r>
          <w:r>
            <w:rPr>
              <w:noProof/>
            </w:rPr>
            <w:t>Land Use Victoria</w:t>
          </w:r>
          <w:r w:rsidRPr="00BC76E2">
            <w:rPr>
              <w:b w:val="0"/>
              <w:noProof/>
              <w:sz w:val="32"/>
              <w:szCs w:val="32"/>
            </w:rPr>
            <w:br/>
            <w:t>Customer Information Bulletin 166, June 2017</w:t>
          </w:r>
          <w:r>
            <w:rPr>
              <w:b w:val="0"/>
              <w:noProof/>
              <w:sz w:val="32"/>
              <w:szCs w:val="32"/>
            </w:rPr>
            <w:fldChar w:fldCharType="end"/>
          </w:r>
        </w:p>
      </w:tc>
    </w:tr>
    <w:tr w:rsidR="00835988" w:rsidRPr="00975ED3" w:rsidTr="00835988">
      <w:trPr>
        <w:trHeight w:hRule="exact" w:val="65"/>
      </w:trPr>
      <w:tc>
        <w:tcPr>
          <w:tcW w:w="7761" w:type="dxa"/>
          <w:vAlign w:val="center"/>
        </w:tcPr>
        <w:p w:rsidR="00835988" w:rsidRDefault="00835988" w:rsidP="005757B8">
          <w:pPr>
            <w:pStyle w:val="Header"/>
          </w:pPr>
          <w:r>
            <w:t>Cus</w:t>
          </w:r>
        </w:p>
      </w:tc>
    </w:tr>
  </w:tbl>
  <w:p w:rsidR="00A209C4" w:rsidRPr="00E97294" w:rsidRDefault="00373555" w:rsidP="00435833">
    <w:pPr>
      <w:pStyle w:val="Header"/>
    </w:pPr>
    <w:r>
      <w:rPr>
        <w:noProof/>
        <w:lang w:val="en-US" w:eastAsia="en-US"/>
      </w:rPr>
      <mc:AlternateContent>
        <mc:Choice Requires="wpg">
          <w:drawing>
            <wp:anchor distT="0" distB="0" distL="114300" distR="114300" simplePos="0" relativeHeight="251657216" behindDoc="1" locked="0" layoutInCell="1" allowOverlap="1" wp14:anchorId="01D46059" wp14:editId="4B80EE27">
              <wp:simplePos x="0" y="0"/>
              <wp:positionH relativeFrom="page">
                <wp:posOffset>285750</wp:posOffset>
              </wp:positionH>
              <wp:positionV relativeFrom="page">
                <wp:posOffset>285750</wp:posOffset>
              </wp:positionV>
              <wp:extent cx="7020000" cy="900000"/>
              <wp:effectExtent l="0" t="0" r="9525" b="0"/>
              <wp:wrapNone/>
              <wp:docPr id="21" name="Group 21"/>
              <wp:cNvGraphicFramePr/>
              <a:graphic xmlns:a="http://schemas.openxmlformats.org/drawingml/2006/main">
                <a:graphicData uri="http://schemas.microsoft.com/office/word/2010/wordprocessingGroup">
                  <wpg:wgp>
                    <wpg:cNvGrpSpPr/>
                    <wpg:grpSpPr>
                      <a:xfrm>
                        <a:off x="0" y="0"/>
                        <a:ext cx="7020000" cy="900000"/>
                        <a:chOff x="0" y="0"/>
                        <a:chExt cx="7020000" cy="900000"/>
                      </a:xfrm>
                    </wpg:grpSpPr>
                    <wps:wsp>
                      <wps:cNvPr id="59" name="Rectangle"/>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wps:wsp>
                      <wps:cNvPr id="58" name="TriangleLeft"/>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wps:wsp>
                      <wps:cNvPr id="56" name="TriangleRight"/>
                      <wps:cNvSpPr>
                        <a:spLocks/>
                      </wps:cNvSpPr>
                      <wps:spPr bwMode="auto">
                        <a:xfrm>
                          <a:off x="43815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7945B" id="Group 21" o:spid="_x0000_s1026" style="position:absolute;margin-left:22.5pt;margin-top:22.5pt;width:552.75pt;height:70.85pt;z-index:-251659264;mso-position-horizontal-relative:page;mso-position-vertical-relative:page" coordsize="702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">
              <v:rect id="Rectangle" o:spid="_x0000_s1027" style="position:absolute;width:702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" fillcolor="#00b2a9 [3204]" stroked="f"/>
              <v:shape id="TriangleLeft" o:spid="_x0000_s1028" style="position:absolute;width:8640;height:9000;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" path="m,l665,1419,1334,,,xe" fillcolor="#b3272f [3202]" stroked="f">
                <v:path arrowok="t" o:connecttype="custom" o:connectlocs="0,0;430705,900000;864000,0;0,0" o:connectangles="0,0,0,0"/>
              </v:shape>
              <v:shape id="TriangleRight" o:spid="_x0000_s1029" style="position:absolute;left:4381;width:8640;height:9000;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" path="m1339,1419l669,,,1419r1339,xe" fillcolor="#201547 [3206]" stroked="f">
                <v:path arrowok="t" o:connecttype="custom" o:connectlocs="864000,900000;431677,0;0,900000;864000,900000" o:connectangles="0,0,0,0"/>
              </v:shape>
              <w10:wrap anchorx="page" anchory="page"/>
            </v:group>
          </w:pict>
        </mc:Fallback>
      </mc:AlternateContent>
    </w:r>
  </w:p>
  <w:p w:rsidR="00A209C4" w:rsidRDefault="00A209C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AF3" w:rsidRPr="00835988" w:rsidRDefault="00373555" w:rsidP="00835988">
    <w:pPr>
      <w:pStyle w:val="Header"/>
      <w:jc w:val="left"/>
    </w:pPr>
    <w:r w:rsidRPr="00373555">
      <w:rPr>
        <w:b w:val="0"/>
        <w:noProof/>
        <w:lang w:val="en-US" w:eastAsia="en-US"/>
      </w:rPr>
      <mc:AlternateContent>
        <mc:Choice Requires="wpg">
          <w:drawing>
            <wp:anchor distT="0" distB="0" distL="114300" distR="114300" simplePos="0" relativeHeight="251661312" behindDoc="1" locked="0" layoutInCell="1" allowOverlap="1" wp14:anchorId="430F0810" wp14:editId="32B528B4">
              <wp:simplePos x="0" y="0"/>
              <wp:positionH relativeFrom="page">
                <wp:posOffset>285750</wp:posOffset>
              </wp:positionH>
              <wp:positionV relativeFrom="page">
                <wp:posOffset>295275</wp:posOffset>
              </wp:positionV>
              <wp:extent cx="7019925" cy="899795"/>
              <wp:effectExtent l="0" t="0" r="9525" b="0"/>
              <wp:wrapNone/>
              <wp:docPr id="22" name="Group 22"/>
              <wp:cNvGraphicFramePr/>
              <a:graphic xmlns:a="http://schemas.openxmlformats.org/drawingml/2006/main">
                <a:graphicData uri="http://schemas.microsoft.com/office/word/2010/wordprocessingGroup">
                  <wpg:wgp>
                    <wpg:cNvGrpSpPr/>
                    <wpg:grpSpPr>
                      <a:xfrm>
                        <a:off x="0" y="0"/>
                        <a:ext cx="7019925" cy="899795"/>
                        <a:chOff x="0" y="0"/>
                        <a:chExt cx="7020000" cy="900000"/>
                      </a:xfrm>
                    </wpg:grpSpPr>
                    <wps:wsp>
                      <wps:cNvPr id="23" name="Rectangle"/>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wps:wsp>
                      <wps:cNvPr id="24" name="TriangleLeft"/>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wps:wsp>
                      <wps:cNvPr id="25" name="TriangleRight"/>
                      <wps:cNvSpPr>
                        <a:spLocks/>
                      </wps:cNvSpPr>
                      <wps:spPr bwMode="auto">
                        <a:xfrm>
                          <a:off x="43815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B2F37" id="Group 22" o:spid="_x0000_s1026" style="position:absolute;margin-left:22.5pt;margin-top:23.25pt;width:552.75pt;height:70.85pt;z-index:-251655168;mso-position-horizontal-relative:page;mso-position-vertical-relative:page" coordsize="702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">
              <v:rect id="Rectangle" o:spid="_x0000_s1027" style="position:absolute;width:702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" fillcolor="#00b2a9 [3204]" stroked="f"/>
              <v:shape id="TriangleLeft" o:spid="_x0000_s1028" style="position:absolute;width:8640;height:9000;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" path="m,l665,1419,1334,,,xe" fillcolor="#b3272f [3202]" stroked="f">
                <v:path arrowok="t" o:connecttype="custom" o:connectlocs="0,0;430705,900000;864000,0;0,0" o:connectangles="0,0,0,0"/>
              </v:shape>
              <v:shape id="TriangleRight" o:spid="_x0000_s1029" style="position:absolute;left:4381;width:8640;height:9000;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" path="m1339,1419l669,,,1419r1339,xe" fillcolor="#201547 [3206]" stroked="f">
                <v:path arrowok="t" o:connecttype="custom" o:connectlocs="864000,900000;431677,0;0,900000;864000,900000" o:connectangles="0,0,0,0"/>
              </v:shap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BC5437" w:rsidP="00E97294">
    <w:pPr>
      <w:pStyle w:val="Header"/>
    </w:pPr>
    <w:r w:rsidRPr="00806AB6">
      <w:rPr>
        <w:noProof/>
        <w:lang w:val="en-US" w:eastAsia="en-US"/>
      </w:rPr>
      <mc:AlternateContent>
        <mc:Choice Requires="wps">
          <w:drawing>
            <wp:anchor distT="0" distB="0" distL="114300" distR="114300" simplePos="0" relativeHeight="251654144" behindDoc="1" locked="0" layoutInCell="1" allowOverlap="1" wp14:anchorId="0BCE5589" wp14:editId="05B42FCE">
              <wp:simplePos x="0" y="0"/>
              <wp:positionH relativeFrom="page">
                <wp:posOffset>205105</wp:posOffset>
              </wp:positionH>
              <wp:positionV relativeFrom="page">
                <wp:posOffset>288290</wp:posOffset>
              </wp:positionV>
              <wp:extent cx="7019925" cy="899795"/>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78282" id="Rectangle" o:spid="_x0000_s1026" style="position:absolute;margin-left:16.15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" fillcolor="#00b2a9 [3204]" stroked="f">
              <w10:wrap anchorx="page" anchory="page"/>
            </v:rect>
          </w:pict>
        </mc:Fallback>
      </mc:AlternateContent>
    </w:r>
    <w:r w:rsidR="00A209C4" w:rsidRPr="00806AB6">
      <w:rPr>
        <w:noProof/>
        <w:lang w:val="en-US" w:eastAsia="en-US"/>
      </w:rPr>
      <mc:AlternateContent>
        <mc:Choice Requires="wps">
          <w:drawing>
            <wp:anchor distT="0" distB="0" distL="114300" distR="114300" simplePos="0" relativeHeight="251656192" behindDoc="1" locked="0" layoutInCell="1" allowOverlap="1" wp14:anchorId="6C9AACCD" wp14:editId="04E432CE">
              <wp:simplePos x="0" y="0"/>
              <wp:positionH relativeFrom="page">
                <wp:posOffset>720090</wp:posOffset>
              </wp:positionH>
              <wp:positionV relativeFrom="page">
                <wp:posOffset>288290</wp:posOffset>
              </wp:positionV>
              <wp:extent cx="864000" cy="900000"/>
              <wp:effectExtent l="0" t="0" r="0" b="0"/>
              <wp:wrapNone/>
              <wp:docPr id="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24796"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lang w:val="en-US" w:eastAsia="en-US"/>
      </w:rPr>
      <mc:AlternateContent>
        <mc:Choice Requires="wps">
          <w:drawing>
            <wp:anchor distT="0" distB="0" distL="114300" distR="114300" simplePos="0" relativeHeight="251658240" behindDoc="1" locked="0" layoutInCell="1" allowOverlap="1" wp14:anchorId="417DC5C1" wp14:editId="11184A71">
              <wp:simplePos x="0" y="0"/>
              <wp:positionH relativeFrom="page">
                <wp:posOffset>720090</wp:posOffset>
              </wp:positionH>
              <wp:positionV relativeFrom="page">
                <wp:posOffset>1188085</wp:posOffset>
              </wp:positionV>
              <wp:extent cx="864000" cy="900000"/>
              <wp:effectExtent l="0" t="0" r="0" b="0"/>
              <wp:wrapNone/>
              <wp:docPr id="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93C81"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A209C4" w:rsidRPr="00806AB6">
      <w:rPr>
        <w:noProof/>
        <w:lang w:val="en-US" w:eastAsia="en-US"/>
      </w:rPr>
      <mc:AlternateContent>
        <mc:Choice Requires="wps">
          <w:drawing>
            <wp:anchor distT="0" distB="0" distL="114300" distR="114300" simplePos="0" relativeHeight="251655168" behindDoc="1" locked="0" layoutInCell="1" allowOverlap="1" wp14:anchorId="6BEC95E8" wp14:editId="6E3FE2B5">
              <wp:simplePos x="0" y="0"/>
              <wp:positionH relativeFrom="page">
                <wp:posOffset>288290</wp:posOffset>
              </wp:positionH>
              <wp:positionV relativeFrom="page">
                <wp:posOffset>288290</wp:posOffset>
              </wp:positionV>
              <wp:extent cx="864000" cy="900000"/>
              <wp:effectExtent l="0" t="0" r="0" b="0"/>
              <wp:wrapNone/>
              <wp:docPr id="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8C386"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C5A"/>
    <w:multiLevelType w:val="hybridMultilevel"/>
    <w:tmpl w:val="809EA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8B37FE"/>
    <w:multiLevelType w:val="multilevel"/>
    <w:tmpl w:val="52AC225C"/>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6F21B87"/>
    <w:multiLevelType w:val="hybridMultilevel"/>
    <w:tmpl w:val="3DFC4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1956F9"/>
    <w:multiLevelType w:val="hybridMultilevel"/>
    <w:tmpl w:val="51B4C878"/>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380637"/>
    <w:multiLevelType w:val="hybridMultilevel"/>
    <w:tmpl w:val="5760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351215"/>
    <w:multiLevelType w:val="multilevel"/>
    <w:tmpl w:val="0F58F6A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nsid w:val="0EC96280"/>
    <w:multiLevelType w:val="hybridMultilevel"/>
    <w:tmpl w:val="08A85FA2"/>
    <w:lvl w:ilvl="0" w:tplc="57B64B38">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nsid w:val="12272278"/>
    <w:multiLevelType w:val="hybridMultilevel"/>
    <w:tmpl w:val="11E60514"/>
    <w:lvl w:ilvl="0" w:tplc="EBD62A0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C154AC"/>
    <w:multiLevelType w:val="hybridMultilevel"/>
    <w:tmpl w:val="2E283F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nsid w:val="1B8570FE"/>
    <w:multiLevelType w:val="hybridMultilevel"/>
    <w:tmpl w:val="07C8F5D4"/>
    <w:lvl w:ilvl="0" w:tplc="D904031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6C5584"/>
    <w:multiLevelType w:val="hybridMultilevel"/>
    <w:tmpl w:val="FAA2C79C"/>
    <w:lvl w:ilvl="0" w:tplc="3B9E73F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nsid w:val="211E3977"/>
    <w:multiLevelType w:val="hybridMultilevel"/>
    <w:tmpl w:val="86C8455C"/>
    <w:lvl w:ilvl="0" w:tplc="845E918C">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0D2D65"/>
    <w:multiLevelType w:val="hybridMultilevel"/>
    <w:tmpl w:val="41F23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59C64B4"/>
    <w:multiLevelType w:val="hybridMultilevel"/>
    <w:tmpl w:val="C888B3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9A65E05"/>
    <w:multiLevelType w:val="hybridMultilevel"/>
    <w:tmpl w:val="5B92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B156418"/>
    <w:multiLevelType w:val="hybridMultilevel"/>
    <w:tmpl w:val="6050718E"/>
    <w:lvl w:ilvl="0" w:tplc="B8CC0412">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E2A018A"/>
    <w:multiLevelType w:val="hybridMultilevel"/>
    <w:tmpl w:val="7604D52A"/>
    <w:lvl w:ilvl="0" w:tplc="0AAA9062">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CAD5245"/>
    <w:multiLevelType w:val="hybridMultilevel"/>
    <w:tmpl w:val="CD7E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545EC4"/>
    <w:multiLevelType w:val="multilevel"/>
    <w:tmpl w:val="20C0E4E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nsid w:val="52CF0D23"/>
    <w:multiLevelType w:val="hybridMultilevel"/>
    <w:tmpl w:val="56F4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30"/>
    <w:multiLevelType w:val="hybridMultilevel"/>
    <w:tmpl w:val="D1E8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D626AB"/>
    <w:multiLevelType w:val="hybridMultilevel"/>
    <w:tmpl w:val="4AF071C0"/>
    <w:lvl w:ilvl="0" w:tplc="6E1207BA">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C4322F"/>
    <w:multiLevelType w:val="hybridMultilevel"/>
    <w:tmpl w:val="C5943260"/>
    <w:lvl w:ilvl="0" w:tplc="A2E81EB6">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nsid w:val="5F481CE8"/>
    <w:multiLevelType w:val="hybridMultilevel"/>
    <w:tmpl w:val="433E210E"/>
    <w:lvl w:ilvl="0" w:tplc="5098572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8E4A49"/>
    <w:multiLevelType w:val="hybridMultilevel"/>
    <w:tmpl w:val="49E44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nsid w:val="6CBC458E"/>
    <w:multiLevelType w:val="hybridMultilevel"/>
    <w:tmpl w:val="E1AC3C38"/>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nsid w:val="765851FF"/>
    <w:multiLevelType w:val="hybridMultilevel"/>
    <w:tmpl w:val="C28883F4"/>
    <w:lvl w:ilvl="0" w:tplc="8A2C19BE">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nsid w:val="79CF467B"/>
    <w:multiLevelType w:val="hybridMultilevel"/>
    <w:tmpl w:val="6F929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8E30FB"/>
    <w:multiLevelType w:val="hybridMultilevel"/>
    <w:tmpl w:val="783E5520"/>
    <w:lvl w:ilvl="0" w:tplc="414A3830">
      <w:start w:val="1"/>
      <w:numFmt w:val="bullet"/>
      <w:lvlRestart w:val="0"/>
      <w:lvlText w:val=""/>
      <w:lvlJc w:val="left"/>
      <w:pPr>
        <w:tabs>
          <w:tab w:val="num" w:pos="567"/>
        </w:tabs>
        <w:ind w:left="1134"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33"/>
  </w:num>
  <w:num w:numId="4">
    <w:abstractNumId w:val="41"/>
  </w:num>
  <w:num w:numId="5">
    <w:abstractNumId w:val="16"/>
  </w:num>
  <w:num w:numId="6">
    <w:abstractNumId w:val="7"/>
  </w:num>
  <w:num w:numId="7">
    <w:abstractNumId w:val="5"/>
  </w:num>
  <w:num w:numId="8">
    <w:abstractNumId w:val="1"/>
  </w:num>
  <w:num w:numId="9">
    <w:abstractNumId w:val="39"/>
  </w:num>
  <w:num w:numId="10">
    <w:abstractNumId w:val="10"/>
  </w:num>
  <w:num w:numId="11">
    <w:abstractNumId w:val="18"/>
  </w:num>
  <w:num w:numId="12">
    <w:abstractNumId w:val="13"/>
  </w:num>
  <w:num w:numId="13">
    <w:abstractNumId w:val="24"/>
  </w:num>
  <w:num w:numId="14">
    <w:abstractNumId w:val="26"/>
  </w:num>
  <w:num w:numId="15">
    <w:abstractNumId w:val="3"/>
  </w:num>
  <w:num w:numId="16">
    <w:abstractNumId w:val="37"/>
  </w:num>
  <w:num w:numId="17">
    <w:abstractNumId w:val="2"/>
  </w:num>
  <w:num w:numId="18">
    <w:abstractNumId w:val="19"/>
  </w:num>
  <w:num w:numId="19">
    <w:abstractNumId w:val="42"/>
  </w:num>
  <w:num w:numId="20">
    <w:abstractNumId w:val="35"/>
  </w:num>
  <w:num w:numId="21">
    <w:abstractNumId w:val="17"/>
  </w:num>
  <w:num w:numId="22">
    <w:abstractNumId w:val="9"/>
  </w:num>
  <w:num w:numId="23">
    <w:abstractNumId w:val="25"/>
  </w:num>
  <w:num w:numId="24">
    <w:abstractNumId w:val="40"/>
  </w:num>
  <w:num w:numId="25">
    <w:abstractNumId w:val="32"/>
  </w:num>
  <w:num w:numId="26">
    <w:abstractNumId w:val="8"/>
  </w:num>
  <w:num w:numId="27">
    <w:abstractNumId w:val="43"/>
  </w:num>
  <w:num w:numId="28">
    <w:abstractNumId w:val="23"/>
  </w:num>
  <w:num w:numId="29">
    <w:abstractNumId w:val="14"/>
  </w:num>
  <w:num w:numId="30">
    <w:abstractNumId w:val="34"/>
  </w:num>
  <w:num w:numId="31">
    <w:abstractNumId w:val="21"/>
  </w:num>
  <w:num w:numId="32">
    <w:abstractNumId w:val="11"/>
  </w:num>
  <w:num w:numId="33">
    <w:abstractNumId w:val="31"/>
  </w:num>
  <w:num w:numId="34">
    <w:abstractNumId w:val="12"/>
  </w:num>
  <w:num w:numId="35">
    <w:abstractNumId w:val="6"/>
  </w:num>
  <w:num w:numId="36">
    <w:abstractNumId w:val="5"/>
  </w:num>
  <w:num w:numId="37">
    <w:abstractNumId w:val="5"/>
  </w:num>
  <w:num w:numId="38">
    <w:abstractNumId w:val="5"/>
  </w:num>
  <w:num w:numId="39">
    <w:abstractNumId w:val="5"/>
  </w:num>
  <w:num w:numId="40">
    <w:abstractNumId w:val="5"/>
  </w:num>
  <w:num w:numId="41">
    <w:abstractNumId w:val="0"/>
  </w:num>
  <w:num w:numId="42">
    <w:abstractNumId w:val="5"/>
  </w:num>
  <w:num w:numId="43">
    <w:abstractNumId w:val="5"/>
  </w:num>
  <w:num w:numId="44">
    <w:abstractNumId w:val="5"/>
  </w:num>
  <w:num w:numId="45">
    <w:abstractNumId w:val="5"/>
  </w:num>
  <w:num w:numId="46">
    <w:abstractNumId w:val="5"/>
  </w:num>
  <w:num w:numId="47">
    <w:abstractNumId w:val="29"/>
  </w:num>
  <w:num w:numId="48">
    <w:abstractNumId w:val="15"/>
  </w:num>
  <w:num w:numId="49">
    <w:abstractNumId w:val="30"/>
  </w:num>
  <w:num w:numId="50">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en-US" w:vendorID="64" w:dllVersion="0" w:nlCheck="1" w:checkStyle="1"/>
  <w:activeWritingStyle w:appName="MSWord" w:lang="en-AU"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A01F00"/>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196"/>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9B4"/>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4D53"/>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72"/>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3E4"/>
    <w:rsid w:val="000D7482"/>
    <w:rsid w:val="000D76D9"/>
    <w:rsid w:val="000D7891"/>
    <w:rsid w:val="000D7E1F"/>
    <w:rsid w:val="000E01C1"/>
    <w:rsid w:val="000E01D0"/>
    <w:rsid w:val="000E1779"/>
    <w:rsid w:val="000E1BEC"/>
    <w:rsid w:val="000E1F1D"/>
    <w:rsid w:val="000E205A"/>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133"/>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7B8"/>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1AB"/>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7CE"/>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87F89"/>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6D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8F1"/>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23"/>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41"/>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D0C"/>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F7D"/>
    <w:rsid w:val="0025775A"/>
    <w:rsid w:val="002578D4"/>
    <w:rsid w:val="002579C1"/>
    <w:rsid w:val="002604DA"/>
    <w:rsid w:val="00260781"/>
    <w:rsid w:val="00260992"/>
    <w:rsid w:val="00260A76"/>
    <w:rsid w:val="00260FC1"/>
    <w:rsid w:val="0026107E"/>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6B6"/>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6F7"/>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2D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555"/>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31"/>
    <w:rsid w:val="0038300B"/>
    <w:rsid w:val="003832A8"/>
    <w:rsid w:val="003833EC"/>
    <w:rsid w:val="00383499"/>
    <w:rsid w:val="00383D60"/>
    <w:rsid w:val="00383FA3"/>
    <w:rsid w:val="0038434D"/>
    <w:rsid w:val="003845A7"/>
    <w:rsid w:val="003846E5"/>
    <w:rsid w:val="003857BF"/>
    <w:rsid w:val="00385DC0"/>
    <w:rsid w:val="003866A9"/>
    <w:rsid w:val="003868F9"/>
    <w:rsid w:val="00386946"/>
    <w:rsid w:val="00386C52"/>
    <w:rsid w:val="00386CB8"/>
    <w:rsid w:val="00386DE5"/>
    <w:rsid w:val="003870F1"/>
    <w:rsid w:val="00387788"/>
    <w:rsid w:val="00387B23"/>
    <w:rsid w:val="00387D41"/>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2FA9"/>
    <w:rsid w:val="003B32F7"/>
    <w:rsid w:val="003B39E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25A"/>
    <w:rsid w:val="003D0360"/>
    <w:rsid w:val="003D0CA7"/>
    <w:rsid w:val="003D1288"/>
    <w:rsid w:val="003D12AE"/>
    <w:rsid w:val="003D1370"/>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A28"/>
    <w:rsid w:val="00412DE8"/>
    <w:rsid w:val="00413316"/>
    <w:rsid w:val="004133CE"/>
    <w:rsid w:val="004134DF"/>
    <w:rsid w:val="0041360B"/>
    <w:rsid w:val="004143E5"/>
    <w:rsid w:val="0041469A"/>
    <w:rsid w:val="004146B1"/>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206"/>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4D9"/>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A3"/>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8D6"/>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C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B58"/>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7B8"/>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2E"/>
    <w:rsid w:val="0058016F"/>
    <w:rsid w:val="00580227"/>
    <w:rsid w:val="00580A0D"/>
    <w:rsid w:val="00580A8D"/>
    <w:rsid w:val="00580AF4"/>
    <w:rsid w:val="00580CFC"/>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6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CC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F6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068"/>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4D4"/>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119"/>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FB0"/>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84C"/>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2E"/>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25D"/>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8DA"/>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2E35"/>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6AF"/>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A3E"/>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826"/>
    <w:rsid w:val="00802A6A"/>
    <w:rsid w:val="00803081"/>
    <w:rsid w:val="0080360A"/>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73C"/>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988"/>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3D0F"/>
    <w:rsid w:val="00854775"/>
    <w:rsid w:val="00854A92"/>
    <w:rsid w:val="00854AFC"/>
    <w:rsid w:val="00854E25"/>
    <w:rsid w:val="008557D9"/>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9A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C1E"/>
    <w:rsid w:val="008861D3"/>
    <w:rsid w:val="00886B7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6BD7"/>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348"/>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23"/>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114"/>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7EA"/>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89D"/>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EC4"/>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B59"/>
    <w:rsid w:val="00A014C6"/>
    <w:rsid w:val="00A01F00"/>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0E0"/>
    <w:rsid w:val="00A124A0"/>
    <w:rsid w:val="00A128AF"/>
    <w:rsid w:val="00A12996"/>
    <w:rsid w:val="00A12A98"/>
    <w:rsid w:val="00A139AC"/>
    <w:rsid w:val="00A13CE0"/>
    <w:rsid w:val="00A1416B"/>
    <w:rsid w:val="00A1431F"/>
    <w:rsid w:val="00A14B4E"/>
    <w:rsid w:val="00A14C73"/>
    <w:rsid w:val="00A15676"/>
    <w:rsid w:val="00A159CE"/>
    <w:rsid w:val="00A16110"/>
    <w:rsid w:val="00A164CB"/>
    <w:rsid w:val="00A16714"/>
    <w:rsid w:val="00A16AB7"/>
    <w:rsid w:val="00A16B92"/>
    <w:rsid w:val="00A16DFC"/>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9B2"/>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869"/>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E69"/>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146"/>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BBB"/>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738"/>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443"/>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3BF"/>
    <w:rsid w:val="00BC0602"/>
    <w:rsid w:val="00BC0DC9"/>
    <w:rsid w:val="00BC0FB0"/>
    <w:rsid w:val="00BC15FC"/>
    <w:rsid w:val="00BC1BF9"/>
    <w:rsid w:val="00BC1F14"/>
    <w:rsid w:val="00BC2134"/>
    <w:rsid w:val="00BC2C8D"/>
    <w:rsid w:val="00BC3F46"/>
    <w:rsid w:val="00BC4020"/>
    <w:rsid w:val="00BC49CD"/>
    <w:rsid w:val="00BC5437"/>
    <w:rsid w:val="00BC5478"/>
    <w:rsid w:val="00BC54EF"/>
    <w:rsid w:val="00BC5557"/>
    <w:rsid w:val="00BC559A"/>
    <w:rsid w:val="00BC5780"/>
    <w:rsid w:val="00BC5D9E"/>
    <w:rsid w:val="00BC5DFA"/>
    <w:rsid w:val="00BC5EC4"/>
    <w:rsid w:val="00BC62FE"/>
    <w:rsid w:val="00BC6D72"/>
    <w:rsid w:val="00BC7173"/>
    <w:rsid w:val="00BC71BC"/>
    <w:rsid w:val="00BC7202"/>
    <w:rsid w:val="00BC76E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14E"/>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86F"/>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2E"/>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561"/>
    <w:rsid w:val="00C6479D"/>
    <w:rsid w:val="00C64EA9"/>
    <w:rsid w:val="00C65140"/>
    <w:rsid w:val="00C652F1"/>
    <w:rsid w:val="00C65D22"/>
    <w:rsid w:val="00C65E23"/>
    <w:rsid w:val="00C6660B"/>
    <w:rsid w:val="00C666DD"/>
    <w:rsid w:val="00C66ABB"/>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5A4"/>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CB9"/>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CD3"/>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68B"/>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D4B"/>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6BB"/>
    <w:rsid w:val="00DB38A0"/>
    <w:rsid w:val="00DB3C59"/>
    <w:rsid w:val="00DB3CBC"/>
    <w:rsid w:val="00DB4162"/>
    <w:rsid w:val="00DB49DE"/>
    <w:rsid w:val="00DB4BD2"/>
    <w:rsid w:val="00DB4EA5"/>
    <w:rsid w:val="00DB571D"/>
    <w:rsid w:val="00DB59FD"/>
    <w:rsid w:val="00DB5A0A"/>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9BE"/>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671"/>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F25"/>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D4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55A"/>
    <w:rsid w:val="00E50CB1"/>
    <w:rsid w:val="00E513DD"/>
    <w:rsid w:val="00E5145C"/>
    <w:rsid w:val="00E514AA"/>
    <w:rsid w:val="00E5164B"/>
    <w:rsid w:val="00E516F2"/>
    <w:rsid w:val="00E51759"/>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944"/>
    <w:rsid w:val="00E81C5F"/>
    <w:rsid w:val="00E81D89"/>
    <w:rsid w:val="00E81E04"/>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F23"/>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AF3"/>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813"/>
    <w:rsid w:val="00EB6BC8"/>
    <w:rsid w:val="00EB74D6"/>
    <w:rsid w:val="00EB7608"/>
    <w:rsid w:val="00EB760C"/>
    <w:rsid w:val="00EB7A82"/>
    <w:rsid w:val="00EC07D1"/>
    <w:rsid w:val="00EC08F4"/>
    <w:rsid w:val="00EC0A69"/>
    <w:rsid w:val="00EC0D4A"/>
    <w:rsid w:val="00EC1A00"/>
    <w:rsid w:val="00EC1C96"/>
    <w:rsid w:val="00EC3971"/>
    <w:rsid w:val="00EC39A2"/>
    <w:rsid w:val="00EC4250"/>
    <w:rsid w:val="00EC446D"/>
    <w:rsid w:val="00EC483B"/>
    <w:rsid w:val="00EC4911"/>
    <w:rsid w:val="00EC50C9"/>
    <w:rsid w:val="00EC514A"/>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A31"/>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D36"/>
    <w:rsid w:val="00EF00BE"/>
    <w:rsid w:val="00EF0C8E"/>
    <w:rsid w:val="00EF0D1B"/>
    <w:rsid w:val="00EF0D5E"/>
    <w:rsid w:val="00EF0F35"/>
    <w:rsid w:val="00EF110A"/>
    <w:rsid w:val="00EF123C"/>
    <w:rsid w:val="00EF14F8"/>
    <w:rsid w:val="00EF1BF6"/>
    <w:rsid w:val="00EF202A"/>
    <w:rsid w:val="00EF2F0F"/>
    <w:rsid w:val="00EF3458"/>
    <w:rsid w:val="00EF373E"/>
    <w:rsid w:val="00EF3D3F"/>
    <w:rsid w:val="00EF3F56"/>
    <w:rsid w:val="00EF430B"/>
    <w:rsid w:val="00EF460B"/>
    <w:rsid w:val="00EF563F"/>
    <w:rsid w:val="00EF5823"/>
    <w:rsid w:val="00EF6341"/>
    <w:rsid w:val="00EF6562"/>
    <w:rsid w:val="00EF6618"/>
    <w:rsid w:val="00EF682B"/>
    <w:rsid w:val="00EF692B"/>
    <w:rsid w:val="00EF7A5F"/>
    <w:rsid w:val="00F004EB"/>
    <w:rsid w:val="00F00518"/>
    <w:rsid w:val="00F0072E"/>
    <w:rsid w:val="00F009B0"/>
    <w:rsid w:val="00F01211"/>
    <w:rsid w:val="00F018EC"/>
    <w:rsid w:val="00F01A3E"/>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79C"/>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98A"/>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433"/>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4DC"/>
    <w:rsid w:val="00FE55DF"/>
    <w:rsid w:val="00FE5641"/>
    <w:rsid w:val="00FE5A58"/>
    <w:rsid w:val="00FE5CAA"/>
    <w:rsid w:val="00FE6915"/>
    <w:rsid w:val="00FE6E29"/>
    <w:rsid w:val="00FE72AE"/>
    <w:rsid w:val="00FE7BC4"/>
    <w:rsid w:val="00FF0A09"/>
    <w:rsid w:val="00FF0BE3"/>
    <w:rsid w:val="00FF0BF3"/>
    <w:rsid w:val="00FF0C83"/>
    <w:rsid w:val="00FF11C6"/>
    <w:rsid w:val="00FF1384"/>
    <w:rsid w:val="00FF1B34"/>
    <w:rsid w:val="00FF2495"/>
    <w:rsid w:val="00FF2AC3"/>
    <w:rsid w:val="00FF2EC4"/>
    <w:rsid w:val="00FF3625"/>
    <w:rsid w:val="00FF36AA"/>
    <w:rsid w:val="00FF3D9F"/>
    <w:rsid w:val="00FF4055"/>
    <w:rsid w:val="00FF4197"/>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annotation text" w:uiPriority="99"/>
    <w:lsdException w:name="header" w:uiPriority="99"/>
    <w:lsdException w:name="footer" w:uiPriority="99"/>
    <w:lsdException w:name="table of figures"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FF4197"/>
    <w:pPr>
      <w:keepNext/>
      <w:keepLines/>
      <w:numPr>
        <w:numId w:val="7"/>
      </w:numPr>
      <w:spacing w:before="300" w:after="24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Ind w:w="0" w:type="dxa"/>
      <w:tblBorders>
        <w:top w:val="single" w:sz="8" w:space="0" w:color="B3272F" w:themeColor="text2"/>
        <w:bottom w:val="single" w:sz="8" w:space="0" w:color="B3272F" w:themeColor="text2"/>
        <w:insideH w:val="single" w:sz="8" w:space="0" w:color="B3272F" w:themeColor="text2"/>
      </w:tblBorders>
      <w:tblCellMar>
        <w:top w:w="0" w:type="dxa"/>
        <w:left w:w="0" w:type="dxa"/>
        <w:bottom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5055A"/>
    <w:pPr>
      <w:numPr>
        <w:numId w:val="8"/>
      </w:numPr>
      <w:tabs>
        <w:tab w:val="clear" w:pos="170"/>
      </w:tabs>
      <w:spacing w:before="120" w:after="120"/>
      <w:ind w:left="567" w:hanging="567"/>
    </w:pPr>
  </w:style>
  <w:style w:type="paragraph" w:styleId="ListBullet2">
    <w:name w:val="List Bullet 2"/>
    <w:basedOn w:val="ListBullet"/>
    <w:unhideWhenUsed/>
    <w:qFormat/>
    <w:rsid w:val="00E5055A"/>
    <w:pPr>
      <w:numPr>
        <w:ilvl w:val="1"/>
      </w:numPr>
      <w:tabs>
        <w:tab w:val="clear" w:pos="340"/>
      </w:tabs>
      <w:ind w:left="1134" w:hanging="567"/>
    </w:pPr>
  </w:style>
  <w:style w:type="paragraph" w:styleId="ListBullet3">
    <w:name w:val="List Bullet 3"/>
    <w:basedOn w:val="Normal"/>
    <w:unhideWhenUsed/>
    <w:rsid w:val="00E5055A"/>
    <w:pPr>
      <w:numPr>
        <w:ilvl w:val="2"/>
        <w:numId w:val="8"/>
      </w:numPr>
      <w:tabs>
        <w:tab w:val="clear" w:pos="510"/>
      </w:tabs>
      <w:spacing w:before="120" w:after="120"/>
      <w:ind w:left="1701" w:hanging="567"/>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Ind w:w="0" w:type="dxa"/>
      <w:tblCellMar>
        <w:top w:w="0" w:type="dxa"/>
        <w:left w:w="0" w:type="dxa"/>
        <w:bottom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Ind w:w="0" w:type="dxa"/>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Ind w:w="0" w:type="dxa"/>
      <w:tblCellMar>
        <w:top w:w="0" w:type="dxa"/>
        <w:left w:w="0" w:type="dxa"/>
        <w:bottom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Ind w:w="0" w:type="dxa"/>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tblInd w:w="0" w:type="dxa"/>
      <w:tblCellMar>
        <w:top w:w="0" w:type="dxa"/>
        <w:left w:w="108" w:type="dxa"/>
        <w:bottom w:w="0" w:type="dxa"/>
        <w:right w:w="108" w:type="dxa"/>
      </w:tblCellMa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FF4197"/>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EB6813"/>
    <w:pPr>
      <w:spacing w:after="113"/>
    </w:pPr>
    <w:rPr>
      <w:rFonts w:ascii="Calibri" w:hAnsi="Calibri"/>
      <w:color w:val="auto"/>
      <w:sz w:val="22"/>
      <w:szCs w:val="24"/>
      <w:lang w:eastAsia="en-US"/>
    </w:rPr>
  </w:style>
  <w:style w:type="paragraph" w:customStyle="1" w:styleId="Bullet">
    <w:name w:val="_Bullet"/>
    <w:link w:val="BulletChar"/>
    <w:qFormat/>
    <w:rsid w:val="00EB6813"/>
    <w:pPr>
      <w:numPr>
        <w:numId w:val="15"/>
      </w:numPr>
      <w:spacing w:after="113" w:line="220" w:lineRule="atLeast"/>
    </w:pPr>
    <w:rPr>
      <w:rFonts w:ascii="Calibri" w:hAnsi="Calibri"/>
      <w:color w:val="auto"/>
      <w:sz w:val="22"/>
      <w:szCs w:val="24"/>
      <w:lang w:eastAsia="en-US"/>
    </w:rPr>
  </w:style>
  <w:style w:type="character" w:customStyle="1" w:styleId="BulletChar">
    <w:name w:val="_Bullet Char"/>
    <w:link w:val="Bullet"/>
    <w:rsid w:val="00EB6813"/>
    <w:rPr>
      <w:rFonts w:ascii="Calibri" w:hAnsi="Calibri"/>
      <w:color w:val="auto"/>
      <w:sz w:val="22"/>
      <w:szCs w:val="24"/>
      <w:lang w:eastAsia="en-US"/>
    </w:rPr>
  </w:style>
  <w:style w:type="paragraph" w:customStyle="1" w:styleId="Bullet2">
    <w:name w:val="_Bullet2"/>
    <w:basedOn w:val="Bullet"/>
    <w:qFormat/>
    <w:rsid w:val="00EB6813"/>
    <w:pPr>
      <w:numPr>
        <w:ilvl w:val="1"/>
        <w:numId w:val="16"/>
      </w:numPr>
      <w:tabs>
        <w:tab w:val="clear" w:pos="1080"/>
        <w:tab w:val="num" w:pos="360"/>
        <w:tab w:val="num" w:pos="567"/>
      </w:tabs>
      <w:ind w:left="1440" w:hanging="283"/>
    </w:pPr>
  </w:style>
  <w:style w:type="paragraph" w:customStyle="1" w:styleId="HA">
    <w:name w:val="_HA"/>
    <w:next w:val="Body"/>
    <w:uiPriority w:val="2"/>
    <w:qFormat/>
    <w:rsid w:val="00EB6813"/>
    <w:pPr>
      <w:spacing w:before="240" w:after="360" w:line="460" w:lineRule="atLeast"/>
      <w:outlineLvl w:val="0"/>
    </w:pPr>
    <w:rPr>
      <w:rFonts w:ascii="Calibri" w:hAnsi="Calibri"/>
      <w:color w:val="228591"/>
      <w:sz w:val="40"/>
      <w:szCs w:val="24"/>
      <w:lang w:val="en-US"/>
    </w:rPr>
  </w:style>
  <w:style w:type="paragraph" w:styleId="ListNumber4">
    <w:name w:val="List Number 4"/>
    <w:basedOn w:val="Normal"/>
    <w:semiHidden/>
    <w:rsid w:val="00EB6813"/>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HB">
    <w:name w:val="_HB"/>
    <w:next w:val="Body"/>
    <w:uiPriority w:val="2"/>
    <w:qFormat/>
    <w:rsid w:val="0081473C"/>
    <w:pPr>
      <w:spacing w:before="180" w:after="113" w:line="300" w:lineRule="atLeast"/>
      <w:outlineLvl w:val="0"/>
    </w:pPr>
    <w:rPr>
      <w:rFonts w:ascii="Calibri" w:hAnsi="Calibri"/>
      <w:b/>
      <w:color w:val="228591"/>
      <w:sz w:val="28"/>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annotation text" w:uiPriority="99"/>
    <w:lsdException w:name="header" w:uiPriority="99"/>
    <w:lsdException w:name="footer" w:uiPriority="99"/>
    <w:lsdException w:name="table of figures"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FF4197"/>
    <w:pPr>
      <w:keepNext/>
      <w:keepLines/>
      <w:numPr>
        <w:numId w:val="7"/>
      </w:numPr>
      <w:spacing w:before="300" w:after="24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Ind w:w="0" w:type="dxa"/>
      <w:tblBorders>
        <w:top w:val="single" w:sz="8" w:space="0" w:color="B3272F" w:themeColor="text2"/>
        <w:bottom w:val="single" w:sz="8" w:space="0" w:color="B3272F" w:themeColor="text2"/>
        <w:insideH w:val="single" w:sz="8" w:space="0" w:color="B3272F" w:themeColor="text2"/>
      </w:tblBorders>
      <w:tblCellMar>
        <w:top w:w="0" w:type="dxa"/>
        <w:left w:w="0" w:type="dxa"/>
        <w:bottom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5055A"/>
    <w:pPr>
      <w:numPr>
        <w:numId w:val="8"/>
      </w:numPr>
      <w:tabs>
        <w:tab w:val="clear" w:pos="170"/>
      </w:tabs>
      <w:spacing w:before="120" w:after="120"/>
      <w:ind w:left="567" w:hanging="567"/>
    </w:pPr>
  </w:style>
  <w:style w:type="paragraph" w:styleId="ListBullet2">
    <w:name w:val="List Bullet 2"/>
    <w:basedOn w:val="ListBullet"/>
    <w:unhideWhenUsed/>
    <w:qFormat/>
    <w:rsid w:val="00E5055A"/>
    <w:pPr>
      <w:numPr>
        <w:ilvl w:val="1"/>
      </w:numPr>
      <w:tabs>
        <w:tab w:val="clear" w:pos="340"/>
      </w:tabs>
      <w:ind w:left="1134" w:hanging="567"/>
    </w:pPr>
  </w:style>
  <w:style w:type="paragraph" w:styleId="ListBullet3">
    <w:name w:val="List Bullet 3"/>
    <w:basedOn w:val="Normal"/>
    <w:unhideWhenUsed/>
    <w:rsid w:val="00E5055A"/>
    <w:pPr>
      <w:numPr>
        <w:ilvl w:val="2"/>
        <w:numId w:val="8"/>
      </w:numPr>
      <w:tabs>
        <w:tab w:val="clear" w:pos="510"/>
      </w:tabs>
      <w:spacing w:before="120" w:after="120"/>
      <w:ind w:left="1701" w:hanging="567"/>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Ind w:w="0" w:type="dxa"/>
      <w:tblCellMar>
        <w:top w:w="0" w:type="dxa"/>
        <w:left w:w="0" w:type="dxa"/>
        <w:bottom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Ind w:w="0" w:type="dxa"/>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Ind w:w="0" w:type="dxa"/>
      <w:tblCellMar>
        <w:top w:w="0" w:type="dxa"/>
        <w:left w:w="0" w:type="dxa"/>
        <w:bottom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Ind w:w="0" w:type="dxa"/>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tblInd w:w="0" w:type="dxa"/>
      <w:tblCellMar>
        <w:top w:w="0" w:type="dxa"/>
        <w:left w:w="108" w:type="dxa"/>
        <w:bottom w:w="0" w:type="dxa"/>
        <w:right w:w="108" w:type="dxa"/>
      </w:tblCellMa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FF4197"/>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EB6813"/>
    <w:pPr>
      <w:spacing w:after="113"/>
    </w:pPr>
    <w:rPr>
      <w:rFonts w:ascii="Calibri" w:hAnsi="Calibri"/>
      <w:color w:val="auto"/>
      <w:sz w:val="22"/>
      <w:szCs w:val="24"/>
      <w:lang w:eastAsia="en-US"/>
    </w:rPr>
  </w:style>
  <w:style w:type="paragraph" w:customStyle="1" w:styleId="Bullet">
    <w:name w:val="_Bullet"/>
    <w:link w:val="BulletChar"/>
    <w:qFormat/>
    <w:rsid w:val="00EB6813"/>
    <w:pPr>
      <w:numPr>
        <w:numId w:val="15"/>
      </w:numPr>
      <w:spacing w:after="113" w:line="220" w:lineRule="atLeast"/>
    </w:pPr>
    <w:rPr>
      <w:rFonts w:ascii="Calibri" w:hAnsi="Calibri"/>
      <w:color w:val="auto"/>
      <w:sz w:val="22"/>
      <w:szCs w:val="24"/>
      <w:lang w:eastAsia="en-US"/>
    </w:rPr>
  </w:style>
  <w:style w:type="character" w:customStyle="1" w:styleId="BulletChar">
    <w:name w:val="_Bullet Char"/>
    <w:link w:val="Bullet"/>
    <w:rsid w:val="00EB6813"/>
    <w:rPr>
      <w:rFonts w:ascii="Calibri" w:hAnsi="Calibri"/>
      <w:color w:val="auto"/>
      <w:sz w:val="22"/>
      <w:szCs w:val="24"/>
      <w:lang w:eastAsia="en-US"/>
    </w:rPr>
  </w:style>
  <w:style w:type="paragraph" w:customStyle="1" w:styleId="Bullet2">
    <w:name w:val="_Bullet2"/>
    <w:basedOn w:val="Bullet"/>
    <w:qFormat/>
    <w:rsid w:val="00EB6813"/>
    <w:pPr>
      <w:numPr>
        <w:ilvl w:val="1"/>
        <w:numId w:val="16"/>
      </w:numPr>
      <w:tabs>
        <w:tab w:val="clear" w:pos="1080"/>
        <w:tab w:val="num" w:pos="360"/>
        <w:tab w:val="num" w:pos="567"/>
      </w:tabs>
      <w:ind w:left="1440" w:hanging="283"/>
    </w:pPr>
  </w:style>
  <w:style w:type="paragraph" w:customStyle="1" w:styleId="HA">
    <w:name w:val="_HA"/>
    <w:next w:val="Body"/>
    <w:uiPriority w:val="2"/>
    <w:qFormat/>
    <w:rsid w:val="00EB6813"/>
    <w:pPr>
      <w:spacing w:before="240" w:after="360" w:line="460" w:lineRule="atLeast"/>
      <w:outlineLvl w:val="0"/>
    </w:pPr>
    <w:rPr>
      <w:rFonts w:ascii="Calibri" w:hAnsi="Calibri"/>
      <w:color w:val="228591"/>
      <w:sz w:val="40"/>
      <w:szCs w:val="24"/>
      <w:lang w:val="en-US"/>
    </w:rPr>
  </w:style>
  <w:style w:type="paragraph" w:styleId="ListNumber4">
    <w:name w:val="List Number 4"/>
    <w:basedOn w:val="Normal"/>
    <w:semiHidden/>
    <w:rsid w:val="00EB6813"/>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HB">
    <w:name w:val="_HB"/>
    <w:next w:val="Body"/>
    <w:uiPriority w:val="2"/>
    <w:qFormat/>
    <w:rsid w:val="0081473C"/>
    <w:pPr>
      <w:spacing w:before="180" w:after="113" w:line="300" w:lineRule="atLeast"/>
      <w:outlineLvl w:val="0"/>
    </w:pPr>
    <w:rPr>
      <w:rFonts w:ascii="Calibri" w:hAnsi="Calibri"/>
      <w:b/>
      <w:color w:val="22859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tpli.vic.gov.au/property-and-land-titles/contact-us" TargetMode="External"/><Relationship Id="rId21" Type="http://schemas.openxmlformats.org/officeDocument/2006/relationships/hyperlink" Target="http://www.propertyandlandtitles.vic.gov.au/contact-us" TargetMode="External"/><Relationship Id="rId22" Type="http://schemas.openxmlformats.org/officeDocument/2006/relationships/image" Target="media/image2.emf"/><Relationship Id="rId23" Type="http://schemas.openxmlformats.org/officeDocument/2006/relationships/oleObject" Target="embeddings/oleObject1.bin"/><Relationship Id="rId24" Type="http://schemas.openxmlformats.org/officeDocument/2006/relationships/image" Target="media/image3.emf"/><Relationship Id="rId25" Type="http://schemas.openxmlformats.org/officeDocument/2006/relationships/oleObject" Target="embeddings/oleObject2.bin"/><Relationship Id="rId26" Type="http://schemas.openxmlformats.org/officeDocument/2006/relationships/image" Target="media/image4.emf"/><Relationship Id="rId27" Type="http://schemas.openxmlformats.org/officeDocument/2006/relationships/oleObject" Target="embeddings/oleObject3.bin"/><Relationship Id="rId28" Type="http://schemas.openxmlformats.org/officeDocument/2006/relationships/image" Target="media/image5.emf"/><Relationship Id="rId2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hyperlink" Target="mailto:customer.service@delwp.vic.gov.au" TargetMode="External"/><Relationship Id="rId32" Type="http://schemas.openxmlformats.org/officeDocument/2006/relationships/hyperlink" Target="http://www.relayservice.com.au"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delwp.vic.gov.au"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http://www.propertyandlandtitles.vic.gov.au/forms-guides-and-fees" TargetMode="External"/><Relationship Id="rId16" Type="http://schemas.openxmlformats.org/officeDocument/2006/relationships/hyperlink" Target="http://www.propertyandlandtitles.vic.gov.au/forms-guides-and-fees" TargetMode="External"/><Relationship Id="rId17" Type="http://schemas.openxmlformats.org/officeDocument/2006/relationships/hyperlink" Target="mailto:subdivision.branch@delwp.vic.gov.au" TargetMode="External"/><Relationship Id="rId18" Type="http://schemas.openxmlformats.org/officeDocument/2006/relationships/hyperlink" Target="https://www.propertyandlandtitles.vic.gov.au/forms-guides-and-fees/overview" TargetMode="External"/><Relationship Id="rId19" Type="http://schemas.openxmlformats.org/officeDocument/2006/relationships/hyperlink" Target="http://www.propertyandlandtitles.vic.gov.au/forms-guides-and-fe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0g\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DBC88-3F42-8648-BE69-46751F2B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\Users\lr0g\AppData\Roaming\Microsoft\Templates\DELWP Fact sheet 2pp template.dotm</Template>
  <TotalTime>0</TotalTime>
  <Pages>8</Pages>
  <Words>1721</Words>
  <Characters>9816</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Tina Osborn</dc:creator>
  <cp:lastModifiedBy>Keith Falloon</cp:lastModifiedBy>
  <cp:revision>2</cp:revision>
  <cp:lastPrinted>2017-06-20T00:27:00Z</cp:lastPrinted>
  <dcterms:created xsi:type="dcterms:W3CDTF">2020-06-09T08:25:00Z</dcterms:created>
  <dcterms:modified xsi:type="dcterms:W3CDTF">2020-06-09T08:25:00Z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