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F377E7" w:rsidP="009B1003">
            <w:pPr>
              <w:pStyle w:val="Title"/>
            </w:pPr>
            <w:r>
              <w:t>Land Use Victoria</w:t>
            </w:r>
            <w:r>
              <w:br/>
              <w:t>Customer Information Bulletin 175</w:t>
            </w:r>
            <w:r>
              <w:br/>
              <w:t>February 2018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F377E7" w:rsidRDefault="00F377E7" w:rsidP="00AC7171">
      <w:pPr>
        <w:pStyle w:val="Heading1"/>
        <w:numPr>
          <w:ilvl w:val="0"/>
          <w:numId w:val="0"/>
        </w:numPr>
        <w:spacing w:after="240"/>
        <w:rPr>
          <w:rFonts w:eastAsia="Calibri"/>
        </w:rPr>
      </w:pPr>
      <w:bookmarkStart w:id="0" w:name="Here"/>
      <w:bookmarkEnd w:id="0"/>
    </w:p>
    <w:p w:rsidR="00AC7171" w:rsidRDefault="00AC7171" w:rsidP="00AC7171">
      <w:pPr>
        <w:pStyle w:val="Heading1"/>
        <w:numPr>
          <w:ilvl w:val="0"/>
          <w:numId w:val="0"/>
        </w:numPr>
        <w:spacing w:after="240"/>
        <w:rPr>
          <w:rFonts w:eastAsia="Calibri"/>
        </w:rPr>
      </w:pPr>
      <w:r w:rsidRPr="00F566CE">
        <w:rPr>
          <w:rFonts w:eastAsia="Calibri"/>
        </w:rPr>
        <w:t>Registrar’s requirements for paper conveyancing transactions</w:t>
      </w:r>
    </w:p>
    <w:p w:rsidR="00AC7171" w:rsidRPr="004B428B" w:rsidRDefault="00AC7171" w:rsidP="00AC7171">
      <w:pPr>
        <w:pStyle w:val="Heading2"/>
        <w:rPr>
          <w:color w:val="FF0000"/>
        </w:rPr>
      </w:pPr>
      <w:r>
        <w:rPr>
          <w:rFonts w:eastAsia="Calibri"/>
        </w:rPr>
        <w:t>Transfers of land and survivorship applications</w:t>
      </w:r>
    </w:p>
    <w:p w:rsidR="00AC7171" w:rsidRPr="00F62A12" w:rsidRDefault="00AC7171" w:rsidP="00AC7171">
      <w:pPr>
        <w:pStyle w:val="BodyText"/>
        <w:rPr>
          <w:rFonts w:eastAsia="Calibri"/>
          <w:b/>
          <w:bCs/>
        </w:rPr>
      </w:pPr>
      <w:r w:rsidRPr="00F62A12">
        <w:rPr>
          <w:rFonts w:eastAsia="Calibri"/>
        </w:rPr>
        <w:t xml:space="preserve">From 1 March 2018, </w:t>
      </w:r>
      <w:r w:rsidR="005532C0">
        <w:rPr>
          <w:rFonts w:eastAsia="Calibri"/>
        </w:rPr>
        <w:t>t</w:t>
      </w:r>
      <w:r w:rsidR="005532C0" w:rsidRPr="00F62A12">
        <w:rPr>
          <w:rFonts w:eastAsia="Calibri"/>
        </w:rPr>
        <w:t xml:space="preserve">ransfers </w:t>
      </w:r>
      <w:r w:rsidRPr="00F62A12">
        <w:rPr>
          <w:rFonts w:eastAsia="Calibri"/>
        </w:rPr>
        <w:t xml:space="preserve">of land and </w:t>
      </w:r>
      <w:r w:rsidR="005532C0">
        <w:rPr>
          <w:rFonts w:eastAsia="Calibri"/>
        </w:rPr>
        <w:t>s</w:t>
      </w:r>
      <w:r w:rsidR="005532C0" w:rsidRPr="00F62A12">
        <w:rPr>
          <w:rFonts w:eastAsia="Calibri"/>
        </w:rPr>
        <w:t xml:space="preserve">urvivorship </w:t>
      </w:r>
      <w:r w:rsidRPr="00F62A12">
        <w:rPr>
          <w:rFonts w:eastAsia="Calibri"/>
        </w:rPr>
        <w:t>applications must be lodged electronically. This requirement applies when a party is represented by a conveyancer or lawyer who signs the instrument on behalf of their client</w:t>
      </w:r>
      <w:r w:rsidR="005532C0">
        <w:rPr>
          <w:rFonts w:eastAsia="Calibri"/>
        </w:rPr>
        <w:t>;</w:t>
      </w:r>
      <w:r w:rsidR="005532C0" w:rsidRPr="00F62A12">
        <w:rPr>
          <w:rFonts w:eastAsia="Calibri"/>
        </w:rPr>
        <w:t xml:space="preserve"> </w:t>
      </w:r>
      <w:r w:rsidRPr="00F62A12">
        <w:rPr>
          <w:rFonts w:eastAsia="Calibri"/>
        </w:rPr>
        <w:t>or</w:t>
      </w:r>
      <w:r w:rsidR="005532C0">
        <w:rPr>
          <w:rFonts w:eastAsia="Calibri"/>
        </w:rPr>
        <w:t>,</w:t>
      </w:r>
      <w:r w:rsidRPr="00F62A12">
        <w:rPr>
          <w:rFonts w:eastAsia="Calibri"/>
        </w:rPr>
        <w:t xml:space="preserve"> the party is a conveyancer or lawyer</w:t>
      </w:r>
      <w:r w:rsidR="005532C0">
        <w:rPr>
          <w:rFonts w:eastAsia="Calibri"/>
        </w:rPr>
        <w:t>,</w:t>
      </w:r>
      <w:r w:rsidRPr="00F62A12">
        <w:rPr>
          <w:rFonts w:eastAsia="Calibri"/>
        </w:rPr>
        <w:t xml:space="preserve"> or PEXA subscriber acting for themselves.</w:t>
      </w:r>
    </w:p>
    <w:p w:rsidR="00AC7171" w:rsidRPr="00F62A12" w:rsidRDefault="00AC7171" w:rsidP="00AC7171">
      <w:pPr>
        <w:pStyle w:val="BodyText"/>
        <w:rPr>
          <w:rFonts w:eastAsia="Calibri"/>
        </w:rPr>
      </w:pPr>
      <w:r w:rsidRPr="00F62A12">
        <w:rPr>
          <w:rFonts w:eastAsia="Calibri"/>
        </w:rPr>
        <w:t xml:space="preserve">Under Registrar’s requirement 6.5 the following exceptions to lodging using an Electronic Lodgment Network (ELN) </w:t>
      </w:r>
      <w:r w:rsidR="005532C0">
        <w:rPr>
          <w:rFonts w:eastAsia="Calibri"/>
        </w:rPr>
        <w:t>include</w:t>
      </w:r>
      <w:r w:rsidRPr="00F62A12">
        <w:rPr>
          <w:rFonts w:eastAsia="Calibri"/>
        </w:rPr>
        <w:t>:</w:t>
      </w:r>
    </w:p>
    <w:p w:rsidR="00AC7171" w:rsidRPr="00F62A12" w:rsidRDefault="00AC7171" w:rsidP="00AC7171">
      <w:pPr>
        <w:pStyle w:val="ListBullet"/>
        <w:rPr>
          <w:rFonts w:eastAsia="Calibri"/>
        </w:rPr>
      </w:pPr>
      <w:r w:rsidRPr="00F62A12">
        <w:rPr>
          <w:rFonts w:eastAsia="Calibri"/>
        </w:rPr>
        <w:t xml:space="preserve">a </w:t>
      </w:r>
      <w:r w:rsidR="00521081">
        <w:rPr>
          <w:rFonts w:eastAsia="Calibri"/>
        </w:rPr>
        <w:t>t</w:t>
      </w:r>
      <w:r w:rsidR="00521081" w:rsidRPr="00F62A12">
        <w:rPr>
          <w:rFonts w:eastAsia="Calibri"/>
        </w:rPr>
        <w:t xml:space="preserve">ransfer </w:t>
      </w:r>
      <w:r w:rsidRPr="00F62A12">
        <w:rPr>
          <w:rFonts w:eastAsia="Calibri"/>
        </w:rPr>
        <w:t>is lodged with any other instrument for the same folio(s), including a survivorship application</w:t>
      </w:r>
    </w:p>
    <w:p w:rsidR="00AC7171" w:rsidRPr="00F62A12" w:rsidRDefault="00AC7171" w:rsidP="00AC7171">
      <w:pPr>
        <w:pStyle w:val="ListBullet"/>
        <w:rPr>
          <w:rFonts w:eastAsia="Calibri"/>
        </w:rPr>
      </w:pPr>
      <w:r w:rsidRPr="00F62A12">
        <w:rPr>
          <w:rFonts w:eastAsia="Calibri"/>
        </w:rPr>
        <w:t xml:space="preserve">a </w:t>
      </w:r>
      <w:r w:rsidR="00521081">
        <w:rPr>
          <w:rFonts w:eastAsia="Calibri"/>
        </w:rPr>
        <w:t>t</w:t>
      </w:r>
      <w:r w:rsidR="00521081" w:rsidRPr="00F62A12">
        <w:rPr>
          <w:rFonts w:eastAsia="Calibri"/>
        </w:rPr>
        <w:t xml:space="preserve">ransfer </w:t>
      </w:r>
      <w:r w:rsidRPr="00F62A12">
        <w:rPr>
          <w:rFonts w:eastAsia="Calibri"/>
        </w:rPr>
        <w:t>is of a type that as at 1 March 2018 is not available in PEXA, such as</w:t>
      </w:r>
    </w:p>
    <w:p w:rsidR="00AC7171" w:rsidRPr="00F62A12" w:rsidRDefault="00AC7171" w:rsidP="00AC7171">
      <w:pPr>
        <w:pStyle w:val="ListBullet2"/>
        <w:rPr>
          <w:rFonts w:eastAsia="Calibri"/>
        </w:rPr>
      </w:pPr>
      <w:r w:rsidRPr="00F62A12">
        <w:rPr>
          <w:rFonts w:eastAsia="Calibri"/>
        </w:rPr>
        <w:t>transfers by mortgagees</w:t>
      </w:r>
    </w:p>
    <w:p w:rsidR="00AC7171" w:rsidRPr="00F62A12" w:rsidRDefault="00AC7171" w:rsidP="00AC7171">
      <w:pPr>
        <w:pStyle w:val="ListBullet2"/>
        <w:rPr>
          <w:rFonts w:eastAsia="Calibri"/>
        </w:rPr>
      </w:pPr>
      <w:r w:rsidRPr="00F62A12">
        <w:rPr>
          <w:rFonts w:eastAsia="Calibri"/>
        </w:rPr>
        <w:t>transfers by a minor</w:t>
      </w:r>
    </w:p>
    <w:p w:rsidR="00AC7171" w:rsidRPr="00F62A12" w:rsidRDefault="00AC7171" w:rsidP="00AC7171">
      <w:pPr>
        <w:pStyle w:val="ListBullet2"/>
        <w:rPr>
          <w:rFonts w:eastAsia="Calibri"/>
        </w:rPr>
      </w:pPr>
      <w:r w:rsidRPr="00F62A12">
        <w:rPr>
          <w:rFonts w:eastAsia="Calibri"/>
        </w:rPr>
        <w:t>transfers creating an easement</w:t>
      </w:r>
    </w:p>
    <w:p w:rsidR="00AC7171" w:rsidRPr="00F62A12" w:rsidRDefault="00AC7171" w:rsidP="00AC7171">
      <w:pPr>
        <w:pStyle w:val="ListBullet2"/>
        <w:rPr>
          <w:rFonts w:eastAsia="Calibri"/>
        </w:rPr>
      </w:pPr>
      <w:r w:rsidRPr="00F62A12">
        <w:rPr>
          <w:rFonts w:eastAsia="Calibri"/>
        </w:rPr>
        <w:t>transfers of an interest (e.g. a lease or mortgage)</w:t>
      </w:r>
    </w:p>
    <w:p w:rsidR="00AC7171" w:rsidRPr="00F62A12" w:rsidRDefault="00AC7171" w:rsidP="00AC7171">
      <w:pPr>
        <w:pStyle w:val="ListBullet2"/>
        <w:rPr>
          <w:rFonts w:eastAsia="Calibri"/>
        </w:rPr>
      </w:pPr>
      <w:r w:rsidRPr="00F62A12">
        <w:rPr>
          <w:rFonts w:eastAsia="Calibri"/>
        </w:rPr>
        <w:t>transfers of part of land in a folio of the Register</w:t>
      </w:r>
    </w:p>
    <w:p w:rsidR="005532C0" w:rsidRDefault="00AC7171" w:rsidP="005532C0">
      <w:pPr>
        <w:pStyle w:val="ListBullet2"/>
        <w:rPr>
          <w:rFonts w:eastAsia="Calibri"/>
        </w:rPr>
      </w:pPr>
      <w:r w:rsidRPr="00F62A12">
        <w:rPr>
          <w:rFonts w:eastAsia="Calibri"/>
        </w:rPr>
        <w:t>transfers of a tenant in common’s share</w:t>
      </w:r>
    </w:p>
    <w:p w:rsidR="005532C0" w:rsidRDefault="00AC7171" w:rsidP="005532C0">
      <w:pPr>
        <w:pStyle w:val="ListBullet2"/>
        <w:rPr>
          <w:rStyle w:val="Hyperlink"/>
          <w:rFonts w:eastAsia="Calibri"/>
          <w:color w:val="363534" w:themeColor="text1"/>
          <w:u w:val="none"/>
        </w:rPr>
      </w:pPr>
      <w:r w:rsidRPr="005532C0">
        <w:rPr>
          <w:rFonts w:eastAsia="Calibri"/>
        </w:rPr>
        <w:t xml:space="preserve">transfers that cannot be assessed for duty by the State Revenue Office </w:t>
      </w:r>
      <w:hyperlink r:id="rId14" w:history="1">
        <w:r w:rsidRPr="00F62A12">
          <w:t>Duties Online</w:t>
        </w:r>
      </w:hyperlink>
      <w:r w:rsidRPr="005532C0">
        <w:rPr>
          <w:rFonts w:eastAsia="Calibri"/>
        </w:rPr>
        <w:t xml:space="preserve"> </w:t>
      </w:r>
      <w:r w:rsidR="00521081">
        <w:rPr>
          <w:rFonts w:eastAsia="Calibri"/>
        </w:rPr>
        <w:t>–</w:t>
      </w:r>
      <w:r w:rsidR="00521081" w:rsidRPr="005532C0">
        <w:rPr>
          <w:rFonts w:eastAsia="Calibri"/>
        </w:rPr>
        <w:t xml:space="preserve"> </w:t>
      </w:r>
      <w:r w:rsidRPr="005532C0">
        <w:rPr>
          <w:rFonts w:eastAsia="Calibri"/>
        </w:rPr>
        <w:t xml:space="preserve">details of the transaction types able to be processed in Duties Online are in the tables of transactions and combinations of transactions available on the SRO website at </w:t>
      </w:r>
      <w:hyperlink r:id="rId15" w:history="1">
        <w:r w:rsidRPr="005532C0">
          <w:rPr>
            <w:rFonts w:eastAsia="Calibri"/>
          </w:rPr>
          <w:t>www.sro.vic.gov.au/duties-online-transaction-types</w:t>
        </w:r>
      </w:hyperlink>
    </w:p>
    <w:p w:rsidR="00AC7171" w:rsidRPr="005532C0" w:rsidRDefault="00AC7171" w:rsidP="005532C0">
      <w:pPr>
        <w:pStyle w:val="ListBullet2"/>
        <w:rPr>
          <w:rFonts w:eastAsia="Calibri" w:cstheme="minorHAnsi"/>
        </w:rPr>
      </w:pPr>
      <w:r w:rsidRPr="005532C0">
        <w:rPr>
          <w:rStyle w:val="Hyperlink"/>
          <w:rFonts w:eastAsia="Calibri" w:cstheme="minorHAnsi"/>
          <w:u w:val="none"/>
        </w:rPr>
        <w:t xml:space="preserve">transfers </w:t>
      </w:r>
      <w:r w:rsidRPr="005532C0">
        <w:rPr>
          <w:rStyle w:val="Hyperlink"/>
          <w:rFonts w:eastAsia="Calibri" w:cstheme="minorHAnsi"/>
          <w:color w:val="363534" w:themeColor="text1"/>
          <w:u w:val="none"/>
        </w:rPr>
        <w:t>affecting</w:t>
      </w:r>
      <w:r w:rsidRPr="005532C0">
        <w:rPr>
          <w:rStyle w:val="Hyperlink"/>
          <w:rFonts w:eastAsia="Calibri" w:cstheme="minorHAnsi"/>
          <w:u w:val="none"/>
        </w:rPr>
        <w:t xml:space="preserve"> </w:t>
      </w:r>
      <w:r w:rsidRPr="005532C0">
        <w:rPr>
          <w:rStyle w:val="Hyperlink"/>
          <w:rFonts w:eastAsia="Calibri" w:cstheme="minorHAnsi"/>
          <w:color w:val="363534" w:themeColor="text1"/>
          <w:u w:val="none"/>
        </w:rPr>
        <w:t>more</w:t>
      </w:r>
      <w:r w:rsidRPr="005532C0">
        <w:rPr>
          <w:rStyle w:val="Hyperlink"/>
          <w:rFonts w:eastAsia="Calibri" w:cstheme="minorHAnsi"/>
          <w:u w:val="none"/>
        </w:rPr>
        <w:t xml:space="preserve"> than 20 folios</w:t>
      </w:r>
    </w:p>
    <w:p w:rsidR="00AC7171" w:rsidRPr="00F62A12" w:rsidRDefault="00AC7171" w:rsidP="00AC7171">
      <w:pPr>
        <w:pStyle w:val="ListBullet"/>
      </w:pPr>
      <w:r>
        <w:rPr>
          <w:rFonts w:eastAsia="Calibri"/>
        </w:rPr>
        <w:t>a</w:t>
      </w:r>
      <w:r w:rsidR="005532C0">
        <w:rPr>
          <w:rFonts w:eastAsia="Calibri"/>
        </w:rPr>
        <w:t xml:space="preserve"> survivorship</w:t>
      </w:r>
      <w:r>
        <w:rPr>
          <w:rFonts w:eastAsia="Calibri"/>
        </w:rPr>
        <w:t xml:space="preserve"> </w:t>
      </w:r>
      <w:r w:rsidRPr="00F62A12">
        <w:rPr>
          <w:rFonts w:eastAsia="Calibri"/>
        </w:rPr>
        <w:t xml:space="preserve">application that is to be lodged with any other instrument, unless the other instrument must be lodged electronically </w:t>
      </w:r>
      <w:r w:rsidR="005532C0">
        <w:rPr>
          <w:rFonts w:eastAsia="Calibri"/>
        </w:rPr>
        <w:t>–</w:t>
      </w:r>
      <w:r w:rsidR="005532C0" w:rsidRPr="00F62A12">
        <w:rPr>
          <w:rFonts w:eastAsia="Calibri"/>
        </w:rPr>
        <w:t xml:space="preserve"> </w:t>
      </w:r>
      <w:r w:rsidRPr="00F62A12">
        <w:rPr>
          <w:rFonts w:eastAsia="Calibri"/>
        </w:rPr>
        <w:t>t</w:t>
      </w:r>
      <w:r w:rsidRPr="00F62A12">
        <w:rPr>
          <w:rFonts w:cs="Times New Roman"/>
          <w:color w:val="000000"/>
        </w:rPr>
        <w:t>his includes most discharges of mortgage, mortgages and withdrawals of caveat. If the discharge of mortgage, mortgage or withdrawal of caveat is an instrument required to be lodged electronically, that instrument must be lodged using the ELN.</w:t>
      </w:r>
      <w:r w:rsidR="005532C0">
        <w:rPr>
          <w:rFonts w:cs="Times New Roman"/>
          <w:color w:val="000000"/>
        </w:rPr>
        <w:t xml:space="preserve"> </w:t>
      </w:r>
      <w:r w:rsidRPr="00F62A12">
        <w:rPr>
          <w:rFonts w:cs="Times New Roman"/>
          <w:color w:val="000000"/>
        </w:rPr>
        <w:t>The survivorship application would then also be lodged electronically.</w:t>
      </w:r>
      <w:r w:rsidR="005532C0">
        <w:rPr>
          <w:rFonts w:cs="Times New Roman"/>
          <w:color w:val="000000"/>
        </w:rPr>
        <w:t xml:space="preserve"> </w:t>
      </w:r>
      <w:r w:rsidRPr="00F62A12">
        <w:rPr>
          <w:rFonts w:cs="Times New Roman"/>
          <w:color w:val="000000"/>
        </w:rPr>
        <w:t xml:space="preserve">In other cases, by way of example, a survivorship application and a </w:t>
      </w:r>
      <w:r w:rsidR="005532C0">
        <w:rPr>
          <w:rFonts w:cs="Times New Roman"/>
          <w:color w:val="000000"/>
        </w:rPr>
        <w:t>c</w:t>
      </w:r>
      <w:r w:rsidR="005532C0" w:rsidRPr="00F62A12">
        <w:rPr>
          <w:rFonts w:cs="Times New Roman"/>
          <w:color w:val="000000"/>
        </w:rPr>
        <w:t xml:space="preserve">aveat </w:t>
      </w:r>
      <w:r w:rsidRPr="00F62A12">
        <w:rPr>
          <w:rFonts w:cs="Times New Roman"/>
          <w:color w:val="000000"/>
        </w:rPr>
        <w:t xml:space="preserve">may be lodged in paper, as would a survivorship application and a discharge when both are lodged with a </w:t>
      </w:r>
      <w:r w:rsidR="005532C0">
        <w:rPr>
          <w:rFonts w:cs="Times New Roman"/>
          <w:color w:val="000000"/>
        </w:rPr>
        <w:t>t</w:t>
      </w:r>
      <w:r w:rsidR="005532C0" w:rsidRPr="00F62A12">
        <w:rPr>
          <w:rFonts w:cs="Times New Roman"/>
          <w:color w:val="000000"/>
        </w:rPr>
        <w:t xml:space="preserve">ransfer </w:t>
      </w:r>
      <w:r w:rsidRPr="00F62A12">
        <w:rPr>
          <w:rFonts w:cs="Times New Roman"/>
          <w:color w:val="000000"/>
        </w:rPr>
        <w:t>(e.g. following a settlement)</w:t>
      </w:r>
    </w:p>
    <w:p w:rsidR="00AC7171" w:rsidRPr="00F62A12" w:rsidRDefault="00AC7171" w:rsidP="00AC7171">
      <w:pPr>
        <w:pStyle w:val="ListBullet"/>
      </w:pPr>
      <w:r>
        <w:rPr>
          <w:rFonts w:eastAsia="Calibri"/>
        </w:rPr>
        <w:t xml:space="preserve">a </w:t>
      </w:r>
      <w:r w:rsidR="005532C0">
        <w:rPr>
          <w:rFonts w:eastAsia="Calibri"/>
        </w:rPr>
        <w:t>s</w:t>
      </w:r>
      <w:r w:rsidR="005532C0" w:rsidRPr="00F62A12">
        <w:rPr>
          <w:rFonts w:eastAsia="Calibri"/>
        </w:rPr>
        <w:t xml:space="preserve">urvivorship </w:t>
      </w:r>
      <w:r w:rsidRPr="00F62A12">
        <w:rPr>
          <w:rFonts w:eastAsia="Calibri"/>
        </w:rPr>
        <w:t>application that</w:t>
      </w:r>
      <w:r w:rsidR="005532C0">
        <w:rPr>
          <w:rFonts w:eastAsia="Calibri"/>
        </w:rPr>
        <w:t>,</w:t>
      </w:r>
      <w:r w:rsidRPr="00F62A12">
        <w:rPr>
          <w:rFonts w:eastAsia="Calibri"/>
        </w:rPr>
        <w:t xml:space="preserve"> as at 1 March 2018</w:t>
      </w:r>
      <w:r w:rsidR="005532C0">
        <w:rPr>
          <w:rFonts w:eastAsia="Calibri"/>
        </w:rPr>
        <w:t>,</w:t>
      </w:r>
      <w:r w:rsidRPr="00F62A12">
        <w:rPr>
          <w:rFonts w:eastAsia="Calibri"/>
        </w:rPr>
        <w:t xml:space="preserve"> is n</w:t>
      </w:r>
      <w:r>
        <w:rPr>
          <w:rFonts w:eastAsia="Calibri"/>
        </w:rPr>
        <w:t xml:space="preserve">ot available in PEXA, </w:t>
      </w:r>
      <w:r w:rsidR="005532C0">
        <w:rPr>
          <w:rFonts w:eastAsia="Calibri"/>
        </w:rPr>
        <w:t>e.g.</w:t>
      </w:r>
      <w:r>
        <w:rPr>
          <w:rFonts w:eastAsia="Calibri"/>
        </w:rPr>
        <w:t xml:space="preserve"> a</w:t>
      </w:r>
      <w:r w:rsidRPr="00F62A12">
        <w:rPr>
          <w:rFonts w:eastAsia="Calibri"/>
        </w:rPr>
        <w:t xml:space="preserve"> survivorship application by an interest holder.</w:t>
      </w:r>
    </w:p>
    <w:p w:rsidR="005532C0" w:rsidRDefault="005532C0">
      <w:pPr>
        <w:rPr>
          <w:rFonts w:eastAsia="Calibri"/>
          <w:b/>
          <w:bCs/>
          <w:iCs/>
          <w:color w:val="B3272F" w:themeColor="text2"/>
          <w:kern w:val="20"/>
          <w:sz w:val="22"/>
          <w:szCs w:val="28"/>
        </w:rPr>
      </w:pPr>
      <w:r>
        <w:rPr>
          <w:rFonts w:eastAsia="Calibri"/>
        </w:rPr>
        <w:br w:type="page"/>
      </w:r>
    </w:p>
    <w:p w:rsidR="00AC7171" w:rsidRPr="00F566CE" w:rsidRDefault="00AC7171" w:rsidP="00AC7171">
      <w:pPr>
        <w:pStyle w:val="Heading2"/>
        <w:rPr>
          <w:color w:val="FF0000"/>
        </w:rPr>
      </w:pPr>
      <w:r>
        <w:rPr>
          <w:rFonts w:eastAsia="Calibri"/>
        </w:rPr>
        <w:lastRenderedPageBreak/>
        <w:t xml:space="preserve">Creating restrictive covenants in </w:t>
      </w:r>
      <w:r w:rsidR="005532C0">
        <w:rPr>
          <w:rFonts w:eastAsia="Calibri"/>
        </w:rPr>
        <w:t xml:space="preserve">transfers </w:t>
      </w:r>
      <w:r>
        <w:rPr>
          <w:rFonts w:eastAsia="Calibri"/>
        </w:rPr>
        <w:t xml:space="preserve">and restrictions in </w:t>
      </w:r>
      <w:r w:rsidR="005532C0">
        <w:rPr>
          <w:rFonts w:eastAsia="Calibri"/>
        </w:rPr>
        <w:t>plans</w:t>
      </w:r>
    </w:p>
    <w:p w:rsidR="00AC7171" w:rsidRPr="00F62A12" w:rsidRDefault="007C28C6" w:rsidP="00E15450">
      <w:pPr>
        <w:pStyle w:val="BodyText12ptBefore"/>
        <w:rPr>
          <w:rFonts w:eastAsia="Calibri"/>
        </w:rPr>
      </w:pPr>
      <w:r>
        <w:rPr>
          <w:rFonts w:eastAsia="Calibri"/>
        </w:rPr>
        <w:t>New</w:t>
      </w:r>
      <w:r w:rsidR="00AC7171" w:rsidRPr="00F62A12">
        <w:rPr>
          <w:rFonts w:eastAsia="Calibri"/>
        </w:rPr>
        <w:t xml:space="preserve"> requirement for creating restrictive covenants in transfers and restrictions in plans </w:t>
      </w:r>
      <w:r w:rsidR="00DF0D5C">
        <w:rPr>
          <w:rFonts w:eastAsia="Calibri"/>
        </w:rPr>
        <w:t>are</w:t>
      </w:r>
      <w:r w:rsidR="00DF0D5C" w:rsidRPr="00F62A12">
        <w:rPr>
          <w:rFonts w:eastAsia="Calibri"/>
        </w:rPr>
        <w:t xml:space="preserve"> </w:t>
      </w:r>
      <w:r w:rsidR="00AC7171" w:rsidRPr="00F62A12">
        <w:rPr>
          <w:rFonts w:eastAsia="Calibri"/>
        </w:rPr>
        <w:t>as follows:</w:t>
      </w:r>
    </w:p>
    <w:p w:rsidR="00AC7171" w:rsidRPr="00F62A12" w:rsidRDefault="00E15450" w:rsidP="00AC7171">
      <w:pPr>
        <w:pStyle w:val="ListBullet"/>
        <w:rPr>
          <w:rFonts w:eastAsia="Calibri"/>
        </w:rPr>
      </w:pPr>
      <w:r>
        <w:rPr>
          <w:rFonts w:eastAsia="Calibri"/>
        </w:rPr>
        <w:t>t</w:t>
      </w:r>
      <w:r w:rsidRPr="00F62A12">
        <w:rPr>
          <w:rFonts w:eastAsia="Calibri"/>
        </w:rPr>
        <w:t xml:space="preserve">ransfers </w:t>
      </w:r>
      <w:r w:rsidR="00AC7171" w:rsidRPr="00F62A12">
        <w:rPr>
          <w:rFonts w:eastAsia="Calibri"/>
        </w:rPr>
        <w:t xml:space="preserve">for which any contract is signed on or after 1 July 2018, or when there is no contract of sale, the transfer is signed on or after 1 July 2018 – the details of any restrictive covenants to be created in the transfer must be contained in one or more Memorandum of Common Provisions recorded under the </w:t>
      </w:r>
      <w:r w:rsidR="00AC7171" w:rsidRPr="00F62A12">
        <w:rPr>
          <w:rFonts w:eastAsia="Calibri"/>
          <w:i/>
        </w:rPr>
        <w:t xml:space="preserve">Transfer of </w:t>
      </w:r>
      <w:r w:rsidR="00521081">
        <w:rPr>
          <w:rFonts w:eastAsia="Calibri"/>
          <w:i/>
        </w:rPr>
        <w:t>L</w:t>
      </w:r>
      <w:r w:rsidR="00521081" w:rsidRPr="00F62A12">
        <w:rPr>
          <w:rFonts w:eastAsia="Calibri"/>
          <w:i/>
        </w:rPr>
        <w:t xml:space="preserve">and </w:t>
      </w:r>
      <w:r w:rsidR="00AC7171" w:rsidRPr="00F62A12">
        <w:rPr>
          <w:rFonts w:eastAsia="Calibri"/>
          <w:i/>
        </w:rPr>
        <w:t>Act 1958</w:t>
      </w:r>
      <w:r w:rsidR="00AC7171" w:rsidRPr="00F62A12">
        <w:rPr>
          <w:rFonts w:eastAsia="Calibri"/>
        </w:rPr>
        <w:t xml:space="preserve"> (MCP) and referred to in the transfer by the MCP number(s)</w:t>
      </w:r>
    </w:p>
    <w:p w:rsidR="00AC7171" w:rsidRPr="00F62A12" w:rsidRDefault="00E15450" w:rsidP="00AC7171">
      <w:pPr>
        <w:pStyle w:val="ListBullet"/>
        <w:rPr>
          <w:rFonts w:eastAsia="Calibri"/>
        </w:rPr>
      </w:pPr>
      <w:r>
        <w:rPr>
          <w:rFonts w:eastAsia="Calibri"/>
        </w:rPr>
        <w:t>p</w:t>
      </w:r>
      <w:r w:rsidRPr="00F62A12">
        <w:rPr>
          <w:rFonts w:eastAsia="Calibri"/>
        </w:rPr>
        <w:t xml:space="preserve">lans </w:t>
      </w:r>
      <w:r w:rsidR="00AC7171" w:rsidRPr="00F62A12">
        <w:rPr>
          <w:rFonts w:eastAsia="Calibri"/>
        </w:rPr>
        <w:t xml:space="preserve">first signed by the </w:t>
      </w:r>
      <w:r>
        <w:rPr>
          <w:rFonts w:eastAsia="Calibri"/>
        </w:rPr>
        <w:t>l</w:t>
      </w:r>
      <w:r w:rsidRPr="00F62A12">
        <w:rPr>
          <w:rFonts w:eastAsia="Calibri"/>
        </w:rPr>
        <w:t xml:space="preserve">icensed </w:t>
      </w:r>
      <w:r>
        <w:rPr>
          <w:rFonts w:eastAsia="Calibri"/>
        </w:rPr>
        <w:t>s</w:t>
      </w:r>
      <w:r w:rsidRPr="00F62A12">
        <w:rPr>
          <w:rFonts w:eastAsia="Calibri"/>
        </w:rPr>
        <w:t xml:space="preserve">urveyor </w:t>
      </w:r>
      <w:r w:rsidR="00AC7171" w:rsidRPr="00F62A12">
        <w:rPr>
          <w:rFonts w:eastAsia="Calibri"/>
        </w:rPr>
        <w:t>on or after 1 July 2018 – the details of any restriction to be created in a plan must be:</w:t>
      </w:r>
    </w:p>
    <w:p w:rsidR="00AC7171" w:rsidRPr="00F62A12" w:rsidRDefault="00AC7171" w:rsidP="00AC7171">
      <w:pPr>
        <w:pStyle w:val="ListBullet2"/>
        <w:rPr>
          <w:rFonts w:eastAsia="Calibri"/>
        </w:rPr>
      </w:pPr>
      <w:r w:rsidRPr="00F62A12">
        <w:rPr>
          <w:rFonts w:eastAsia="Calibri"/>
        </w:rPr>
        <w:t xml:space="preserve">contained in one or more MCP and referred to in the plan by the MCP number(s); or </w:t>
      </w:r>
    </w:p>
    <w:p w:rsidR="00AC7171" w:rsidRDefault="00AC7171" w:rsidP="00AC7171">
      <w:pPr>
        <w:pStyle w:val="ListBullet2"/>
        <w:rPr>
          <w:rFonts w:eastAsia="Calibri"/>
        </w:rPr>
      </w:pPr>
      <w:r w:rsidRPr="00F62A12">
        <w:rPr>
          <w:rFonts w:eastAsia="Calibri"/>
        </w:rPr>
        <w:t>a short-form restriction limited to a single sheet of a plan</w:t>
      </w:r>
      <w:r w:rsidR="007C28C6">
        <w:rPr>
          <w:rFonts w:eastAsia="Calibri"/>
        </w:rPr>
        <w:t>; and/or</w:t>
      </w:r>
    </w:p>
    <w:p w:rsidR="007C28C6" w:rsidRPr="00F62A12" w:rsidRDefault="007C28C6" w:rsidP="00AC7171">
      <w:pPr>
        <w:pStyle w:val="ListBullet2"/>
        <w:rPr>
          <w:rFonts w:eastAsia="Calibri"/>
        </w:rPr>
      </w:pPr>
      <w:r>
        <w:rPr>
          <w:rFonts w:eastAsia="Calibri"/>
        </w:rPr>
        <w:t>by reference to a planning permit</w:t>
      </w:r>
    </w:p>
    <w:p w:rsidR="007C28C6" w:rsidRDefault="00E15450" w:rsidP="00AC7171">
      <w:pPr>
        <w:pStyle w:val="ListBullet"/>
        <w:rPr>
          <w:rFonts w:eastAsia="Calibri"/>
        </w:rPr>
      </w:pPr>
      <w:r>
        <w:rPr>
          <w:rFonts w:eastAsia="Calibri"/>
        </w:rPr>
        <w:t>a</w:t>
      </w:r>
      <w:r w:rsidRPr="00F62A12">
        <w:rPr>
          <w:rFonts w:eastAsia="Calibri"/>
        </w:rPr>
        <w:t xml:space="preserve">ny </w:t>
      </w:r>
      <w:r w:rsidR="00AC7171" w:rsidRPr="00F62A12">
        <w:rPr>
          <w:rFonts w:eastAsia="Calibri"/>
        </w:rPr>
        <w:t>creation of restrictive covenant in a transfer or restriction in a plan must contain the wording, and comply with the requirements, set out in Schedule 6 of the Registrar’s requirements</w:t>
      </w:r>
      <w:r w:rsidR="00814305">
        <w:rPr>
          <w:rFonts w:eastAsia="Calibri"/>
        </w:rPr>
        <w:t>, reproduced below.</w:t>
      </w:r>
    </w:p>
    <w:p w:rsidR="007C28C6" w:rsidRPr="00814305" w:rsidRDefault="007C28C6" w:rsidP="00814305">
      <w:pPr>
        <w:pStyle w:val="ListBullet2"/>
        <w:numPr>
          <w:ilvl w:val="0"/>
          <w:numId w:val="0"/>
        </w:numPr>
        <w:ind w:left="340" w:hanging="170"/>
        <w:rPr>
          <w:b/>
        </w:rPr>
      </w:pPr>
      <w:r w:rsidRPr="00814305">
        <w:rPr>
          <w:b/>
        </w:rPr>
        <w:t>Transfers under the TLA</w:t>
      </w:r>
    </w:p>
    <w:p w:rsidR="007C28C6" w:rsidRPr="0083473A" w:rsidRDefault="007C28C6" w:rsidP="007C28C6">
      <w:pPr>
        <w:spacing w:before="120" w:after="120"/>
        <w:ind w:left="142" w:right="142"/>
      </w:pPr>
      <w:bookmarkStart w:id="1" w:name="_Hlk497378214"/>
      <w:r w:rsidRPr="0083473A">
        <w:t>The following wording must be used:</w:t>
      </w:r>
    </w:p>
    <w:bookmarkEnd w:id="1"/>
    <w:p w:rsidR="007C28C6" w:rsidRPr="0083473A" w:rsidRDefault="007C28C6" w:rsidP="007C28C6">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rsidR="007C28C6" w:rsidRPr="0083473A" w:rsidRDefault="007C28C6" w:rsidP="007C28C6">
      <w:pPr>
        <w:spacing w:before="120" w:after="120"/>
        <w:ind w:left="142" w:right="142"/>
      </w:pPr>
      <w:r w:rsidRPr="0083473A">
        <w:t>Burdened land: the Land</w:t>
      </w:r>
    </w:p>
    <w:p w:rsidR="007C28C6" w:rsidRPr="0083473A" w:rsidRDefault="007C28C6" w:rsidP="007C28C6">
      <w:pPr>
        <w:spacing w:before="120" w:after="120"/>
        <w:ind w:left="142" w:right="142"/>
      </w:pPr>
      <w:r w:rsidRPr="0083473A">
        <w:t>Benefited land: [</w:t>
      </w:r>
      <w:r w:rsidRPr="0083473A">
        <w:rPr>
          <w:i/>
        </w:rPr>
        <w:t>set out</w:t>
      </w:r>
      <w:r w:rsidRPr="0083473A">
        <w:t>]</w:t>
      </w:r>
    </w:p>
    <w:p w:rsidR="007C28C6" w:rsidRPr="0083473A" w:rsidRDefault="007C28C6" w:rsidP="007C28C6">
      <w:pPr>
        <w:spacing w:before="120" w:after="120"/>
        <w:ind w:left="142" w:right="142"/>
      </w:pPr>
      <w:r w:rsidRPr="0083473A">
        <w:t>Restrictive covenant: MCP [</w:t>
      </w:r>
      <w:r w:rsidRPr="0083473A">
        <w:rPr>
          <w:i/>
        </w:rPr>
        <w:t>set out MCP number(s)</w:t>
      </w:r>
      <w:r w:rsidRPr="0083473A">
        <w:t>]</w:t>
      </w:r>
    </w:p>
    <w:p w:rsidR="007C28C6" w:rsidRPr="0083473A" w:rsidRDefault="007C28C6" w:rsidP="007C28C6">
      <w:pPr>
        <w:spacing w:before="120" w:after="120"/>
        <w:ind w:left="142" w:right="142"/>
      </w:pPr>
      <w:r w:rsidRPr="0083473A">
        <w:t xml:space="preserve">Expiry date: </w:t>
      </w:r>
      <w:r w:rsidRPr="00212736">
        <w:t>[dd/mm/yyyy]</w:t>
      </w:r>
    </w:p>
    <w:p w:rsidR="007C28C6" w:rsidRPr="00814305" w:rsidRDefault="007C28C6" w:rsidP="00814305">
      <w:pPr>
        <w:pStyle w:val="ListBullet2"/>
        <w:numPr>
          <w:ilvl w:val="0"/>
          <w:numId w:val="0"/>
        </w:numPr>
        <w:ind w:left="340" w:hanging="170"/>
        <w:rPr>
          <w:b/>
        </w:rPr>
      </w:pPr>
      <w:r w:rsidRPr="00814305">
        <w:rPr>
          <w:b/>
        </w:rPr>
        <w:t>Plans</w:t>
      </w:r>
    </w:p>
    <w:p w:rsidR="007C28C6" w:rsidRPr="0083473A" w:rsidRDefault="007C28C6" w:rsidP="007C28C6">
      <w:pPr>
        <w:spacing w:before="120" w:after="120"/>
        <w:ind w:left="142" w:right="142"/>
      </w:pPr>
      <w:r w:rsidRPr="0083473A">
        <w:t>The following wording must be used except for the wording in square brackets:</w:t>
      </w:r>
    </w:p>
    <w:p w:rsidR="007C28C6" w:rsidRPr="0083473A" w:rsidRDefault="007C28C6" w:rsidP="007C28C6">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7C28C6" w:rsidRPr="0083473A" w:rsidRDefault="007C28C6" w:rsidP="007C28C6">
      <w:pPr>
        <w:spacing w:before="120" w:after="120"/>
        <w:ind w:left="142" w:right="142"/>
      </w:pPr>
      <w:r w:rsidRPr="0083473A">
        <w:t>Burdened land: [</w:t>
      </w:r>
      <w:r w:rsidRPr="0083473A">
        <w:rPr>
          <w:i/>
        </w:rPr>
        <w:t>set out</w:t>
      </w:r>
      <w:r w:rsidRPr="0083473A">
        <w:t>]</w:t>
      </w:r>
    </w:p>
    <w:p w:rsidR="007C28C6" w:rsidRPr="0083473A" w:rsidRDefault="007C28C6" w:rsidP="007C28C6">
      <w:pPr>
        <w:spacing w:before="120" w:after="120"/>
        <w:ind w:left="142" w:right="142"/>
      </w:pPr>
      <w:r w:rsidRPr="0083473A">
        <w:t>Benefited land: [</w:t>
      </w:r>
      <w:r w:rsidRPr="0083473A">
        <w:rPr>
          <w:i/>
        </w:rPr>
        <w:t>set out</w:t>
      </w:r>
      <w:r w:rsidRPr="0083473A">
        <w:t>]</w:t>
      </w:r>
    </w:p>
    <w:p w:rsidR="007C28C6" w:rsidRPr="0083473A" w:rsidRDefault="007C28C6" w:rsidP="007C28C6">
      <w:pPr>
        <w:spacing w:before="120" w:after="120"/>
        <w:ind w:left="142" w:right="142"/>
      </w:pPr>
      <w:r w:rsidRPr="0083473A">
        <w:t>Restriction:</w:t>
      </w:r>
    </w:p>
    <w:p w:rsidR="007C28C6" w:rsidRPr="0083473A" w:rsidRDefault="007C28C6" w:rsidP="007C28C6">
      <w:pPr>
        <w:spacing w:before="120" w:after="120"/>
        <w:ind w:left="142" w:right="142"/>
      </w:pPr>
      <w:r w:rsidRPr="0083473A">
        <w:t>The burdened land cannot be used except in accordance with the provisions recorded in MCP [</w:t>
      </w:r>
      <w:r w:rsidRPr="0083473A">
        <w:rPr>
          <w:i/>
        </w:rPr>
        <w:t>set out MCP number(s)</w:t>
      </w:r>
      <w:r w:rsidRPr="0083473A">
        <w:t>].</w:t>
      </w:r>
    </w:p>
    <w:p w:rsidR="007C28C6" w:rsidRPr="0083473A" w:rsidRDefault="007C28C6" w:rsidP="007C28C6">
      <w:pPr>
        <w:spacing w:before="120" w:after="120"/>
        <w:ind w:left="142" w:right="142"/>
      </w:pPr>
      <w:r w:rsidRPr="0083473A">
        <w:t>[or]</w:t>
      </w:r>
    </w:p>
    <w:p w:rsidR="007C28C6" w:rsidRPr="0083473A" w:rsidRDefault="007C28C6" w:rsidP="007C28C6">
      <w:pPr>
        <w:spacing w:before="120" w:after="120"/>
        <w:ind w:left="142" w:right="142"/>
      </w:pPr>
      <w:r w:rsidRPr="0083473A">
        <w:t>The burdened land cannot be used except in accordance with Planning Permit [set out reference].</w:t>
      </w:r>
    </w:p>
    <w:p w:rsidR="007C28C6" w:rsidRPr="0083473A" w:rsidRDefault="007C28C6" w:rsidP="007C28C6">
      <w:pPr>
        <w:spacing w:before="120" w:after="120"/>
        <w:ind w:left="142" w:right="142"/>
      </w:pPr>
      <w:r w:rsidRPr="0083473A">
        <w:t>[and/</w:t>
      </w:r>
      <w:r w:rsidRPr="00814305">
        <w:t>or]</w:t>
      </w:r>
    </w:p>
    <w:p w:rsidR="007C28C6" w:rsidRPr="0083473A" w:rsidRDefault="007C28C6" w:rsidP="007C28C6">
      <w:pPr>
        <w:spacing w:before="120" w:after="120"/>
        <w:ind w:left="142" w:right="142"/>
      </w:pPr>
      <w:r w:rsidRPr="0083473A">
        <w:t>[Set out the details of the restriction on up to a maximum of a single sheet of the Plan. The single sheet may include diagram(s). Standard drafting practices apply. The font size must be no smaller than 2.5mm.]</w:t>
      </w:r>
    </w:p>
    <w:p w:rsidR="00AC7171" w:rsidRPr="00DF0D5C" w:rsidRDefault="007C28C6" w:rsidP="00DF0D5C">
      <w:pPr>
        <w:spacing w:before="120" w:after="120"/>
        <w:ind w:left="142" w:right="142"/>
      </w:pPr>
      <w:r w:rsidRPr="0083473A">
        <w:t xml:space="preserve">Expiry date: </w:t>
      </w:r>
      <w:r w:rsidRPr="00212736">
        <w:t>[dd/mm/yyyy]</w:t>
      </w:r>
      <w:r w:rsidR="00AC7171" w:rsidRPr="00F62A12">
        <w:rPr>
          <w:rFonts w:eastAsia="Calibri"/>
        </w:rPr>
        <w:t>.</w:t>
      </w:r>
    </w:p>
    <w:p w:rsidR="00AC7171" w:rsidRPr="00F62A12" w:rsidRDefault="00AC7171" w:rsidP="00E15450">
      <w:pPr>
        <w:pStyle w:val="BodyText12ptBefore"/>
        <w:rPr>
          <w:rFonts w:eastAsia="Calibri"/>
        </w:rPr>
      </w:pPr>
      <w:r w:rsidRPr="00F62A12">
        <w:rPr>
          <w:rFonts w:eastAsia="Calibri"/>
        </w:rPr>
        <w:lastRenderedPageBreak/>
        <w:t xml:space="preserve">The new forms of transfer instruments </w:t>
      </w:r>
      <w:r w:rsidR="00E15450">
        <w:rPr>
          <w:rFonts w:eastAsia="Calibri"/>
        </w:rPr>
        <w:t>–</w:t>
      </w:r>
      <w:r w:rsidRPr="00F62A12">
        <w:rPr>
          <w:rFonts w:eastAsia="Calibri"/>
        </w:rPr>
        <w:t xml:space="preserve"> Transfer of </w:t>
      </w:r>
      <w:r w:rsidR="00E15450">
        <w:rPr>
          <w:rFonts w:eastAsia="Calibri"/>
        </w:rPr>
        <w:t>l</w:t>
      </w:r>
      <w:r w:rsidRPr="00F62A12">
        <w:rPr>
          <w:rFonts w:eastAsia="Calibri"/>
        </w:rPr>
        <w:t xml:space="preserve">and and Transfer of </w:t>
      </w:r>
      <w:r w:rsidR="00E15450">
        <w:rPr>
          <w:rFonts w:eastAsia="Calibri"/>
        </w:rPr>
        <w:t>l</w:t>
      </w:r>
      <w:r w:rsidR="00E15450" w:rsidRPr="00F62A12">
        <w:rPr>
          <w:rFonts w:eastAsia="Calibri"/>
        </w:rPr>
        <w:t xml:space="preserve">and </w:t>
      </w:r>
      <w:r w:rsidR="00E15450">
        <w:rPr>
          <w:rFonts w:eastAsia="Calibri"/>
        </w:rPr>
        <w:t>–</w:t>
      </w:r>
      <w:r w:rsidRPr="00F62A12">
        <w:rPr>
          <w:rFonts w:eastAsia="Calibri"/>
        </w:rPr>
        <w:t xml:space="preserve"> creating an easement, will </w:t>
      </w:r>
      <w:r w:rsidR="00E15450" w:rsidRPr="00F62A12">
        <w:rPr>
          <w:rFonts w:eastAsia="Calibri"/>
        </w:rPr>
        <w:t>s</w:t>
      </w:r>
      <w:r w:rsidR="00E15450">
        <w:rPr>
          <w:rFonts w:eastAsia="Calibri"/>
        </w:rPr>
        <w:t>oon</w:t>
      </w:r>
      <w:r w:rsidR="00E15450" w:rsidRPr="00F62A12">
        <w:rPr>
          <w:rFonts w:eastAsia="Calibri"/>
        </w:rPr>
        <w:t xml:space="preserve"> </w:t>
      </w:r>
      <w:r w:rsidRPr="00F62A12">
        <w:rPr>
          <w:rFonts w:eastAsia="Calibri"/>
        </w:rPr>
        <w:t xml:space="preserve">be published on the LUV website for use by customers </w:t>
      </w:r>
      <w:r w:rsidR="00521081">
        <w:rPr>
          <w:rFonts w:eastAsia="Calibri"/>
        </w:rPr>
        <w:t>conducting</w:t>
      </w:r>
      <w:r w:rsidR="00521081" w:rsidRPr="00F62A12">
        <w:rPr>
          <w:rFonts w:eastAsia="Calibri"/>
        </w:rPr>
        <w:t xml:space="preserve"> </w:t>
      </w:r>
      <w:r w:rsidRPr="00F62A12">
        <w:rPr>
          <w:rFonts w:eastAsia="Calibri"/>
        </w:rPr>
        <w:t>paper conveyancing transactions.</w:t>
      </w:r>
    </w:p>
    <w:p w:rsidR="00AC7171" w:rsidRPr="00F62A12" w:rsidRDefault="00AC7171" w:rsidP="00AC7171">
      <w:pPr>
        <w:pStyle w:val="Heading1"/>
      </w:pPr>
      <w:r w:rsidRPr="00F62A12">
        <w:t>Bulk conversion of paper Certificates of Title to electronic Certificates of Title</w:t>
      </w:r>
    </w:p>
    <w:p w:rsidR="00AC7171" w:rsidRPr="00D56375" w:rsidRDefault="00AC7171" w:rsidP="00AC7171">
      <w:pPr>
        <w:pStyle w:val="BodyText"/>
      </w:pPr>
      <w:r w:rsidRPr="00D56375">
        <w:t xml:space="preserve">On 23 February 2018, Land Use Victoria </w:t>
      </w:r>
      <w:r>
        <w:t xml:space="preserve">(LUV) </w:t>
      </w:r>
      <w:r w:rsidRPr="00D56375">
        <w:t>facilitate</w:t>
      </w:r>
      <w:r w:rsidR="007C28C6">
        <w:t>d</w:t>
      </w:r>
      <w:r w:rsidRPr="00D56375">
        <w:t xml:space="preserve"> a bulk conversion of paper C</w:t>
      </w:r>
      <w:r>
        <w:t xml:space="preserve">ertificates of </w:t>
      </w:r>
      <w:r w:rsidRPr="00D56375">
        <w:t>T</w:t>
      </w:r>
      <w:r>
        <w:t>itle</w:t>
      </w:r>
      <w:r w:rsidRPr="00D56375">
        <w:t xml:space="preserve"> (pCTs)</w:t>
      </w:r>
      <w:r>
        <w:t xml:space="preserve"> to electronic Certificates of Titles (eCTs)</w:t>
      </w:r>
      <w:r w:rsidR="004819A0">
        <w:t>,</w:t>
      </w:r>
      <w:r w:rsidRPr="00D56375">
        <w:t xml:space="preserve"> </w:t>
      </w:r>
      <w:r>
        <w:t>when</w:t>
      </w:r>
      <w:r w:rsidRPr="00D56375">
        <w:t xml:space="preserve"> any of the following banks are recorded as the first mortgagee:</w:t>
      </w:r>
    </w:p>
    <w:p w:rsidR="00FB1F1C" w:rsidRDefault="00FB1F1C" w:rsidP="00FB1F1C">
      <w:pPr>
        <w:pStyle w:val="ListBullet"/>
      </w:pPr>
      <w:r w:rsidRPr="00D56375">
        <w:t>Bank of Queensland</w:t>
      </w:r>
    </w:p>
    <w:p w:rsidR="00FB1F1C" w:rsidRPr="00D56375" w:rsidRDefault="00FB1F1C" w:rsidP="00FB1F1C">
      <w:pPr>
        <w:pStyle w:val="ListBullet"/>
      </w:pPr>
      <w:r w:rsidRPr="00D56375">
        <w:t>Community CPS Australia Ltd</w:t>
      </w:r>
    </w:p>
    <w:p w:rsidR="00FB1F1C" w:rsidRPr="00D56375" w:rsidRDefault="00FB1F1C" w:rsidP="00FB1F1C">
      <w:pPr>
        <w:pStyle w:val="ListBullet"/>
      </w:pPr>
      <w:r w:rsidRPr="00D56375">
        <w:t>Credit Union Australia Ltd</w:t>
      </w:r>
    </w:p>
    <w:p w:rsidR="00AC7171" w:rsidRPr="00D56375" w:rsidRDefault="00AC7171" w:rsidP="00AC7171">
      <w:pPr>
        <w:pStyle w:val="ListBullet"/>
      </w:pPr>
      <w:r w:rsidRPr="00D56375">
        <w:t>Gateway Credit Union Ltd</w:t>
      </w:r>
    </w:p>
    <w:p w:rsidR="00AC7171" w:rsidRPr="00D56375" w:rsidRDefault="00AC7171" w:rsidP="00AC7171">
      <w:pPr>
        <w:pStyle w:val="ListBullet"/>
      </w:pPr>
      <w:r w:rsidRPr="00D56375">
        <w:t>Macquarie Bank Ltd</w:t>
      </w:r>
    </w:p>
    <w:p w:rsidR="00AC7171" w:rsidRPr="00D56375" w:rsidRDefault="00AC7171" w:rsidP="00AC7171">
      <w:pPr>
        <w:pStyle w:val="ListBullet"/>
      </w:pPr>
      <w:r w:rsidRPr="00D56375">
        <w:t>Suncorp-Metway Ltd</w:t>
      </w:r>
      <w:r>
        <w:t>.</w:t>
      </w:r>
    </w:p>
    <w:p w:rsidR="00AC7171" w:rsidRPr="00D56375" w:rsidRDefault="00AC7171" w:rsidP="00AC7171">
      <w:pPr>
        <w:pStyle w:val="BodyText"/>
      </w:pPr>
      <w:r w:rsidRPr="00D56375">
        <w:t xml:space="preserve">Under section 27BAA of the </w:t>
      </w:r>
      <w:r w:rsidRPr="003C2384">
        <w:rPr>
          <w:i/>
        </w:rPr>
        <w:t>Transfer of Land Act 1958</w:t>
      </w:r>
      <w:r w:rsidRPr="00D56375">
        <w:t xml:space="preserve">, the Registrar of Titles </w:t>
      </w:r>
      <w:r w:rsidR="00C449E7">
        <w:t>has</w:t>
      </w:r>
      <w:r w:rsidRPr="00D56375">
        <w:t xml:space="preserve"> declare</w:t>
      </w:r>
      <w:r w:rsidR="00C449E7">
        <w:t>d</w:t>
      </w:r>
      <w:r w:rsidRPr="00D56375">
        <w:t xml:space="preserve"> by notice in the </w:t>
      </w:r>
      <w:r w:rsidRPr="003C2384">
        <w:rPr>
          <w:i/>
        </w:rPr>
        <w:t>Victoria Government</w:t>
      </w:r>
      <w:r w:rsidRPr="00D56375">
        <w:t xml:space="preserve"> </w:t>
      </w:r>
      <w:r w:rsidRPr="003C2384">
        <w:rPr>
          <w:i/>
        </w:rPr>
        <w:t>Gazette</w:t>
      </w:r>
      <w:r w:rsidRPr="00D56375">
        <w:t xml:space="preserve"> that these pCTs will be void and of no effect </w:t>
      </w:r>
      <w:r>
        <w:t xml:space="preserve">on or </w:t>
      </w:r>
      <w:r w:rsidRPr="00D56375">
        <w:t>after 2</w:t>
      </w:r>
      <w:r>
        <w:t xml:space="preserve">4 February </w:t>
      </w:r>
      <w:r w:rsidRPr="00D56375">
        <w:t>201</w:t>
      </w:r>
      <w:r>
        <w:t>8</w:t>
      </w:r>
      <w:r w:rsidRPr="00D56375">
        <w:t>.</w:t>
      </w:r>
      <w:r w:rsidR="005532C0">
        <w:t xml:space="preserve"> </w:t>
      </w:r>
      <w:r w:rsidRPr="00D56375">
        <w:t>From then on, the C</w:t>
      </w:r>
      <w:r>
        <w:t xml:space="preserve">ertificates of </w:t>
      </w:r>
      <w:r w:rsidRPr="00D56375">
        <w:t>T</w:t>
      </w:r>
      <w:r>
        <w:t>itle</w:t>
      </w:r>
      <w:r w:rsidRPr="00D56375">
        <w:t xml:space="preserve"> held by these banks will be eCTs and the relevant bank will be recorded as the eCT Control </w:t>
      </w:r>
      <w:r>
        <w:t>–</w:t>
      </w:r>
      <w:r w:rsidRPr="00D56375">
        <w:t xml:space="preserve"> the party entitled to control the eCT.</w:t>
      </w:r>
    </w:p>
    <w:p w:rsidR="00AC7171" w:rsidRDefault="004819A0" w:rsidP="00AC7171">
      <w:pPr>
        <w:pStyle w:val="BodyText"/>
      </w:pPr>
      <w:r>
        <w:t>The</w:t>
      </w:r>
      <w:r w:rsidR="00AC7171">
        <w:t xml:space="preserve"> banks that participated in earlier bulk conversions of pCTs to eCTs are:</w:t>
      </w:r>
    </w:p>
    <w:p w:rsidR="00FB1F1C" w:rsidRDefault="00FB1F1C" w:rsidP="00FB1F1C">
      <w:pPr>
        <w:pStyle w:val="ListBullet"/>
      </w:pPr>
      <w:r w:rsidRPr="00B221C1">
        <w:t>ANZ Banking Group Ltd</w:t>
      </w:r>
    </w:p>
    <w:p w:rsidR="00FB1F1C" w:rsidRPr="00B221C1" w:rsidRDefault="00FB1F1C" w:rsidP="00FB1F1C">
      <w:pPr>
        <w:pStyle w:val="ListBullet"/>
      </w:pPr>
      <w:r>
        <w:t>Auswide Bank Ltd</w:t>
      </w:r>
    </w:p>
    <w:p w:rsidR="00AC7171" w:rsidRDefault="00AC7171" w:rsidP="00AC7171">
      <w:pPr>
        <w:pStyle w:val="ListBullet"/>
      </w:pPr>
      <w:r w:rsidRPr="00B221C1">
        <w:t>Bank Australia Ltd</w:t>
      </w:r>
    </w:p>
    <w:p w:rsidR="00EB4432" w:rsidRDefault="00FB1F1C" w:rsidP="00AC7171">
      <w:pPr>
        <w:pStyle w:val="ListBullet"/>
      </w:pPr>
      <w:r w:rsidRPr="00B221C1">
        <w:t>Bendigo and Adelaide Bank</w:t>
      </w:r>
      <w:r w:rsidR="004D7690">
        <w:t xml:space="preserve"> Ltd</w:t>
      </w:r>
      <w:bookmarkStart w:id="2" w:name="_GoBack"/>
      <w:bookmarkEnd w:id="2"/>
    </w:p>
    <w:p w:rsidR="00AC7171" w:rsidRPr="00B221C1" w:rsidRDefault="00FB1F1C" w:rsidP="00AC7171">
      <w:pPr>
        <w:pStyle w:val="ListBullet"/>
      </w:pPr>
      <w:r w:rsidRPr="00B221C1">
        <w:t>Commonwealth</w:t>
      </w:r>
      <w:r w:rsidR="00AC7171" w:rsidRPr="00B221C1">
        <w:t xml:space="preserve"> Bank of Australia</w:t>
      </w:r>
    </w:p>
    <w:p w:rsidR="00AC7171" w:rsidRPr="00B221C1" w:rsidRDefault="00AC7171" w:rsidP="00AC7171">
      <w:pPr>
        <w:pStyle w:val="ListBullet"/>
      </w:pPr>
      <w:r w:rsidRPr="00B221C1">
        <w:t>National Australia Bank Ltd</w:t>
      </w:r>
    </w:p>
    <w:p w:rsidR="00AC7171" w:rsidRPr="00B221C1" w:rsidRDefault="00AC7171" w:rsidP="00AC7171">
      <w:pPr>
        <w:pStyle w:val="ListBullet"/>
      </w:pPr>
      <w:r w:rsidRPr="00B221C1">
        <w:t>Rural Bank Ltd</w:t>
      </w:r>
    </w:p>
    <w:p w:rsidR="00FB1F1C" w:rsidRDefault="00AC7171" w:rsidP="00AC7171">
      <w:pPr>
        <w:pStyle w:val="ListBullet"/>
      </w:pPr>
      <w:r w:rsidRPr="00B221C1">
        <w:t>Teachers Mutual Bank Ltd</w:t>
      </w:r>
    </w:p>
    <w:p w:rsidR="00AC7171" w:rsidRPr="00B221C1" w:rsidRDefault="00FB1F1C" w:rsidP="00DF0D5C">
      <w:pPr>
        <w:pStyle w:val="ListBullet"/>
      </w:pPr>
      <w:r w:rsidRPr="00B221C1">
        <w:t>Westpac Banking Corporation</w:t>
      </w:r>
      <w:r>
        <w:t>.</w:t>
      </w:r>
    </w:p>
    <w:p w:rsidR="00AC7171" w:rsidRDefault="004819A0" w:rsidP="00AC7171">
      <w:pPr>
        <w:pStyle w:val="BodyText"/>
      </w:pPr>
      <w:r>
        <w:t>Any transaction</w:t>
      </w:r>
      <w:r w:rsidRPr="00D56375">
        <w:t xml:space="preserve"> </w:t>
      </w:r>
      <w:r w:rsidR="00AC7171" w:rsidRPr="00D56375">
        <w:t xml:space="preserve">lodged involving a folio of the Register, where </w:t>
      </w:r>
      <w:r>
        <w:t xml:space="preserve">one </w:t>
      </w:r>
      <w:r w:rsidR="00AC7171">
        <w:t>of the</w:t>
      </w:r>
      <w:r>
        <w:t>se</w:t>
      </w:r>
      <w:r w:rsidR="00AC7171">
        <w:t xml:space="preserve"> banks </w:t>
      </w:r>
      <w:r>
        <w:t>is</w:t>
      </w:r>
      <w:r w:rsidRPr="00D56375">
        <w:t xml:space="preserve"> </w:t>
      </w:r>
      <w:r w:rsidR="00AC7171" w:rsidRPr="00D56375">
        <w:t xml:space="preserve">first mortgagee, will be supported by </w:t>
      </w:r>
      <w:r>
        <w:t xml:space="preserve">an </w:t>
      </w:r>
      <w:r w:rsidR="00AC7171" w:rsidRPr="00D56375">
        <w:t>eCT.</w:t>
      </w:r>
      <w:r w:rsidR="005532C0">
        <w:t xml:space="preserve"> </w:t>
      </w:r>
      <w:r w:rsidR="00AC7171" w:rsidRPr="00D56375">
        <w:t>Only an eCT will issue after a transaction is registered if one of these banks is the incoming first mortgagee.</w:t>
      </w:r>
      <w:r w:rsidR="005532C0">
        <w:t xml:space="preserve"> </w:t>
      </w:r>
    </w:p>
    <w:p w:rsidR="00AC7171" w:rsidRPr="00FF4197" w:rsidRDefault="00AC7171" w:rsidP="00AC7171">
      <w:pPr>
        <w:pStyle w:val="BodyText"/>
      </w:pPr>
      <w:r>
        <w:t xml:space="preserve">Customers are reminded to check </w:t>
      </w:r>
      <w:r w:rsidRPr="00FF4197">
        <w:t>Register Search Statement</w:t>
      </w:r>
      <w:r>
        <w:t>s</w:t>
      </w:r>
      <w:r w:rsidRPr="00FF4197">
        <w:t xml:space="preserve"> (RSS) and Final Search Statement</w:t>
      </w:r>
      <w:r>
        <w:t>s</w:t>
      </w:r>
      <w:r w:rsidRPr="00FF4197">
        <w:t xml:space="preserve"> (FSS).</w:t>
      </w:r>
      <w:r w:rsidR="005532C0">
        <w:t xml:space="preserve"> </w:t>
      </w:r>
      <w:r w:rsidRPr="00FF4197">
        <w:t>If the C</w:t>
      </w:r>
      <w:r>
        <w:t xml:space="preserve">ertificate of Title </w:t>
      </w:r>
      <w:r w:rsidRPr="00FF4197">
        <w:t>is an eCT:</w:t>
      </w:r>
    </w:p>
    <w:p w:rsidR="00AC7171" w:rsidRDefault="00AC7171" w:rsidP="00AC7171">
      <w:pPr>
        <w:pStyle w:val="ListBullet"/>
      </w:pPr>
      <w:r w:rsidRPr="00FF4197">
        <w:t>the RSS will provide the name and VOTS (Victorian Online Titl</w:t>
      </w:r>
      <w:r>
        <w:t>e</w:t>
      </w:r>
      <w:r w:rsidRPr="00FF4197">
        <w:t xml:space="preserve"> System) customer code of the party recorded as the eCT Control, and the details of any current administrative notices (such as a nomination)</w:t>
      </w:r>
    </w:p>
    <w:p w:rsidR="00AC7171" w:rsidRDefault="00AC7171" w:rsidP="00AC7171">
      <w:pPr>
        <w:pStyle w:val="ListBullet"/>
      </w:pPr>
      <w:r w:rsidRPr="00FF4197">
        <w:t>the FSS will provide the name and VOTS customer code of the party recorded as the eCT Control. If any administrative notices (such as a nomination) have been lodged in the preceding 125 days, the details of the notice(s) will be shown</w:t>
      </w:r>
      <w:r>
        <w:t>.</w:t>
      </w:r>
    </w:p>
    <w:p w:rsidR="00AC7171" w:rsidRDefault="00AC7171" w:rsidP="00AC7171">
      <w:pPr>
        <w:pStyle w:val="BodyText"/>
      </w:pPr>
      <w:r>
        <w:lastRenderedPageBreak/>
        <w:t>Detailed information on the bulk conversion process, Register Confirmation Statements, eCT Control and administrative notices is contained in Customer Information Bulletins 160</w:t>
      </w:r>
      <w:r w:rsidR="004819A0">
        <w:t xml:space="preserve"> (</w:t>
      </w:r>
      <w:r>
        <w:t>October 2016</w:t>
      </w:r>
      <w:r w:rsidR="004819A0">
        <w:t>)</w:t>
      </w:r>
      <w:r>
        <w:t xml:space="preserve"> and 172 </w:t>
      </w:r>
      <w:r w:rsidR="004819A0">
        <w:t>(</w:t>
      </w:r>
      <w:r>
        <w:t>November 2017</w:t>
      </w:r>
      <w:r w:rsidR="004819A0">
        <w:t>).</w:t>
      </w:r>
    </w:p>
    <w:p w:rsidR="00AC7171" w:rsidRPr="00E43931" w:rsidRDefault="00AC7171" w:rsidP="00AC7171">
      <w:pPr>
        <w:pStyle w:val="Heading1"/>
      </w:pPr>
      <w:r w:rsidRPr="00E43931">
        <w:t>New folio output for deceased estates</w:t>
      </w:r>
    </w:p>
    <w:p w:rsidR="00AC7171" w:rsidRPr="00B221C1" w:rsidRDefault="00AC7171" w:rsidP="00AC7171">
      <w:pPr>
        <w:pStyle w:val="BodyText"/>
      </w:pPr>
      <w:r w:rsidRPr="00B221C1">
        <w:t xml:space="preserve">A change has been made to the folio endorsement that results from processing a transmission application </w:t>
      </w:r>
      <w:r w:rsidR="004819A0" w:rsidRPr="00B221C1">
        <w:t>relat</w:t>
      </w:r>
      <w:r w:rsidR="004819A0">
        <w:t>ed</w:t>
      </w:r>
      <w:r w:rsidR="004819A0" w:rsidRPr="00B221C1">
        <w:t xml:space="preserve"> </w:t>
      </w:r>
      <w:r w:rsidRPr="00B221C1">
        <w:t>to a deceased estate</w:t>
      </w:r>
      <w:r w:rsidR="004819A0">
        <w:t>,</w:t>
      </w:r>
      <w:r w:rsidRPr="00B221C1">
        <w:t xml:space="preserve"> under section 49 of the </w:t>
      </w:r>
      <w:r w:rsidRPr="00FB1F1C">
        <w:rPr>
          <w:i/>
        </w:rPr>
        <w:t>Transfer of Land Act 1958</w:t>
      </w:r>
      <w:r w:rsidRPr="00B221C1">
        <w:t>.</w:t>
      </w:r>
    </w:p>
    <w:p w:rsidR="00AC7171" w:rsidRDefault="00AC7171" w:rsidP="00AC7171">
      <w:pPr>
        <w:pStyle w:val="BodyText"/>
        <w:sectPr w:rsidR="00AC7171" w:rsidSect="00DA5357">
          <w:type w:val="continuous"/>
          <w:pgSz w:w="11907" w:h="16840" w:code="9"/>
          <w:pgMar w:top="2211" w:right="851" w:bottom="1758" w:left="851" w:header="284" w:footer="284" w:gutter="0"/>
          <w:cols w:space="284"/>
          <w:docGrid w:linePitch="360"/>
        </w:sectPr>
      </w:pPr>
      <w:r w:rsidRPr="00B221C1">
        <w:t>Previously, no distinction was made between executors and administrators – all applicants were endorsed as Legal Personal Representative(s).</w:t>
      </w:r>
      <w:r w:rsidR="005532C0">
        <w:t xml:space="preserve"> </w:t>
      </w:r>
      <w:r w:rsidRPr="00B221C1">
        <w:t>Now, the actual representative capacity, either executor or administrator, is shown.</w:t>
      </w:r>
      <w:r w:rsidR="005532C0">
        <w:t xml:space="preserve"> </w:t>
      </w:r>
      <w:r w:rsidRPr="00B221C1">
        <w:t xml:space="preserve">The new </w:t>
      </w:r>
      <w:r w:rsidR="00FB1F1C" w:rsidRPr="00B221C1">
        <w:t>endorsement appears</w:t>
      </w:r>
      <w:r w:rsidRPr="00B221C1">
        <w:t xml:space="preserve"> on folio searches and Certificates of Title on </w:t>
      </w:r>
      <w:r>
        <w:t xml:space="preserve">which any transmission application is processed from 3 </w:t>
      </w:r>
      <w:r w:rsidRPr="00B221C1">
        <w:t>February 2018.</w:t>
      </w:r>
      <w:r w:rsidR="005532C0">
        <w:t xml:space="preserve"> </w:t>
      </w:r>
      <w:r w:rsidRPr="00B221C1">
        <w:t>Any pre-existing endorsements in the Register will be unchanged.</w:t>
      </w:r>
      <w:r>
        <w:t xml:space="preserve"> </w:t>
      </w:r>
    </w:p>
    <w:p w:rsidR="007C28C6" w:rsidRDefault="007C28C6" w:rsidP="007C28C6">
      <w:pPr>
        <w:pStyle w:val="Heading1"/>
        <w:rPr>
          <w:rFonts w:eastAsia="Calibri"/>
        </w:rPr>
      </w:pPr>
      <w:r>
        <w:rPr>
          <w:rFonts w:eastAsia="Calibri"/>
        </w:rPr>
        <w:t>Electronic lodgment w</w:t>
      </w:r>
      <w:r w:rsidRPr="00431D53">
        <w:rPr>
          <w:rFonts w:eastAsia="Calibri"/>
        </w:rPr>
        <w:t>orkshops</w:t>
      </w:r>
    </w:p>
    <w:p w:rsidR="00EB4432" w:rsidRPr="0065315E" w:rsidRDefault="00EB4432" w:rsidP="00DF0D5C">
      <w:pPr>
        <w:pStyle w:val="BodyText"/>
        <w:rPr>
          <w:rFonts w:eastAsia="Calibri"/>
        </w:rPr>
      </w:pPr>
      <w:r>
        <w:rPr>
          <w:rFonts w:eastAsia="Calibri"/>
          <w:lang w:eastAsia="en-AU"/>
        </w:rPr>
        <w:t>This item is included at the request of the AIC National</w:t>
      </w:r>
    </w:p>
    <w:p w:rsidR="007C28C6" w:rsidRDefault="007C28C6" w:rsidP="007C28C6">
      <w:pPr>
        <w:pStyle w:val="BodyText12ptBefore"/>
        <w:rPr>
          <w:rFonts w:eastAsia="Calibri"/>
        </w:rPr>
      </w:pPr>
      <w:r w:rsidRPr="00B221C1">
        <w:rPr>
          <w:rFonts w:eastAsia="Calibri"/>
        </w:rPr>
        <w:t>To support the L</w:t>
      </w:r>
      <w:r>
        <w:rPr>
          <w:rFonts w:eastAsia="Calibri"/>
        </w:rPr>
        <w:t xml:space="preserve">and </w:t>
      </w:r>
      <w:r w:rsidRPr="00B221C1">
        <w:rPr>
          <w:rFonts w:eastAsia="Calibri"/>
        </w:rPr>
        <w:t>U</w:t>
      </w:r>
      <w:r>
        <w:rPr>
          <w:rFonts w:eastAsia="Calibri"/>
        </w:rPr>
        <w:t xml:space="preserve">se </w:t>
      </w:r>
      <w:r w:rsidRPr="00B221C1">
        <w:rPr>
          <w:rFonts w:eastAsia="Calibri"/>
        </w:rPr>
        <w:t>V</w:t>
      </w:r>
      <w:r>
        <w:rPr>
          <w:rFonts w:eastAsia="Calibri"/>
        </w:rPr>
        <w:t>ictoria (LUV)</w:t>
      </w:r>
      <w:r w:rsidRPr="00B221C1">
        <w:rPr>
          <w:rFonts w:eastAsia="Calibri"/>
        </w:rPr>
        <w:t xml:space="preserve"> program and assist with industry’s preparation to meet the 100% digital lodgment timeline, the AIC National is facilitating eConveyancing Accredited (ECA) </w:t>
      </w:r>
      <w:r>
        <w:rPr>
          <w:rFonts w:eastAsia="Calibri"/>
        </w:rPr>
        <w:t>w</w:t>
      </w:r>
      <w:r w:rsidRPr="00B221C1">
        <w:rPr>
          <w:rFonts w:eastAsia="Calibri"/>
        </w:rPr>
        <w:t xml:space="preserve">orkshops for conveyancers, lawyers and their staff. </w:t>
      </w:r>
    </w:p>
    <w:p w:rsidR="007C28C6" w:rsidRDefault="007C28C6" w:rsidP="007C28C6">
      <w:pPr>
        <w:pStyle w:val="BodyText12ptBefore"/>
        <w:rPr>
          <w:rFonts w:eastAsia="Calibri"/>
        </w:rPr>
      </w:pPr>
      <w:r w:rsidRPr="00B221C1">
        <w:rPr>
          <w:rFonts w:eastAsia="Calibri"/>
        </w:rPr>
        <w:t xml:space="preserve">The content will </w:t>
      </w:r>
      <w:r w:rsidRPr="00F377E7">
        <w:rPr>
          <w:rFonts w:eastAsia="Calibri"/>
        </w:rPr>
        <w:t>include</w:t>
      </w:r>
      <w:r>
        <w:rPr>
          <w:rFonts w:eastAsia="Calibri"/>
        </w:rPr>
        <w:t>:</w:t>
      </w:r>
    </w:p>
    <w:p w:rsidR="007C28C6" w:rsidRDefault="007C28C6" w:rsidP="007C28C6">
      <w:pPr>
        <w:pStyle w:val="ListBullet"/>
        <w:rPr>
          <w:rFonts w:eastAsia="Calibri"/>
        </w:rPr>
      </w:pPr>
      <w:r>
        <w:rPr>
          <w:rFonts w:eastAsia="Calibri"/>
        </w:rPr>
        <w:t>t</w:t>
      </w:r>
      <w:r w:rsidRPr="00B221C1">
        <w:rPr>
          <w:rFonts w:eastAsia="Calibri"/>
        </w:rPr>
        <w:t xml:space="preserve">he rules and legal framework that supports electronic conveyancing and </w:t>
      </w:r>
      <w:r>
        <w:rPr>
          <w:rFonts w:eastAsia="Calibri"/>
        </w:rPr>
        <w:t>the Registrar’s Requirements</w:t>
      </w:r>
    </w:p>
    <w:p w:rsidR="007C28C6" w:rsidRDefault="007C28C6" w:rsidP="007C28C6">
      <w:pPr>
        <w:pStyle w:val="ListBullet"/>
        <w:rPr>
          <w:rFonts w:eastAsia="Calibri"/>
        </w:rPr>
      </w:pPr>
      <w:r>
        <w:rPr>
          <w:rFonts w:eastAsia="Calibri"/>
        </w:rPr>
        <w:t>e</w:t>
      </w:r>
      <w:r w:rsidRPr="00B221C1">
        <w:rPr>
          <w:rFonts w:eastAsia="Calibri"/>
        </w:rPr>
        <w:t>lectronic lodgmen</w:t>
      </w:r>
      <w:r>
        <w:rPr>
          <w:rFonts w:eastAsia="Calibri"/>
        </w:rPr>
        <w:t>t and withdrawal of a caveat</w:t>
      </w:r>
    </w:p>
    <w:p w:rsidR="007C28C6" w:rsidRDefault="007C28C6" w:rsidP="007C28C6">
      <w:pPr>
        <w:pStyle w:val="ListBullet"/>
        <w:rPr>
          <w:rFonts w:eastAsia="Calibri"/>
        </w:rPr>
      </w:pPr>
      <w:r>
        <w:rPr>
          <w:rFonts w:eastAsia="Calibri"/>
        </w:rPr>
        <w:t>e</w:t>
      </w:r>
      <w:r w:rsidRPr="00B221C1">
        <w:rPr>
          <w:rFonts w:eastAsia="Calibri"/>
        </w:rPr>
        <w:t>lectronic lodgment of a two party trans</w:t>
      </w:r>
      <w:r>
        <w:rPr>
          <w:rFonts w:eastAsia="Calibri"/>
        </w:rPr>
        <w:t>fer and financial settlement</w:t>
      </w:r>
    </w:p>
    <w:p w:rsidR="007C28C6" w:rsidRDefault="007C28C6" w:rsidP="007C28C6">
      <w:pPr>
        <w:pStyle w:val="ListBullet"/>
        <w:rPr>
          <w:rFonts w:eastAsia="Calibri"/>
        </w:rPr>
      </w:pPr>
      <w:r>
        <w:rPr>
          <w:rFonts w:eastAsia="Calibri"/>
        </w:rPr>
        <w:t>l</w:t>
      </w:r>
      <w:r w:rsidRPr="00B221C1">
        <w:rPr>
          <w:rFonts w:eastAsia="Calibri"/>
        </w:rPr>
        <w:t>inked sett</w:t>
      </w:r>
      <w:r>
        <w:rPr>
          <w:rFonts w:eastAsia="Calibri"/>
        </w:rPr>
        <w:t>lements</w:t>
      </w:r>
    </w:p>
    <w:p w:rsidR="007C28C6" w:rsidRDefault="007C28C6" w:rsidP="007C28C6">
      <w:pPr>
        <w:pStyle w:val="ListBullet"/>
        <w:rPr>
          <w:rFonts w:eastAsia="Calibri"/>
        </w:rPr>
      </w:pPr>
      <w:r>
        <w:rPr>
          <w:rFonts w:eastAsia="Calibri"/>
        </w:rPr>
        <w:t>e</w:t>
      </w:r>
      <w:r w:rsidRPr="00B221C1">
        <w:rPr>
          <w:rFonts w:eastAsia="Calibri"/>
        </w:rPr>
        <w:t>lectronic automated processes</w:t>
      </w:r>
      <w:r>
        <w:rPr>
          <w:rFonts w:eastAsia="Calibri"/>
        </w:rPr>
        <w:t>.</w:t>
      </w:r>
    </w:p>
    <w:p w:rsidR="007C28C6" w:rsidRDefault="007C28C6" w:rsidP="007C28C6">
      <w:pPr>
        <w:pStyle w:val="BodyText12ptBefore"/>
        <w:rPr>
          <w:rFonts w:eastAsia="Calibri"/>
        </w:rPr>
      </w:pPr>
      <w:r>
        <w:rPr>
          <w:rFonts w:eastAsia="Calibri"/>
        </w:rPr>
        <w:t xml:space="preserve">For availability and registration, go to </w:t>
      </w:r>
      <w:hyperlink r:id="rId16" w:history="1">
        <w:r w:rsidRPr="007D4938">
          <w:rPr>
            <w:rStyle w:val="Hyperlink"/>
            <w:rFonts w:eastAsia="Calibri"/>
          </w:rPr>
          <w:t>www.eventbrite.com.au/e/electronic-conveyancing-accredited-caveat-workshop-melbourne-tickets-40830056799</w:t>
        </w:r>
      </w:hyperlink>
      <w:r>
        <w:rPr>
          <w:rFonts w:eastAsia="Calibri"/>
        </w:rPr>
        <w:t>.</w:t>
      </w:r>
    </w:p>
    <w:p w:rsidR="007C28C6" w:rsidRDefault="007C28C6" w:rsidP="007C28C6">
      <w:pPr>
        <w:pStyle w:val="BodyText12ptBefore"/>
        <w:rPr>
          <w:rFonts w:eastAsia="Calibri"/>
        </w:rPr>
      </w:pPr>
      <w:r w:rsidRPr="00B221C1">
        <w:rPr>
          <w:rFonts w:eastAsia="Calibri"/>
        </w:rPr>
        <w:t xml:space="preserve">Pre-course materials will be sent to participants </w:t>
      </w:r>
      <w:r>
        <w:rPr>
          <w:rFonts w:eastAsia="Calibri"/>
        </w:rPr>
        <w:t>before</w:t>
      </w:r>
      <w:r w:rsidRPr="00B221C1">
        <w:rPr>
          <w:rFonts w:eastAsia="Calibri"/>
        </w:rPr>
        <w:t xml:space="preserve"> the workshop. </w:t>
      </w:r>
      <w:r>
        <w:rPr>
          <w:rFonts w:eastAsia="Calibri"/>
        </w:rPr>
        <w:t>Computers are provided for use at t</w:t>
      </w:r>
      <w:r w:rsidRPr="00B221C1">
        <w:rPr>
          <w:rFonts w:eastAsia="Calibri"/>
        </w:rPr>
        <w:t>he workshops.</w:t>
      </w:r>
      <w:r>
        <w:rPr>
          <w:rFonts w:eastAsia="Calibri"/>
        </w:rPr>
        <w:t xml:space="preserve"> </w:t>
      </w:r>
    </w:p>
    <w:p w:rsidR="00FB1F1C" w:rsidRPr="00DF0D5C" w:rsidRDefault="007C28C6" w:rsidP="00DF0D5C">
      <w:pPr>
        <w:pStyle w:val="BodyText12ptBefore"/>
        <w:rPr>
          <w:rFonts w:eastAsia="Calibri" w:cstheme="minorBidi"/>
          <w:color w:val="auto"/>
        </w:rPr>
      </w:pPr>
      <w:r w:rsidRPr="00B221C1">
        <w:rPr>
          <w:rFonts w:eastAsia="Calibri"/>
        </w:rPr>
        <w:t>Phone enquiries: Clair 0407 342158 or Rosemary 0458 555243 (AIC National).</w:t>
      </w:r>
    </w:p>
    <w:p w:rsidR="00F377E7" w:rsidRDefault="00F377E7" w:rsidP="00F377E7">
      <w:pPr>
        <w:pStyle w:val="BodyText"/>
        <w:rPr>
          <w:rFonts w:cs="Arial"/>
          <w:b/>
          <w:bCs/>
          <w:color w:val="B3272F" w:themeColor="text2"/>
          <w:kern w:val="32"/>
          <w:sz w:val="40"/>
          <w:szCs w:val="32"/>
          <w:lang w:eastAsia="en-AU"/>
        </w:rPr>
      </w:pPr>
      <w:r>
        <w:rPr>
          <w:rFonts w:cs="Arial"/>
          <w:b/>
          <w:bCs/>
          <w:color w:val="B3272F" w:themeColor="text2"/>
          <w:kern w:val="32"/>
          <w:sz w:val="40"/>
          <w:szCs w:val="32"/>
          <w:lang w:eastAsia="en-AU"/>
        </w:rPr>
        <w:t>Subscribe</w:t>
      </w:r>
    </w:p>
    <w:p w:rsidR="00F377E7" w:rsidRDefault="00F377E7" w:rsidP="00F377E7">
      <w:pPr>
        <w:pStyle w:val="BodyText12ptBefore"/>
        <w:rPr>
          <w:rFonts w:eastAsia="Calibri" w:cs="Arial"/>
          <w:color w:val="auto"/>
          <w:sz w:val="22"/>
          <w:szCs w:val="24"/>
        </w:rPr>
      </w:pPr>
      <w:r>
        <w:rPr>
          <w:rFonts w:eastAsia="Calibri"/>
        </w:rPr>
        <w:t xml:space="preserve">To receive notification when a </w:t>
      </w:r>
      <w:r>
        <w:rPr>
          <w:rFonts w:eastAsia="Calibri"/>
          <w:i/>
        </w:rPr>
        <w:t>Customer Information Bulletin</w:t>
      </w:r>
      <w:r>
        <w:rPr>
          <w:rFonts w:eastAsia="Calibri"/>
        </w:rPr>
        <w:t xml:space="preserve"> is published online, please send an email to lv.cib@delwp.vic.gov.au with SUBSCRIBE in the subject line – include your name and email address in the body of the email.</w:t>
      </w:r>
    </w:p>
    <w:p w:rsidR="00F377E7" w:rsidRDefault="00F377E7" w:rsidP="00F377E7">
      <w:pPr>
        <w:pStyle w:val="Heading1"/>
        <w:numPr>
          <w:ilvl w:val="0"/>
          <w:numId w:val="0"/>
        </w:numPr>
        <w:spacing w:after="240"/>
        <w:rPr>
          <w:rFonts w:eastAsiaTheme="minorHAnsi"/>
          <w:lang w:eastAsia="en-US"/>
        </w:rPr>
      </w:pPr>
      <w:r>
        <w:rPr>
          <w:rFonts w:eastAsiaTheme="minorHAnsi"/>
          <w:lang w:eastAsia="en-US"/>
        </w:rPr>
        <w:t>Contact us</w:t>
      </w:r>
    </w:p>
    <w:p w:rsidR="00AC7171" w:rsidRDefault="00F377E7" w:rsidP="00F377E7">
      <w:pPr>
        <w:spacing w:line="240" w:lineRule="auto"/>
      </w:pPr>
      <w:r>
        <w:rPr>
          <w:rFonts w:eastAsiaTheme="minorHAnsi" w:cs="Calibri"/>
          <w:color w:val="000000"/>
          <w:szCs w:val="22"/>
        </w:rPr>
        <w:t xml:space="preserve">For </w:t>
      </w:r>
      <w:hyperlink r:id="rId17"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8"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AC7171">
        <w:trPr>
          <w:trHeight w:val="2608"/>
        </w:trPr>
        <w:tc>
          <w:tcPr>
            <w:tcW w:w="5216" w:type="dxa"/>
            <w:shd w:val="clear" w:color="auto" w:fill="auto"/>
          </w:tcPr>
          <w:p w:rsidR="00254A01" w:rsidRDefault="00254A01" w:rsidP="00AC028D">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D7690">
              <w:rPr>
                <w:noProof/>
              </w:rPr>
              <w:t>2018</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3819F62C" wp14:editId="5705CCD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4" w:name="_Accessibility"/>
            <w:bookmarkEnd w:id="4"/>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p>
    <w:p w:rsidR="006E1C8D" w:rsidRDefault="006E1C8D" w:rsidP="005D0B1C">
      <w:pPr>
        <w:pStyle w:val="BodyText"/>
      </w:pPr>
    </w:p>
    <w:sectPr w:rsidR="006E1C8D" w:rsidSect="00AC7171">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49" w:rsidRDefault="00CE7749">
      <w:r>
        <w:separator/>
      </w:r>
    </w:p>
    <w:p w:rsidR="00CE7749" w:rsidRDefault="00CE7749"/>
    <w:p w:rsidR="00CE7749" w:rsidRDefault="00CE7749"/>
  </w:endnote>
  <w:endnote w:type="continuationSeparator" w:id="0">
    <w:p w:rsidR="00CE7749" w:rsidRDefault="00CE7749">
      <w:r>
        <w:continuationSeparator/>
      </w:r>
    </w:p>
    <w:p w:rsidR="00CE7749" w:rsidRDefault="00CE7749"/>
    <w:p w:rsidR="00CE7749" w:rsidRDefault="00CE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703ECFB4" wp14:editId="34B3209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ECFB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6F6A9A8" wp14:editId="4FD7799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6A9A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654E9390" wp14:editId="127FD66E">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4D51E8A4" wp14:editId="5A56BB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1E8A4"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C6930CF" wp14:editId="7A8251CF">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49" w:rsidRPr="008F5280" w:rsidRDefault="00CE7749" w:rsidP="008F5280">
      <w:pPr>
        <w:pStyle w:val="FootnoteSeparator"/>
      </w:pPr>
    </w:p>
    <w:p w:rsidR="00CE7749" w:rsidRDefault="00CE7749"/>
  </w:footnote>
  <w:footnote w:type="continuationSeparator" w:id="0">
    <w:p w:rsidR="00CE7749" w:rsidRDefault="00CE7749" w:rsidP="008F5280">
      <w:pPr>
        <w:pStyle w:val="FootnoteSeparator"/>
      </w:pPr>
    </w:p>
    <w:p w:rsidR="00CE7749" w:rsidRDefault="00CE7749"/>
    <w:p w:rsidR="00CE7749" w:rsidRDefault="00CE7749"/>
  </w:footnote>
  <w:footnote w:type="continuationNotice" w:id="1">
    <w:p w:rsidR="00CE7749" w:rsidRDefault="00CE7749" w:rsidP="00D55628"/>
    <w:p w:rsidR="00CE7749" w:rsidRDefault="00CE7749"/>
    <w:p w:rsidR="00CE7749" w:rsidRDefault="00CE7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0C037B" w:rsidP="00AC028D">
          <w:pPr>
            <w:pStyle w:val="Header"/>
          </w:pPr>
          <w:fldSimple w:instr=" STYLEREF  Title  \* MERGEFORMAT ">
            <w:r w:rsidR="004D7690">
              <w:rPr>
                <w:noProof/>
              </w:rPr>
              <w:t>Land Use Victoria</w:t>
            </w:r>
            <w:r w:rsidR="004D7690">
              <w:rPr>
                <w:noProof/>
              </w:rPr>
              <w:br/>
              <w:t>Customer Information Bulletin 175</w:t>
            </w:r>
            <w:r w:rsidR="004D7690">
              <w:rPr>
                <w:noProof/>
              </w:rPr>
              <w:br/>
              <w:t>February 2018</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61C24B31" wp14:editId="75CB7C4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61E0F"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1A6AA135" wp14:editId="07B72EC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99472"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1989FE1B" wp14:editId="5DE610A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32B8A"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0C037B" w:rsidP="00AC028D">
          <w:pPr>
            <w:pStyle w:val="Header"/>
          </w:pPr>
          <w:fldSimple w:instr=" STYLEREF  Title  \* MERGEFORMAT ">
            <w:r w:rsidR="004D7690">
              <w:rPr>
                <w:noProof/>
              </w:rPr>
              <w:t>Land Use Victoria</w:t>
            </w:r>
            <w:r w:rsidR="004D7690">
              <w:rPr>
                <w:noProof/>
              </w:rPr>
              <w:br/>
              <w:t>Customer Information Bulletin 175</w:t>
            </w:r>
            <w:r w:rsidR="004D7690">
              <w:rPr>
                <w:noProof/>
              </w:rPr>
              <w:br/>
              <w:t>February 2018</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3360" behindDoc="1" locked="0" layoutInCell="1" allowOverlap="1" wp14:anchorId="5E1A7F88" wp14:editId="399B7792">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23C25"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1C46FCD9" wp14:editId="6A5EDE6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3C46E"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54862F5D" wp14:editId="3AD3F3D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59717E"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8602405" wp14:editId="3B5293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2707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A02E40F" wp14:editId="0BF40D49">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87D5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2CAE6A56" wp14:editId="3A321D4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3F8D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2F9A74A1" wp14:editId="537908A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AF61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4D46070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AC717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37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7C28"/>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61"/>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96E"/>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9A0"/>
    <w:rsid w:val="00481A57"/>
    <w:rsid w:val="004825B9"/>
    <w:rsid w:val="00482A70"/>
    <w:rsid w:val="004831D6"/>
    <w:rsid w:val="0048328C"/>
    <w:rsid w:val="00483326"/>
    <w:rsid w:val="004834A7"/>
    <w:rsid w:val="00483A51"/>
    <w:rsid w:val="00483B71"/>
    <w:rsid w:val="00483C2C"/>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690"/>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081"/>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2C0"/>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04A"/>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15E"/>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C6"/>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305"/>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D7"/>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CD0"/>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171"/>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9"/>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9E7"/>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49"/>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A0C"/>
    <w:rsid w:val="00DE0E1F"/>
    <w:rsid w:val="00DE1126"/>
    <w:rsid w:val="00DE14DB"/>
    <w:rsid w:val="00DE1BB0"/>
    <w:rsid w:val="00DE20CE"/>
    <w:rsid w:val="00DE27B9"/>
    <w:rsid w:val="00DE291C"/>
    <w:rsid w:val="00DE3281"/>
    <w:rsid w:val="00DE32BD"/>
    <w:rsid w:val="00DE3884"/>
    <w:rsid w:val="00DE4C6A"/>
    <w:rsid w:val="00DE4F04"/>
    <w:rsid w:val="00DE522B"/>
    <w:rsid w:val="00DE5C5D"/>
    <w:rsid w:val="00DE710A"/>
    <w:rsid w:val="00DE79CA"/>
    <w:rsid w:val="00DE7F6D"/>
    <w:rsid w:val="00DF04F9"/>
    <w:rsid w:val="00DF0786"/>
    <w:rsid w:val="00DF07EB"/>
    <w:rsid w:val="00DF0B12"/>
    <w:rsid w:val="00DF0BEF"/>
    <w:rsid w:val="00DF0C0A"/>
    <w:rsid w:val="00DF0D5C"/>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5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4DF"/>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432"/>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3E1A"/>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377E7"/>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F1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1DB8D7B"/>
  <w15:docId w15:val="{D1969F58-98E5-4663-9B1F-2A183E2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7171"/>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F377E7"/>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154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3943329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1703223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www.eventbrite.com.au/e/electronic-conveyancing-accredited-caveat-workshop-melbourne-tickets-40830056799"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ro.vic.gov.au/duties-online-transaction-typ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ro.vic.gov.au/dutiesonline"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C23A-8A2C-4CED-84BF-BB2DF8F7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S Binger (DELWP)</dc:creator>
  <cp:keywords/>
  <dc:description/>
  <cp:lastModifiedBy>Yvonne S Baker (DELWP)</cp:lastModifiedBy>
  <cp:revision>4</cp:revision>
  <cp:lastPrinted>2018-02-26T03:58:00Z</cp:lastPrinted>
  <dcterms:created xsi:type="dcterms:W3CDTF">2018-02-26T04:05:00Z</dcterms:created>
  <dcterms:modified xsi:type="dcterms:W3CDTF">2018-02-27T03:46:00Z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