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2E233CC3" w14:textId="77777777" w:rsidTr="003F46E9">
        <w:trPr>
          <w:trHeight w:hRule="exact" w:val="1418"/>
        </w:trPr>
        <w:tc>
          <w:tcPr>
            <w:tcW w:w="7761" w:type="dxa"/>
            <w:vAlign w:val="center"/>
          </w:tcPr>
          <w:p w14:paraId="1281241C" w14:textId="77777777" w:rsidR="000100AB" w:rsidRDefault="000100AB" w:rsidP="009B1003">
            <w:pPr>
              <w:pStyle w:val="Title"/>
            </w:pPr>
            <w:r>
              <w:t>Land Use Victoria</w:t>
            </w:r>
          </w:p>
          <w:p w14:paraId="7F52FF90" w14:textId="77777777" w:rsidR="009B1003" w:rsidRPr="009B1003" w:rsidRDefault="000100AB" w:rsidP="009B1003">
            <w:pPr>
              <w:pStyle w:val="Title"/>
            </w:pPr>
            <w:r>
              <w:t xml:space="preserve"> Customer Information Bulletin 193 </w:t>
            </w:r>
            <w:r w:rsidR="005E0D34">
              <w:t>December</w:t>
            </w:r>
            <w:r>
              <w:t xml:space="preserve"> 2019</w:t>
            </w:r>
          </w:p>
        </w:tc>
      </w:tr>
      <w:tr w:rsidR="00975ED3" w14:paraId="36376BBC" w14:textId="77777777" w:rsidTr="003F46E9">
        <w:trPr>
          <w:trHeight w:val="1247"/>
        </w:trPr>
        <w:tc>
          <w:tcPr>
            <w:tcW w:w="7761" w:type="dxa"/>
            <w:vAlign w:val="center"/>
          </w:tcPr>
          <w:p w14:paraId="18DECBA6" w14:textId="77777777" w:rsidR="009B1003" w:rsidRPr="009B1003" w:rsidRDefault="009B1003" w:rsidP="009B1003">
            <w:pPr>
              <w:pStyle w:val="Subtitle"/>
            </w:pPr>
          </w:p>
        </w:tc>
      </w:tr>
    </w:tbl>
    <w:p w14:paraId="072CC944" w14:textId="77777777" w:rsidR="00806AB6" w:rsidRDefault="00806AB6" w:rsidP="00307C36"/>
    <w:p w14:paraId="5C31F17F"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030A6D08" w14:textId="77777777" w:rsidR="000100AB" w:rsidRPr="00386B9D" w:rsidRDefault="000100AB" w:rsidP="000100AB">
      <w:pPr>
        <w:pStyle w:val="Heading1"/>
        <w:rPr>
          <w:sz w:val="24"/>
          <w:szCs w:val="24"/>
        </w:rPr>
      </w:pPr>
      <w:bookmarkStart w:id="0" w:name="Here"/>
      <w:bookmarkStart w:id="1" w:name="_Hlk15485005"/>
      <w:bookmarkStart w:id="2" w:name="_Hlk16166151"/>
      <w:bookmarkStart w:id="3" w:name="_Hlk12613561"/>
      <w:bookmarkEnd w:id="0"/>
      <w:r>
        <w:t xml:space="preserve">Christmas and new year </w:t>
      </w:r>
      <w:r w:rsidRPr="00386B9D">
        <w:t>closure</w:t>
      </w:r>
    </w:p>
    <w:p w14:paraId="420581DB" w14:textId="77777777" w:rsidR="000100AB" w:rsidRPr="000100AB" w:rsidRDefault="000100AB" w:rsidP="000100AB">
      <w:pPr>
        <w:pStyle w:val="BodyText"/>
      </w:pPr>
      <w:r w:rsidRPr="000100AB">
        <w:t>Land Registry Services offices at 2 Lonsdale Street, Melbourne and 57 Cherry Lane, Laverton will close at 4.00 pm on Tuesday 24 December 2019 and reopen at 8.30 am on Thursday 2 January 2020.</w:t>
      </w:r>
    </w:p>
    <w:p w14:paraId="68538001" w14:textId="77777777" w:rsidR="000100AB" w:rsidRPr="000100AB" w:rsidRDefault="000100AB" w:rsidP="000100AB">
      <w:pPr>
        <w:pStyle w:val="BodyText"/>
      </w:pPr>
      <w:r w:rsidRPr="000100AB">
        <w:t>Online services (LANDATA® and electronic lodgment) will continue to be available during this period.</w:t>
      </w:r>
    </w:p>
    <w:p w14:paraId="6662A836" w14:textId="77777777" w:rsidR="000100AB" w:rsidRPr="000100AB" w:rsidRDefault="000100AB" w:rsidP="000100AB">
      <w:pPr>
        <w:pStyle w:val="BodyText"/>
      </w:pPr>
      <w:r w:rsidRPr="000100AB">
        <w:t>Customer queries (telephone message or email) will be responded to when offices reopen.</w:t>
      </w:r>
    </w:p>
    <w:p w14:paraId="71DC1780" w14:textId="4EFC20A4" w:rsidR="000100AB" w:rsidRDefault="000100AB" w:rsidP="000100AB">
      <w:pPr>
        <w:pStyle w:val="h"/>
        <w:spacing w:line="240" w:lineRule="auto"/>
        <w:rPr>
          <w:rFonts w:asciiTheme="minorHAnsi" w:hAnsiTheme="minorHAnsi" w:cstheme="minorHAnsi"/>
        </w:rPr>
      </w:pPr>
      <w:r w:rsidRPr="00E212BE">
        <w:rPr>
          <w:rFonts w:asciiTheme="minorHAnsi" w:hAnsiTheme="minorHAnsi" w:cstheme="minorHAnsi"/>
        </w:rPr>
        <w:t>N</w:t>
      </w:r>
      <w:r>
        <w:rPr>
          <w:rFonts w:asciiTheme="minorHAnsi" w:hAnsiTheme="minorHAnsi" w:cstheme="minorHAnsi"/>
        </w:rPr>
        <w:t xml:space="preserve">ew Customer call centre </w:t>
      </w:r>
      <w:r w:rsidR="007F0543">
        <w:rPr>
          <w:rFonts w:asciiTheme="minorHAnsi" w:hAnsiTheme="minorHAnsi" w:cstheme="minorHAnsi"/>
        </w:rPr>
        <w:t xml:space="preserve">contact </w:t>
      </w:r>
      <w:r w:rsidR="00F45D7E">
        <w:rPr>
          <w:rFonts w:asciiTheme="minorHAnsi" w:hAnsiTheme="minorHAnsi" w:cstheme="minorHAnsi"/>
        </w:rPr>
        <w:t>information</w:t>
      </w:r>
    </w:p>
    <w:p w14:paraId="464DA8F8" w14:textId="72FD78D5" w:rsidR="000100AB" w:rsidRPr="000100AB" w:rsidRDefault="00BE0006" w:rsidP="000100AB">
      <w:pPr>
        <w:pStyle w:val="BodyText"/>
        <w:rPr>
          <w:rStyle w:val="normaltextrun"/>
        </w:rPr>
      </w:pPr>
      <w:r>
        <w:rPr>
          <w:rStyle w:val="normaltextrun"/>
        </w:rPr>
        <w:t xml:space="preserve">From 16 December 2019, </w:t>
      </w:r>
      <w:r w:rsidR="000100AB" w:rsidRPr="000100AB">
        <w:rPr>
          <w:rStyle w:val="normaltextrun"/>
        </w:rPr>
        <w:t>Land Registry Services Customer Call Centre</w:t>
      </w:r>
      <w:r>
        <w:rPr>
          <w:rStyle w:val="normaltextrun"/>
        </w:rPr>
        <w:t xml:space="preserve"> will have</w:t>
      </w:r>
      <w:r w:rsidR="000100AB" w:rsidRPr="000100AB">
        <w:rPr>
          <w:rStyle w:val="normaltextrun"/>
        </w:rPr>
        <w:t xml:space="preserve"> a new phone number</w:t>
      </w:r>
      <w:r w:rsidR="007A7A66">
        <w:rPr>
          <w:rStyle w:val="normaltextrun"/>
        </w:rPr>
        <w:t xml:space="preserve"> - </w:t>
      </w:r>
      <w:r w:rsidR="000100AB" w:rsidRPr="000100AB">
        <w:rPr>
          <w:rStyle w:val="normaltextrun"/>
        </w:rPr>
        <w:t>9102 0401.  Th</w:t>
      </w:r>
      <w:r w:rsidR="00252854">
        <w:rPr>
          <w:rStyle w:val="normaltextrun"/>
        </w:rPr>
        <w:t>e email address</w:t>
      </w:r>
      <w:r w:rsidR="000100AB" w:rsidRPr="000100AB">
        <w:rPr>
          <w:rStyle w:val="normaltextrun"/>
        </w:rPr>
        <w:t xml:space="preserve"> for enquiries</w:t>
      </w:r>
      <w:r w:rsidR="00252854">
        <w:rPr>
          <w:rStyle w:val="normaltextrun"/>
        </w:rPr>
        <w:t xml:space="preserve"> has also changed</w:t>
      </w:r>
      <w:r w:rsidR="000100AB" w:rsidRPr="000100AB">
        <w:rPr>
          <w:rStyle w:val="normaltextrun"/>
        </w:rPr>
        <w:t xml:space="preserve"> – </w:t>
      </w:r>
      <w:hyperlink r:id="rId14" w:history="1">
        <w:r w:rsidR="00252854" w:rsidRPr="00717331">
          <w:rPr>
            <w:rStyle w:val="Hyperlink"/>
          </w:rPr>
          <w:t>advice.enquiries@victorianlrs.com.au</w:t>
        </w:r>
      </w:hyperlink>
      <w:r w:rsidR="00252854">
        <w:rPr>
          <w:rStyle w:val="normaltextrun"/>
        </w:rPr>
        <w:t>.</w:t>
      </w:r>
    </w:p>
    <w:p w14:paraId="2C580411" w14:textId="45C5F200" w:rsidR="00252854" w:rsidRDefault="000100AB" w:rsidP="000100AB">
      <w:pPr>
        <w:pStyle w:val="BodyText"/>
        <w:rPr>
          <w:rStyle w:val="normaltextrun"/>
        </w:rPr>
      </w:pPr>
      <w:r w:rsidRPr="000100AB">
        <w:rPr>
          <w:rStyle w:val="normaltextrun"/>
        </w:rPr>
        <w:t xml:space="preserve">Customers </w:t>
      </w:r>
      <w:r w:rsidR="007A7A66">
        <w:rPr>
          <w:rStyle w:val="normaltextrun"/>
        </w:rPr>
        <w:t xml:space="preserve">should </w:t>
      </w:r>
      <w:r w:rsidRPr="000100AB">
        <w:rPr>
          <w:rStyle w:val="normaltextrun"/>
        </w:rPr>
        <w:t xml:space="preserve">use the new number to contact the LRS Customer Call Centre.  There will be a short transition period </w:t>
      </w:r>
      <w:r w:rsidR="00D3704A">
        <w:rPr>
          <w:rStyle w:val="normaltextrun"/>
        </w:rPr>
        <w:t xml:space="preserve">before the old number is </w:t>
      </w:r>
      <w:r w:rsidRPr="000100AB">
        <w:rPr>
          <w:rStyle w:val="normaltextrun"/>
        </w:rPr>
        <w:t xml:space="preserve">deactivated.  </w:t>
      </w:r>
    </w:p>
    <w:p w14:paraId="7F34F001" w14:textId="16971510" w:rsidR="000100AB" w:rsidRDefault="00252854" w:rsidP="0025365D">
      <w:pPr>
        <w:pStyle w:val="BodyText"/>
        <w:rPr>
          <w:rStyle w:val="normaltextrun"/>
          <w:rFonts w:ascii="Calibri" w:hAnsi="Calibri" w:cs="Calibri"/>
          <w:sz w:val="22"/>
          <w:szCs w:val="22"/>
        </w:rPr>
      </w:pPr>
      <w:r>
        <w:rPr>
          <w:rStyle w:val="normaltextrun"/>
        </w:rPr>
        <w:t>Please note</w:t>
      </w:r>
      <w:r w:rsidR="00D3704A">
        <w:rPr>
          <w:rStyle w:val="normaltextrun"/>
        </w:rPr>
        <w:t>:</w:t>
      </w:r>
      <w:r>
        <w:rPr>
          <w:rStyle w:val="normaltextrun"/>
        </w:rPr>
        <w:t xml:space="preserve"> t</w:t>
      </w:r>
      <w:r w:rsidR="000100AB" w:rsidRPr="000100AB">
        <w:rPr>
          <w:rStyle w:val="normaltextrun"/>
        </w:rPr>
        <w:t xml:space="preserve">he  </w:t>
      </w:r>
      <w:hyperlink r:id="rId15" w:history="1">
        <w:r w:rsidR="000100AB" w:rsidRPr="000100AB">
          <w:rPr>
            <w:rStyle w:val="Hyperlink"/>
            <w:color w:val="363534" w:themeColor="text1"/>
            <w:u w:val="none"/>
          </w:rPr>
          <w:t>trs.enquiries@delwp.vic.gov.au</w:t>
        </w:r>
      </w:hyperlink>
      <w:r w:rsidR="000100AB" w:rsidRPr="000100AB">
        <w:rPr>
          <w:rStyle w:val="normaltextrun"/>
        </w:rPr>
        <w:t xml:space="preserve"> </w:t>
      </w:r>
      <w:r w:rsidR="00BE0006">
        <w:rPr>
          <w:rStyle w:val="normaltextrun"/>
        </w:rPr>
        <w:t xml:space="preserve">email address </w:t>
      </w:r>
      <w:r w:rsidR="000100AB" w:rsidRPr="000100AB">
        <w:rPr>
          <w:rStyle w:val="normaltextrun"/>
        </w:rPr>
        <w:t>has been deactivated.</w:t>
      </w:r>
    </w:p>
    <w:p w14:paraId="2CE849FB" w14:textId="24720622" w:rsidR="000100AB" w:rsidRDefault="000100AB" w:rsidP="000100AB">
      <w:pPr>
        <w:pStyle w:val="Heading1"/>
      </w:pPr>
      <w:r w:rsidRPr="00A719F6">
        <w:t>LANDATA</w:t>
      </w:r>
      <w:r>
        <w:rPr>
          <w:rFonts w:cstheme="minorHAnsi"/>
        </w:rPr>
        <w:t>®</w:t>
      </w:r>
      <w:r w:rsidRPr="00A719F6">
        <w:t xml:space="preserve"> website details </w:t>
      </w:r>
      <w:r>
        <w:t>–</w:t>
      </w:r>
      <w:r w:rsidRPr="00A719F6">
        <w:t xml:space="preserve"> reminder</w:t>
      </w:r>
    </w:p>
    <w:p w14:paraId="76757612" w14:textId="47CB83E5" w:rsidR="006D294F" w:rsidRDefault="000100AB" w:rsidP="000100AB">
      <w:pPr>
        <w:pStyle w:val="BodyText"/>
        <w:rPr>
          <w:lang w:eastAsia="en-AU"/>
        </w:rPr>
      </w:pPr>
      <w:r>
        <w:rPr>
          <w:lang w:eastAsia="en-AU"/>
        </w:rPr>
        <w:t>LANDATA</w:t>
      </w:r>
      <w:r>
        <w:rPr>
          <w:rFonts w:cstheme="minorHAnsi"/>
          <w:lang w:eastAsia="en-AU"/>
        </w:rPr>
        <w:t>®</w:t>
      </w:r>
      <w:r>
        <w:rPr>
          <w:lang w:eastAsia="en-AU"/>
        </w:rPr>
        <w:t xml:space="preserve"> has moved to a new website address (URL)</w:t>
      </w:r>
      <w:r w:rsidR="00D3704A">
        <w:rPr>
          <w:lang w:eastAsia="en-AU"/>
        </w:rPr>
        <w:t>:</w:t>
      </w:r>
      <w:r w:rsidR="00AF4B02" w:rsidRPr="00AF4B02">
        <w:t xml:space="preserve"> </w:t>
      </w:r>
      <w:hyperlink r:id="rId16" w:history="1">
        <w:r w:rsidR="001F7603" w:rsidRPr="007E1FFB">
          <w:rPr>
            <w:rStyle w:val="Hyperlink"/>
            <w:lang w:eastAsia="en-AU"/>
          </w:rPr>
          <w:t>https://www.la</w:t>
        </w:r>
        <w:bookmarkStart w:id="4" w:name="_GoBack"/>
        <w:bookmarkEnd w:id="4"/>
        <w:r w:rsidR="001F7603" w:rsidRPr="007E1FFB">
          <w:rPr>
            <w:rStyle w:val="Hyperlink"/>
            <w:lang w:eastAsia="en-AU"/>
          </w:rPr>
          <w:t>n</w:t>
        </w:r>
        <w:r w:rsidR="001F7603" w:rsidRPr="007E1FFB">
          <w:rPr>
            <w:rStyle w:val="Hyperlink"/>
            <w:lang w:eastAsia="en-AU"/>
          </w:rPr>
          <w:t>data.online/</w:t>
        </w:r>
      </w:hyperlink>
      <w:r w:rsidR="00AF4B02">
        <w:rPr>
          <w:lang w:eastAsia="en-AU"/>
        </w:rPr>
        <w:t>.</w:t>
      </w:r>
      <w:r w:rsidR="006D294F">
        <w:rPr>
          <w:lang w:eastAsia="en-AU"/>
        </w:rPr>
        <w:t xml:space="preserve"> This website is operated by Victorian Land Registry Services (VLRS). Please update your bookmarks. </w:t>
      </w:r>
    </w:p>
    <w:p w14:paraId="55CD010E" w14:textId="41ABAF42" w:rsidR="006D294F" w:rsidRDefault="000100AB" w:rsidP="000100AB">
      <w:pPr>
        <w:pStyle w:val="BodyText"/>
        <w:rPr>
          <w:lang w:eastAsia="en-AU"/>
        </w:rPr>
      </w:pPr>
      <w:r>
        <w:rPr>
          <w:lang w:eastAsia="en-AU"/>
        </w:rPr>
        <w:t>For enquiries relating to LANDATA</w:t>
      </w:r>
      <w:r>
        <w:rPr>
          <w:rFonts w:cstheme="minorHAnsi"/>
          <w:lang w:eastAsia="en-AU"/>
        </w:rPr>
        <w:t>®</w:t>
      </w:r>
      <w:r>
        <w:rPr>
          <w:lang w:eastAsia="en-AU"/>
        </w:rPr>
        <w:t xml:space="preserve">, customers should call 9102 0402 </w:t>
      </w:r>
      <w:r w:rsidR="006D294F">
        <w:rPr>
          <w:lang w:eastAsia="en-AU"/>
        </w:rPr>
        <w:t xml:space="preserve">or email </w:t>
      </w:r>
      <w:hyperlink r:id="rId17" w:history="1">
        <w:r w:rsidR="00AF4B02" w:rsidRPr="00801E7F">
          <w:rPr>
            <w:rStyle w:val="Hyperlink"/>
            <w:lang w:eastAsia="en-AU"/>
          </w:rPr>
          <w:t>landata.enquiries@victorianlrs.com.au</w:t>
        </w:r>
      </w:hyperlink>
    </w:p>
    <w:p w14:paraId="21364C4A" w14:textId="77777777" w:rsidR="000100AB" w:rsidRPr="00006C13" w:rsidRDefault="000100AB" w:rsidP="000100AB">
      <w:pPr>
        <w:pStyle w:val="h"/>
        <w:spacing w:line="240" w:lineRule="auto"/>
        <w:rPr>
          <w:rFonts w:asciiTheme="minorHAnsi" w:hAnsiTheme="minorHAnsi" w:cstheme="minorHAnsi"/>
        </w:rPr>
      </w:pPr>
      <w:bookmarkStart w:id="5" w:name="_Hlk25055139"/>
      <w:r>
        <w:rPr>
          <w:rFonts w:asciiTheme="minorHAnsi" w:hAnsiTheme="minorHAnsi" w:cstheme="minorHAnsi"/>
        </w:rPr>
        <w:t xml:space="preserve">Elimination of cheques as a payment method </w:t>
      </w:r>
    </w:p>
    <w:bookmarkEnd w:id="5"/>
    <w:p w14:paraId="3B198455" w14:textId="2AC822DC" w:rsidR="000100AB" w:rsidRDefault="000100AB" w:rsidP="000100AB">
      <w:r>
        <w:t xml:space="preserve">From 1 February 2020 Land Use Victoria </w:t>
      </w:r>
      <w:r w:rsidRPr="00A719F6">
        <w:rPr>
          <w:b/>
        </w:rPr>
        <w:t>will no</w:t>
      </w:r>
      <w:r>
        <w:t xml:space="preserve"> </w:t>
      </w:r>
      <w:r>
        <w:rPr>
          <w:rStyle w:val="Strong"/>
        </w:rPr>
        <w:t>longer accept cheques as a method of</w:t>
      </w:r>
      <w:r>
        <w:t xml:space="preserve"> </w:t>
      </w:r>
      <w:r w:rsidRPr="00A719F6">
        <w:rPr>
          <w:b/>
        </w:rPr>
        <w:t>payment</w:t>
      </w:r>
      <w:r>
        <w:t xml:space="preserve"> for paper </w:t>
      </w:r>
      <w:r w:rsidR="007A7A66">
        <w:t>lodgments.</w:t>
      </w:r>
    </w:p>
    <w:p w14:paraId="5CF6755D" w14:textId="77777777" w:rsidR="000100AB" w:rsidRDefault="000100AB" w:rsidP="000100AB"/>
    <w:p w14:paraId="76014B5F" w14:textId="77777777" w:rsidR="000100AB" w:rsidRDefault="000100AB" w:rsidP="000100AB">
      <w:r>
        <w:t>Bank or other authorised deposit-taking institution cheques, lawyers’ and conveyancers’ trust or office account cheques, personal cheques and money orders will not be accepted from that date.</w:t>
      </w:r>
    </w:p>
    <w:p w14:paraId="2AB56C81" w14:textId="77777777" w:rsidR="000100AB" w:rsidRDefault="000100AB" w:rsidP="000100AB"/>
    <w:p w14:paraId="495BD2C1" w14:textId="53C91898" w:rsidR="000100AB" w:rsidRDefault="000100AB" w:rsidP="000100AB">
      <w:pPr>
        <w:pStyle w:val="BodyText"/>
        <w:rPr>
          <w:rFonts w:cstheme="minorHAnsi"/>
        </w:rPr>
      </w:pPr>
      <w:r>
        <w:t xml:space="preserve">For regular customers (a customer with a Victorian Online Titles System (VOTS) customer lodgment code) the preferred method of payment is direct debit. Customers can arrange this by completing the </w:t>
      </w:r>
      <w:hyperlink r:id="rId18" w:history="1">
        <w:r>
          <w:rPr>
            <w:rStyle w:val="Hyperlink"/>
          </w:rPr>
          <w:t>Direct debit request form</w:t>
        </w:r>
      </w:hyperlink>
      <w:r>
        <w:t>.  When completing your account details, please check against a recent statement from your financial institution.</w:t>
      </w:r>
    </w:p>
    <w:p w14:paraId="5284D36A" w14:textId="6CB7D57E" w:rsidR="000100AB" w:rsidRDefault="000100AB" w:rsidP="000100AB">
      <w:pPr>
        <w:pStyle w:val="BodyText"/>
      </w:pPr>
      <w:r w:rsidRPr="00075864">
        <w:rPr>
          <w:rFonts w:cstheme="minorHAnsi"/>
        </w:rPr>
        <w:t xml:space="preserve">For more information on using direct debit as a form of payment please refer to the </w:t>
      </w:r>
      <w:hyperlink r:id="rId19" w:history="1">
        <w:r w:rsidRPr="00075864">
          <w:rPr>
            <w:rStyle w:val="Hyperlink"/>
            <w:rFonts w:cstheme="minorHAnsi"/>
          </w:rPr>
          <w:t>Fees and direct debit</w:t>
        </w:r>
      </w:hyperlink>
      <w:r w:rsidRPr="00075864">
        <w:rPr>
          <w:rFonts w:cstheme="minorHAnsi"/>
        </w:rPr>
        <w:t xml:space="preserve"> page on the DEWLP website. </w:t>
      </w:r>
      <w:r w:rsidR="00252854">
        <w:t xml:space="preserve"> </w:t>
      </w:r>
      <w:r>
        <w:t xml:space="preserve">If you are unsure how to complete the form, please check with your financial institution  </w:t>
      </w:r>
    </w:p>
    <w:p w14:paraId="4CAF6DC3" w14:textId="77777777" w:rsidR="00252854" w:rsidRDefault="00252854" w:rsidP="000100AB">
      <w:pPr>
        <w:pStyle w:val="BodyText"/>
      </w:pPr>
    </w:p>
    <w:p w14:paraId="0112AD08" w14:textId="63863304" w:rsidR="000100AB" w:rsidRDefault="000100AB" w:rsidP="000100AB">
      <w:pPr>
        <w:pStyle w:val="BodyText"/>
      </w:pPr>
      <w:r>
        <w:t>Customers should return completed direct debit request forms to:</w:t>
      </w:r>
    </w:p>
    <w:p w14:paraId="34024086" w14:textId="77777777" w:rsidR="000100AB" w:rsidRDefault="000100AB" w:rsidP="000100AB">
      <w:pPr>
        <w:pStyle w:val="BodyText"/>
      </w:pPr>
      <w:r>
        <w:t xml:space="preserve">Land Use Victoria </w:t>
      </w:r>
    </w:p>
    <w:p w14:paraId="5572351D" w14:textId="77777777" w:rsidR="000100AB" w:rsidRDefault="000100AB" w:rsidP="000100AB">
      <w:pPr>
        <w:pStyle w:val="BodyText"/>
      </w:pPr>
      <w:r>
        <w:t>PO BOX 527</w:t>
      </w:r>
    </w:p>
    <w:p w14:paraId="196C6A9C" w14:textId="77777777" w:rsidR="000100AB" w:rsidRDefault="000100AB" w:rsidP="000100AB">
      <w:pPr>
        <w:pStyle w:val="BodyText"/>
      </w:pPr>
      <w:r>
        <w:t>MELBOURNE VIC 3001</w:t>
      </w:r>
    </w:p>
    <w:p w14:paraId="6F42AAAD" w14:textId="47F2529B" w:rsidR="000100AB" w:rsidRDefault="007A7A66" w:rsidP="000100AB">
      <w:pPr>
        <w:pStyle w:val="BodyText"/>
      </w:pPr>
      <w:r>
        <w:t>o</w:t>
      </w:r>
      <w:r w:rsidR="000100AB">
        <w:t>r by Land Use Victoria Document Exchange service:</w:t>
      </w:r>
    </w:p>
    <w:p w14:paraId="6B9A9E0A" w14:textId="77777777" w:rsidR="000100AB" w:rsidRDefault="000100AB" w:rsidP="000100AB">
      <w:pPr>
        <w:pStyle w:val="BodyText"/>
      </w:pPr>
      <w:r>
        <w:t>Land Use Victoria</w:t>
      </w:r>
    </w:p>
    <w:p w14:paraId="25ADD4C1" w14:textId="77777777" w:rsidR="000100AB" w:rsidRDefault="000100AB" w:rsidP="000100AB">
      <w:pPr>
        <w:pStyle w:val="BodyText"/>
      </w:pPr>
      <w:r>
        <w:t>DX250639</w:t>
      </w:r>
    </w:p>
    <w:p w14:paraId="18C7B1FA" w14:textId="77777777" w:rsidR="000100AB" w:rsidRDefault="000100AB" w:rsidP="000100AB">
      <w:pPr>
        <w:pStyle w:val="BodyText"/>
        <w:rPr>
          <w:rFonts w:cstheme="minorHAnsi"/>
        </w:rPr>
      </w:pPr>
      <w:r w:rsidRPr="00075864">
        <w:rPr>
          <w:rFonts w:cstheme="minorHAnsi"/>
        </w:rPr>
        <w:t>Melbourne</w:t>
      </w:r>
    </w:p>
    <w:p w14:paraId="400390B2" w14:textId="77777777" w:rsidR="00252854" w:rsidRDefault="00252854" w:rsidP="000100AB">
      <w:pPr>
        <w:pStyle w:val="BodyText"/>
        <w:rPr>
          <w:rFonts w:cstheme="minorHAnsi"/>
        </w:rPr>
      </w:pPr>
    </w:p>
    <w:p w14:paraId="2C928C7B" w14:textId="2E5FFE31" w:rsidR="000100AB" w:rsidRDefault="000100AB" w:rsidP="000100AB">
      <w:pPr>
        <w:pStyle w:val="BodyText"/>
        <w:rPr>
          <w:rFonts w:cstheme="minorHAnsi"/>
        </w:rPr>
      </w:pPr>
      <w:r>
        <w:rPr>
          <w:rFonts w:cstheme="minorHAnsi"/>
        </w:rPr>
        <w:t>Or deliver them to the Reception counter at Level 1, 2 Lonsdale Street, Melbourne.</w:t>
      </w:r>
    </w:p>
    <w:p w14:paraId="0D2424D3" w14:textId="77777777" w:rsidR="000100AB" w:rsidRPr="000100AB" w:rsidRDefault="000100AB" w:rsidP="000100AB">
      <w:pPr>
        <w:pStyle w:val="BodyText"/>
        <w:rPr>
          <w:rFonts w:cstheme="minorHAnsi"/>
        </w:rPr>
      </w:pPr>
      <w:r w:rsidRPr="000100AB">
        <w:rPr>
          <w:rFonts w:cstheme="minorHAnsi"/>
        </w:rPr>
        <w:t>Other non-cheque payment methods that will continue to be accepted are cash, credit or debit card.</w:t>
      </w:r>
    </w:p>
    <w:p w14:paraId="3EA579D6" w14:textId="77777777" w:rsidR="000100AB" w:rsidRPr="000100AB" w:rsidRDefault="000100AB" w:rsidP="000100AB">
      <w:pPr>
        <w:pStyle w:val="BodyText"/>
        <w:rPr>
          <w:rStyle w:val="Strong"/>
          <w:rFonts w:cstheme="minorHAnsi"/>
        </w:rPr>
      </w:pPr>
      <w:r w:rsidRPr="000100AB">
        <w:rPr>
          <w:rFonts w:cstheme="minorHAnsi"/>
        </w:rPr>
        <w:t xml:space="preserve">To ensure no delays are experienced in the processing of paper lodgments, customers need to ensure they use an acceptable payment method from </w:t>
      </w:r>
      <w:r w:rsidRPr="000100AB">
        <w:rPr>
          <w:rStyle w:val="Strong"/>
          <w:rFonts w:cstheme="minorHAnsi"/>
        </w:rPr>
        <w:t>1 February 2020.</w:t>
      </w:r>
    </w:p>
    <w:p w14:paraId="440DE307" w14:textId="69EF921D" w:rsidR="000100AB" w:rsidRPr="000100AB" w:rsidRDefault="000100AB" w:rsidP="0025365D">
      <w:pPr>
        <w:pStyle w:val="BodyText"/>
        <w:rPr>
          <w:rStyle w:val="normaltextrun"/>
          <w:rFonts w:ascii="Calibri" w:hAnsi="Calibri" w:cs="Calibri"/>
        </w:rPr>
      </w:pPr>
      <w:r w:rsidRPr="000100AB">
        <w:rPr>
          <w:rFonts w:cstheme="minorHAnsi"/>
        </w:rPr>
        <w:t>Any queries on the phasing out of cheques and/or conversion to direct debit payment may be directed to Land</w:t>
      </w:r>
      <w:r w:rsidRPr="000100AB">
        <w:rPr>
          <w:rFonts w:cstheme="minorHAnsi"/>
          <w:color w:val="FF0000"/>
        </w:rPr>
        <w:t xml:space="preserve"> </w:t>
      </w:r>
      <w:r w:rsidRPr="00877D3F">
        <w:rPr>
          <w:rFonts w:cstheme="minorHAnsi"/>
        </w:rPr>
        <w:t>Registry</w:t>
      </w:r>
      <w:r w:rsidRPr="00877D3F">
        <w:rPr>
          <w:rFonts w:cstheme="minorHAnsi"/>
          <w:color w:val="FF0000"/>
        </w:rPr>
        <w:t xml:space="preserve"> </w:t>
      </w:r>
      <w:r w:rsidRPr="00877D3F">
        <w:rPr>
          <w:rFonts w:cstheme="minorHAnsi"/>
        </w:rPr>
        <w:t xml:space="preserve">Services </w:t>
      </w:r>
      <w:r w:rsidRPr="0025365D">
        <w:rPr>
          <w:rStyle w:val="normaltextrun"/>
          <w:rFonts w:cstheme="minorHAnsi"/>
        </w:rPr>
        <w:t xml:space="preserve">Customer Call Centre </w:t>
      </w:r>
      <w:r w:rsidRPr="00877D3F">
        <w:rPr>
          <w:rFonts w:cstheme="minorHAnsi"/>
        </w:rPr>
        <w:t xml:space="preserve">on </w:t>
      </w:r>
      <w:r w:rsidRPr="00877D3F">
        <w:rPr>
          <w:rStyle w:val="normaltextrun"/>
          <w:rFonts w:cstheme="minorHAnsi"/>
        </w:rPr>
        <w:t>9102 0401.</w:t>
      </w:r>
    </w:p>
    <w:p w14:paraId="63CB6792" w14:textId="77777777" w:rsidR="000100AB" w:rsidRPr="001B1462" w:rsidRDefault="000100AB" w:rsidP="000100AB">
      <w:pPr>
        <w:pStyle w:val="Heading1"/>
        <w:numPr>
          <w:ilvl w:val="0"/>
          <w:numId w:val="0"/>
        </w:numPr>
        <w:rPr>
          <w:sz w:val="24"/>
          <w:szCs w:val="24"/>
        </w:rPr>
      </w:pPr>
      <w:r>
        <w:t>Residual documents in PEXA – an update</w:t>
      </w:r>
    </w:p>
    <w:p w14:paraId="0D5138B0" w14:textId="26C55793" w:rsidR="000100AB" w:rsidRPr="007F3950" w:rsidRDefault="000100AB" w:rsidP="000100AB">
      <w:pPr>
        <w:pStyle w:val="BodyText"/>
        <w:rPr>
          <w:rFonts w:ascii="Arial" w:hAnsi="Arial" w:cs="Arial"/>
        </w:rPr>
      </w:pPr>
      <w:r w:rsidRPr="007F3950">
        <w:rPr>
          <w:rFonts w:ascii="Arial" w:hAnsi="Arial" w:cs="Arial"/>
        </w:rPr>
        <w:t xml:space="preserve">An additional 21 Residual documents were made available to PEXA customers on 11 November 2019.  A list of the </w:t>
      </w:r>
      <w:r>
        <w:rPr>
          <w:rFonts w:ascii="Arial" w:hAnsi="Arial" w:cs="Arial"/>
        </w:rPr>
        <w:t>latest</w:t>
      </w:r>
      <w:r w:rsidRPr="007F3950">
        <w:rPr>
          <w:rFonts w:ascii="Arial" w:hAnsi="Arial" w:cs="Arial"/>
        </w:rPr>
        <w:t xml:space="preserve"> residual documents </w:t>
      </w:r>
      <w:r>
        <w:rPr>
          <w:rFonts w:ascii="Arial" w:hAnsi="Arial" w:cs="Arial"/>
        </w:rPr>
        <w:t xml:space="preserve">released </w:t>
      </w:r>
      <w:r w:rsidRPr="007F3950">
        <w:rPr>
          <w:rFonts w:ascii="Arial" w:hAnsi="Arial" w:cs="Arial"/>
        </w:rPr>
        <w:t xml:space="preserve">for electronic lodgment </w:t>
      </w:r>
      <w:r w:rsidR="00533180">
        <w:rPr>
          <w:rFonts w:ascii="Arial" w:hAnsi="Arial" w:cs="Arial"/>
        </w:rPr>
        <w:t>can be found</w:t>
      </w:r>
      <w:r w:rsidRPr="007F3950">
        <w:rPr>
          <w:rFonts w:ascii="Arial" w:hAnsi="Arial" w:cs="Arial"/>
        </w:rPr>
        <w:t xml:space="preserve"> at </w:t>
      </w:r>
      <w:hyperlink r:id="rId20" w:history="1">
        <w:r w:rsidRPr="007F3950">
          <w:rPr>
            <w:rStyle w:val="Hyperlink"/>
            <w:rFonts w:ascii="Arial" w:hAnsi="Arial" w:cs="Arial"/>
          </w:rPr>
          <w:t>Latest News</w:t>
        </w:r>
      </w:hyperlink>
      <w:r w:rsidRPr="007F3950">
        <w:rPr>
          <w:rStyle w:val="Hyperlink"/>
          <w:rFonts w:ascii="Arial" w:hAnsi="Arial" w:cs="Arial"/>
        </w:rPr>
        <w:t>.</w:t>
      </w:r>
    </w:p>
    <w:p w14:paraId="7FF879F2" w14:textId="1C689B8D" w:rsidR="000100AB" w:rsidRPr="007F3950" w:rsidRDefault="000100AB" w:rsidP="000100AB">
      <w:pPr>
        <w:pStyle w:val="BodyText"/>
        <w:rPr>
          <w:rFonts w:ascii="Arial" w:hAnsi="Arial" w:cs="Arial"/>
        </w:rPr>
      </w:pPr>
      <w:r w:rsidRPr="007F3950">
        <w:rPr>
          <w:rFonts w:ascii="Arial" w:hAnsi="Arial" w:cs="Arial"/>
        </w:rPr>
        <w:t xml:space="preserve">An updated release schedule for the remaining residual documents will be published </w:t>
      </w:r>
      <w:r>
        <w:rPr>
          <w:rFonts w:ascii="Arial" w:hAnsi="Arial" w:cs="Arial"/>
        </w:rPr>
        <w:t>shortly</w:t>
      </w:r>
      <w:r w:rsidRPr="007F3950">
        <w:rPr>
          <w:rFonts w:ascii="Arial" w:hAnsi="Arial" w:cs="Arial"/>
        </w:rPr>
        <w:t xml:space="preserve">.  The mandate to lodge these </w:t>
      </w:r>
      <w:r>
        <w:rPr>
          <w:rFonts w:ascii="Arial" w:hAnsi="Arial" w:cs="Arial"/>
        </w:rPr>
        <w:t>transaction types</w:t>
      </w:r>
      <w:r w:rsidRPr="007F3950">
        <w:rPr>
          <w:rFonts w:ascii="Arial" w:hAnsi="Arial" w:cs="Arial"/>
        </w:rPr>
        <w:t xml:space="preserve"> electronically will be </w:t>
      </w:r>
      <w:r w:rsidR="00533180">
        <w:rPr>
          <w:rFonts w:ascii="Arial" w:hAnsi="Arial" w:cs="Arial"/>
        </w:rPr>
        <w:t>provided</w:t>
      </w:r>
      <w:r w:rsidR="00533180" w:rsidRPr="007F3950">
        <w:rPr>
          <w:rFonts w:ascii="Arial" w:hAnsi="Arial" w:cs="Arial"/>
        </w:rPr>
        <w:t xml:space="preserve"> </w:t>
      </w:r>
      <w:r w:rsidRPr="007F3950">
        <w:rPr>
          <w:rFonts w:ascii="Arial" w:hAnsi="Arial" w:cs="Arial"/>
        </w:rPr>
        <w:t>to customers in 2020.</w:t>
      </w:r>
    </w:p>
    <w:bookmarkEnd w:id="1"/>
    <w:bookmarkEnd w:id="2"/>
    <w:p w14:paraId="7A6B3A16" w14:textId="469D305D" w:rsidR="000100AB" w:rsidRPr="00733A19" w:rsidRDefault="000100AB" w:rsidP="000100AB">
      <w:pPr>
        <w:rPr>
          <w:rFonts w:ascii="Arial" w:hAnsi="Arial"/>
        </w:rPr>
      </w:pPr>
      <w:r w:rsidRPr="00733A19">
        <w:rPr>
          <w:rFonts w:ascii="Arial" w:hAnsi="Arial"/>
        </w:rPr>
        <w:t>Documents to support practitioners in electronic lodgement and a list of Land Registry transaction</w:t>
      </w:r>
      <w:r w:rsidR="00565C45">
        <w:rPr>
          <w:rFonts w:ascii="Arial" w:hAnsi="Arial"/>
        </w:rPr>
        <w:t xml:space="preserve">s able to be lodged </w:t>
      </w:r>
      <w:r w:rsidRPr="00733A19">
        <w:rPr>
          <w:rFonts w:ascii="Arial" w:hAnsi="Arial"/>
        </w:rPr>
        <w:t xml:space="preserve">electronically are available at </w:t>
      </w:r>
      <w:hyperlink r:id="rId21" w:history="1">
        <w:r w:rsidRPr="00733A19">
          <w:rPr>
            <w:rStyle w:val="Hyperlink"/>
            <w:rFonts w:ascii="Arial" w:hAnsi="Arial"/>
          </w:rPr>
          <w:t xml:space="preserve">key documentation  </w:t>
        </w:r>
      </w:hyperlink>
      <w:r w:rsidRPr="00733A19">
        <w:rPr>
          <w:rFonts w:ascii="Arial" w:hAnsi="Arial"/>
        </w:rPr>
        <w:t>including the “</w:t>
      </w:r>
      <w:hyperlink r:id="rId22" w:history="1">
        <w:r w:rsidRPr="00733A19">
          <w:rPr>
            <w:rStyle w:val="Hyperlink"/>
            <w:rFonts w:ascii="Arial" w:hAnsi="Arial"/>
          </w:rPr>
          <w:t>Guide to Residual documents</w:t>
        </w:r>
      </w:hyperlink>
      <w:r w:rsidRPr="00733A19">
        <w:rPr>
          <w:rFonts w:ascii="Arial" w:hAnsi="Arial"/>
        </w:rPr>
        <w:t xml:space="preserve">”.  </w:t>
      </w:r>
    </w:p>
    <w:p w14:paraId="7EA063E3" w14:textId="77777777" w:rsidR="000100AB" w:rsidRDefault="000100AB" w:rsidP="000100AB">
      <w:pPr>
        <w:rPr>
          <w:rFonts w:ascii="Arial" w:hAnsi="Arial"/>
        </w:rPr>
      </w:pPr>
    </w:p>
    <w:p w14:paraId="6A24EC14" w14:textId="77777777" w:rsidR="000100AB" w:rsidRDefault="000100AB" w:rsidP="000100AB">
      <w:pPr>
        <w:rPr>
          <w:rFonts w:ascii="Arial" w:hAnsi="Arial"/>
        </w:rPr>
      </w:pPr>
      <w:r>
        <w:rPr>
          <w:rFonts w:ascii="Arial" w:hAnsi="Arial"/>
        </w:rPr>
        <w:br w:type="page"/>
      </w:r>
    </w:p>
    <w:p w14:paraId="2581BBC5" w14:textId="77777777" w:rsidR="000100AB" w:rsidRDefault="000100AB" w:rsidP="000100AB">
      <w:pPr>
        <w:pStyle w:val="Heading1"/>
        <w:numPr>
          <w:ilvl w:val="0"/>
          <w:numId w:val="43"/>
        </w:numPr>
      </w:pPr>
      <w:r w:rsidRPr="005E36D4">
        <w:lastRenderedPageBreak/>
        <w:t>New dealing requirement</w:t>
      </w:r>
      <w:r>
        <w:t>s – dealings lodged using an ELN</w:t>
      </w:r>
    </w:p>
    <w:p w14:paraId="7D0D3BBF" w14:textId="77777777" w:rsidR="000100AB" w:rsidRPr="00075864" w:rsidRDefault="000100AB" w:rsidP="000100AB">
      <w:pPr>
        <w:pStyle w:val="Heading2"/>
        <w:numPr>
          <w:ilvl w:val="1"/>
          <w:numId w:val="43"/>
        </w:numPr>
        <w:rPr>
          <w:rFonts w:cstheme="minorHAnsi"/>
          <w:szCs w:val="22"/>
        </w:rPr>
      </w:pPr>
      <w:r w:rsidRPr="00075864">
        <w:rPr>
          <w:rFonts w:cstheme="minorHAnsi"/>
          <w:szCs w:val="22"/>
        </w:rPr>
        <w:t>For transfers over GAIC affected land</w:t>
      </w:r>
    </w:p>
    <w:p w14:paraId="7FB9FDA7" w14:textId="77777777" w:rsidR="000100AB" w:rsidRPr="00075864" w:rsidRDefault="000100AB" w:rsidP="000100AB">
      <w:pPr>
        <w:pStyle w:val="BodyText"/>
        <w:rPr>
          <w:rFonts w:cstheme="minorHAnsi"/>
        </w:rPr>
      </w:pPr>
      <w:r w:rsidRPr="00075864">
        <w:rPr>
          <w:rFonts w:cstheme="minorHAnsi"/>
        </w:rPr>
        <w:t xml:space="preserve">Currently, when an electronic transfer is lodged over a folio affected by a growth areas infrastructure contribution (GAIC) notice, the transfer is accepted for lodgment but held unregistered until consent from the State Revenue Office (SRO) to register the transfer is physically produced to the Registrar. When such consent is received the transfer is </w:t>
      </w:r>
      <w:r>
        <w:rPr>
          <w:rFonts w:cstheme="minorHAnsi"/>
        </w:rPr>
        <w:t>processed</w:t>
      </w:r>
      <w:r w:rsidRPr="00075864">
        <w:rPr>
          <w:rFonts w:cstheme="minorHAnsi"/>
        </w:rPr>
        <w:t xml:space="preserve"> and the GAIC Notice remains on the folio.</w:t>
      </w:r>
    </w:p>
    <w:p w14:paraId="1D44E5D5" w14:textId="64209569" w:rsidR="000100AB" w:rsidRPr="00075864" w:rsidRDefault="000100AB" w:rsidP="000100AB">
      <w:pPr>
        <w:pStyle w:val="BodyText"/>
        <w:rPr>
          <w:rFonts w:cstheme="minorHAnsi"/>
        </w:rPr>
      </w:pPr>
      <w:r>
        <w:rPr>
          <w:rFonts w:cstheme="minorHAnsi"/>
        </w:rPr>
        <w:t xml:space="preserve">A </w:t>
      </w:r>
      <w:r w:rsidRPr="00075864">
        <w:rPr>
          <w:rFonts w:cstheme="minorHAnsi"/>
        </w:rPr>
        <w:t xml:space="preserve">new dealing requirement ‘GAIC – Notice that transfer may proceed’ </w:t>
      </w:r>
      <w:r>
        <w:rPr>
          <w:rFonts w:cstheme="minorHAnsi"/>
        </w:rPr>
        <w:t>is now</w:t>
      </w:r>
      <w:r w:rsidRPr="00075864">
        <w:rPr>
          <w:rFonts w:cstheme="minorHAnsi"/>
        </w:rPr>
        <w:t xml:space="preserve"> available to electronic lodgment network (ELN) subscribers.  An ELN subscriber </w:t>
      </w:r>
      <w:r w:rsidR="005F56F1">
        <w:rPr>
          <w:rFonts w:cstheme="minorHAnsi"/>
        </w:rPr>
        <w:t>now has</w:t>
      </w:r>
      <w:r w:rsidRPr="00075864">
        <w:rPr>
          <w:rFonts w:cstheme="minorHAnsi"/>
        </w:rPr>
        <w:t xml:space="preserve"> the option to select this dealing requirement when a transaction includes a transfer featuring </w:t>
      </w:r>
      <w:r w:rsidR="005F56F1">
        <w:rPr>
          <w:rFonts w:cstheme="minorHAnsi"/>
        </w:rPr>
        <w:t xml:space="preserve">a </w:t>
      </w:r>
      <w:r w:rsidRPr="00075864">
        <w:rPr>
          <w:rFonts w:cstheme="minorHAnsi"/>
        </w:rPr>
        <w:t xml:space="preserve">GAIC affected </w:t>
      </w:r>
      <w:r w:rsidR="005F56F1">
        <w:rPr>
          <w:rFonts w:cstheme="minorHAnsi"/>
        </w:rPr>
        <w:t>folio</w:t>
      </w:r>
      <w:r w:rsidRPr="00075864">
        <w:rPr>
          <w:rFonts w:cstheme="minorHAnsi"/>
        </w:rPr>
        <w:t xml:space="preserve">.  Selection of the dealing requirement </w:t>
      </w:r>
      <w:r>
        <w:rPr>
          <w:rFonts w:cstheme="minorHAnsi"/>
        </w:rPr>
        <w:t>confirms</w:t>
      </w:r>
      <w:r w:rsidRPr="00075864">
        <w:rPr>
          <w:rFonts w:cstheme="minorHAnsi"/>
        </w:rPr>
        <w:t xml:space="preserve"> that the ELN subscriber holds the necessary consent from SRO. </w:t>
      </w:r>
    </w:p>
    <w:p w14:paraId="7731E116" w14:textId="77777777" w:rsidR="000100AB" w:rsidRPr="00075864" w:rsidRDefault="000100AB" w:rsidP="000100AB">
      <w:pPr>
        <w:spacing w:after="240"/>
        <w:rPr>
          <w:rFonts w:cstheme="minorHAnsi"/>
        </w:rPr>
      </w:pPr>
      <w:r w:rsidRPr="00075864">
        <w:rPr>
          <w:rFonts w:cstheme="minorHAnsi"/>
        </w:rPr>
        <w:t>The Registrar will rely on selection of the dealing requirement, together with the standard certifications on the trans</w:t>
      </w:r>
      <w:r>
        <w:rPr>
          <w:rFonts w:cstheme="minorHAnsi"/>
        </w:rPr>
        <w:t>fer</w:t>
      </w:r>
      <w:r w:rsidRPr="00075864">
        <w:rPr>
          <w:rFonts w:cstheme="minorHAnsi"/>
        </w:rPr>
        <w:t>, as evidence that the transfer may proceed.  </w:t>
      </w:r>
      <w:r>
        <w:rPr>
          <w:rFonts w:cstheme="minorHAnsi"/>
        </w:rPr>
        <w:t>The necessary consent of SRO</w:t>
      </w:r>
      <w:r w:rsidRPr="00075864">
        <w:rPr>
          <w:rFonts w:cstheme="minorHAnsi"/>
        </w:rPr>
        <w:t xml:space="preserve"> must be held by the ELN subscriber.  The transfer, when received, will be </w:t>
      </w:r>
      <w:r>
        <w:rPr>
          <w:rFonts w:cstheme="minorHAnsi"/>
        </w:rPr>
        <w:t>processed</w:t>
      </w:r>
      <w:r w:rsidRPr="00075864">
        <w:rPr>
          <w:rFonts w:cstheme="minorHAnsi"/>
        </w:rPr>
        <w:t xml:space="preserve"> and the GAIC notice will remain on the folio. </w:t>
      </w:r>
    </w:p>
    <w:p w14:paraId="4F94F87C" w14:textId="77777777" w:rsidR="000100AB" w:rsidRPr="00075864" w:rsidRDefault="000100AB" w:rsidP="000100AB">
      <w:pPr>
        <w:spacing w:after="240"/>
        <w:rPr>
          <w:rFonts w:cstheme="minorHAnsi"/>
        </w:rPr>
      </w:pPr>
      <w:r w:rsidRPr="00075864">
        <w:rPr>
          <w:rFonts w:cstheme="minorHAnsi"/>
        </w:rPr>
        <w:t>If the dealing requirement is not selected, the transaction will continue to be accepted for lodgement but will not progress until</w:t>
      </w:r>
      <w:r>
        <w:rPr>
          <w:rFonts w:cstheme="minorHAnsi"/>
        </w:rPr>
        <w:t xml:space="preserve"> the SRO</w:t>
      </w:r>
      <w:r w:rsidRPr="00075864">
        <w:rPr>
          <w:rFonts w:cstheme="minorHAnsi"/>
        </w:rPr>
        <w:t xml:space="preserve"> consent is physically produced. Again, the GAIC Notice </w:t>
      </w:r>
      <w:r>
        <w:rPr>
          <w:rFonts w:cstheme="minorHAnsi"/>
        </w:rPr>
        <w:t xml:space="preserve">will </w:t>
      </w:r>
      <w:r w:rsidRPr="00075864">
        <w:rPr>
          <w:rFonts w:cstheme="minorHAnsi"/>
        </w:rPr>
        <w:t>remain on the folio.</w:t>
      </w:r>
    </w:p>
    <w:p w14:paraId="210D91AE" w14:textId="77777777" w:rsidR="000100AB" w:rsidRDefault="000100AB" w:rsidP="000100AB">
      <w:pPr>
        <w:rPr>
          <w:rFonts w:cstheme="minorHAnsi"/>
        </w:rPr>
      </w:pPr>
      <w:r w:rsidRPr="00075864">
        <w:rPr>
          <w:rFonts w:cstheme="minorHAnsi"/>
        </w:rPr>
        <w:t>The change does not remove the requirement on the ELN subscriber to obtain the SRO consent.  It simply removes the requirement to physically produce that consent to the Registrar</w:t>
      </w:r>
      <w:r>
        <w:rPr>
          <w:rFonts w:cstheme="minorHAnsi"/>
        </w:rPr>
        <w:t xml:space="preserve"> when the dealing requirement is selected by the ELN subscriber</w:t>
      </w:r>
      <w:r w:rsidRPr="00075864">
        <w:rPr>
          <w:rFonts w:cstheme="minorHAnsi"/>
        </w:rPr>
        <w:t>.</w:t>
      </w:r>
      <w:r>
        <w:rPr>
          <w:rFonts w:cstheme="minorHAnsi"/>
        </w:rPr>
        <w:t xml:space="preserve">  </w:t>
      </w:r>
      <w:r w:rsidRPr="00075864">
        <w:rPr>
          <w:rFonts w:cstheme="minorHAnsi"/>
        </w:rPr>
        <w:t xml:space="preserve">In a compliance examination, the ELN subscriber will be required to produce evidence that SRO consent has been obtained.    </w:t>
      </w:r>
    </w:p>
    <w:p w14:paraId="209A7184" w14:textId="77777777" w:rsidR="000100AB" w:rsidRPr="00075864" w:rsidRDefault="000100AB" w:rsidP="000100AB">
      <w:pPr>
        <w:rPr>
          <w:rFonts w:cstheme="minorHAnsi"/>
        </w:rPr>
      </w:pPr>
    </w:p>
    <w:p w14:paraId="60019C5C" w14:textId="77777777" w:rsidR="000100AB" w:rsidRPr="00075864" w:rsidRDefault="000100AB" w:rsidP="000100AB">
      <w:pPr>
        <w:rPr>
          <w:rFonts w:cstheme="minorHAnsi"/>
        </w:rPr>
      </w:pPr>
      <w:r w:rsidRPr="00075864">
        <w:rPr>
          <w:rFonts w:cstheme="minorHAnsi"/>
        </w:rPr>
        <w:t>This change is being made to ensure more efficient processing of electronic dealings, by eliminating the delay currently experienced while the physical consent is produced to the Registrar</w:t>
      </w:r>
      <w:r>
        <w:rPr>
          <w:rFonts w:cstheme="minorHAnsi"/>
        </w:rPr>
        <w:t>.</w:t>
      </w:r>
    </w:p>
    <w:p w14:paraId="38D8533C" w14:textId="77777777" w:rsidR="000100AB" w:rsidRPr="009C72BD" w:rsidRDefault="000100AB" w:rsidP="000100AB">
      <w:pPr>
        <w:pStyle w:val="Style1"/>
        <w:numPr>
          <w:ilvl w:val="0"/>
          <w:numId w:val="7"/>
        </w:numPr>
      </w:pPr>
      <w:r>
        <w:t xml:space="preserve">Reminder: </w:t>
      </w:r>
      <w:r w:rsidRPr="008556E6">
        <w:t>Caveator’s consent – change to requirement to produce consent to Registrar</w:t>
      </w:r>
    </w:p>
    <w:p w14:paraId="5DFDE828" w14:textId="0FEB6A7C" w:rsidR="000100AB" w:rsidRDefault="000100AB" w:rsidP="000100AB">
      <w:r>
        <w:t>A reminder that the requirement for the physical delivery to the Registrar of the consent of the caveator has been removed for electronically lodged dealings – see Customer Information Bulletin 187.  The Registrar now relies on the dealing requirement, ‘Caveators consent’ being selected, along with the standard certifications on the dealing, as evidence that the consent of the caveator is held by the ELN subscriber.  The dealing, when received</w:t>
      </w:r>
      <w:r w:rsidR="005F56F1">
        <w:t>,</w:t>
      </w:r>
      <w:r>
        <w:t xml:space="preserve"> will be processed and the caveat remains on the folio.</w:t>
      </w:r>
    </w:p>
    <w:p w14:paraId="70C02BAF" w14:textId="77777777" w:rsidR="000100AB" w:rsidRDefault="000100AB" w:rsidP="000100AB"/>
    <w:p w14:paraId="1758BAA8" w14:textId="77777777" w:rsidR="000100AB" w:rsidRDefault="000100AB" w:rsidP="000100AB">
      <w:r>
        <w:t xml:space="preserve">The change does not remove the requirement for the ELN subscriber to obtain the consent of the caveator.  It simply removes the requirement to physically produce that consent to the Registrar. In a compliance examination, the ELN subscriber will be required to produce the consent held.  </w:t>
      </w:r>
    </w:p>
    <w:p w14:paraId="41FD9007" w14:textId="77777777" w:rsidR="000100AB" w:rsidRPr="002C3D04" w:rsidRDefault="000100AB" w:rsidP="000100AB">
      <w:pPr>
        <w:pStyle w:val="BodyText"/>
        <w:rPr>
          <w:rFonts w:ascii="Arial" w:hAnsi="Arial" w:cs="Arial"/>
          <w:i/>
          <w:sz w:val="18"/>
          <w:szCs w:val="18"/>
          <w:lang w:eastAsia="en-AU"/>
        </w:rPr>
      </w:pPr>
      <w:r w:rsidRPr="002C3D04">
        <w:rPr>
          <w:rFonts w:ascii="Arial" w:hAnsi="Arial" w:cs="Arial"/>
          <w:i/>
          <w:sz w:val="18"/>
          <w:szCs w:val="18"/>
          <w:lang w:eastAsia="en-AU"/>
        </w:rPr>
        <w:t>Note: This change does not apply to dealings lodged in paper, where consent of the caveator is still required to be produced.</w:t>
      </w:r>
    </w:p>
    <w:p w14:paraId="378B43F2" w14:textId="77777777" w:rsidR="000100AB" w:rsidRDefault="000100AB" w:rsidP="000100AB"/>
    <w:p w14:paraId="74BA67DD" w14:textId="77777777" w:rsidR="000100AB" w:rsidRDefault="000100AB" w:rsidP="000100AB">
      <w:pPr>
        <w:pStyle w:val="paragraph"/>
        <w:spacing w:before="0" w:beforeAutospacing="0" w:after="0" w:afterAutospacing="0"/>
        <w:textAlignment w:val="baseline"/>
        <w:rPr>
          <w:rStyle w:val="normaltextrun"/>
          <w:rFonts w:ascii="Calibri" w:hAnsi="Calibri" w:cs="Calibri"/>
          <w:sz w:val="22"/>
          <w:szCs w:val="22"/>
        </w:rPr>
      </w:pPr>
    </w:p>
    <w:p w14:paraId="2E2F7808" w14:textId="77777777" w:rsidR="000100AB" w:rsidRPr="00733A19" w:rsidRDefault="000100AB" w:rsidP="000100AB">
      <w:pPr>
        <w:rPr>
          <w:rFonts w:ascii="Arial" w:hAnsi="Arial"/>
          <w:b/>
        </w:rPr>
      </w:pPr>
    </w:p>
    <w:p w14:paraId="6E1C905D" w14:textId="77777777" w:rsidR="000100AB" w:rsidRPr="007F3950" w:rsidRDefault="000100AB" w:rsidP="000100AB">
      <w:pPr>
        <w:rPr>
          <w:rFonts w:ascii="Arial" w:hAnsi="Arial"/>
        </w:rPr>
      </w:pPr>
    </w:p>
    <w:p w14:paraId="58DB283C" w14:textId="77777777" w:rsidR="000100AB" w:rsidRDefault="000100AB" w:rsidP="000100AB">
      <w:pPr>
        <w:pStyle w:val="Heading1"/>
        <w:numPr>
          <w:ilvl w:val="0"/>
          <w:numId w:val="0"/>
        </w:numPr>
        <w:spacing w:after="240"/>
      </w:pPr>
      <w:r>
        <w:lastRenderedPageBreak/>
        <w:t>Subscribe</w:t>
      </w:r>
    </w:p>
    <w:p w14:paraId="6AA367BA" w14:textId="77777777" w:rsidR="000100AB" w:rsidRDefault="000100AB" w:rsidP="000100AB">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14:paraId="19CF33EC" w14:textId="77777777" w:rsidR="000100AB" w:rsidRDefault="000100AB" w:rsidP="000100AB">
      <w:pPr>
        <w:pStyle w:val="Heading1"/>
        <w:numPr>
          <w:ilvl w:val="0"/>
          <w:numId w:val="0"/>
        </w:numPr>
        <w:spacing w:after="240"/>
        <w:rPr>
          <w:rFonts w:eastAsiaTheme="minorHAnsi"/>
          <w:lang w:eastAsia="en-US"/>
        </w:rPr>
      </w:pPr>
      <w:r>
        <w:rPr>
          <w:rFonts w:eastAsiaTheme="minorHAnsi"/>
          <w:lang w:eastAsia="en-US"/>
        </w:rPr>
        <w:t>Contact us</w:t>
      </w:r>
    </w:p>
    <w:p w14:paraId="3D07A70C" w14:textId="77777777" w:rsidR="000100AB" w:rsidRDefault="000100AB" w:rsidP="000100AB">
      <w:pPr>
        <w:pStyle w:val="Body"/>
      </w:pPr>
      <w:r>
        <w:rPr>
          <w:rFonts w:eastAsiaTheme="minorHAnsi" w:cs="Calibri"/>
          <w:color w:val="000000"/>
          <w:szCs w:val="22"/>
        </w:rPr>
        <w:t xml:space="preserve">For </w:t>
      </w:r>
      <w:hyperlink r:id="rId23"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24"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95611" w14:paraId="03894933" w14:textId="77777777" w:rsidTr="0048677B">
        <w:trPr>
          <w:trHeight w:val="2608"/>
        </w:trPr>
        <w:tc>
          <w:tcPr>
            <w:tcW w:w="5216" w:type="dxa"/>
            <w:shd w:val="clear" w:color="auto" w:fill="auto"/>
          </w:tcPr>
          <w:bookmarkEnd w:id="3"/>
          <w:p w14:paraId="1737DCA7" w14:textId="090BD413" w:rsidR="00095611" w:rsidRDefault="00095611" w:rsidP="0048677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477A0B">
              <w:rPr>
                <w:noProof/>
              </w:rPr>
              <w:t>2019</w:t>
            </w:r>
            <w:r>
              <w:fldChar w:fldCharType="end"/>
            </w:r>
          </w:p>
          <w:p w14:paraId="5518A29F" w14:textId="77777777" w:rsidR="00095611" w:rsidRDefault="00095611" w:rsidP="0048677B">
            <w:pPr>
              <w:pStyle w:val="SmallBodyText"/>
            </w:pPr>
            <w:r>
              <w:rPr>
                <w:noProof/>
              </w:rPr>
              <w:drawing>
                <wp:anchor distT="0" distB="0" distL="114300" distR="36195" simplePos="0" relativeHeight="251659264" behindDoc="0" locked="1" layoutInCell="1" allowOverlap="1" wp14:anchorId="44C9E266" wp14:editId="0FFF37BA">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6" w:name="_ImprintPageOne"/>
            <w:bookmarkEnd w:id="6"/>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2F1A8CB" w14:textId="77777777" w:rsidR="00095611" w:rsidRPr="008F559C" w:rsidRDefault="00095611" w:rsidP="0048677B">
            <w:pPr>
              <w:pStyle w:val="SmallHeading"/>
            </w:pPr>
            <w:r w:rsidRPr="00C255C2">
              <w:t>Disclaimer</w:t>
            </w:r>
          </w:p>
          <w:p w14:paraId="1BE54B91" w14:textId="77777777" w:rsidR="00095611" w:rsidRDefault="00095611" w:rsidP="0048677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4690A8A8" w14:textId="77777777" w:rsidR="00095611" w:rsidRPr="00E97294" w:rsidRDefault="00095611" w:rsidP="0048677B">
            <w:pPr>
              <w:pStyle w:val="xAccessibilityHeading"/>
            </w:pPr>
            <w:bookmarkStart w:id="7" w:name="_Accessibility"/>
            <w:bookmarkEnd w:id="7"/>
            <w:r w:rsidRPr="00E97294">
              <w:t>Accessibility</w:t>
            </w:r>
          </w:p>
          <w:p w14:paraId="36A30A9A" w14:textId="18B6A015" w:rsidR="00095611" w:rsidRDefault="00095611" w:rsidP="0048677B">
            <w:pPr>
              <w:pStyle w:val="xAccessibilityText"/>
            </w:pPr>
            <w:r>
              <w:t>If you would like to receive this publication in an alternative format, please telephone the DELWP Customer Service Centre on 136186, email </w:t>
            </w:r>
            <w:hyperlink r:id="rId26" w:history="1">
              <w:r w:rsidRPr="003C5C56">
                <w:t>customer.service@delwp.vic.gov.au</w:t>
              </w:r>
            </w:hyperlink>
            <w:r>
              <w:t xml:space="preserve">, or via the National Relay Service on 133 677 </w:t>
            </w:r>
            <w:hyperlink r:id="rId27" w:history="1">
              <w:r w:rsidRPr="00AE3298">
                <w:t>www.relayservice.com.au</w:t>
              </w:r>
            </w:hyperlink>
            <w:r>
              <w:t xml:space="preserve">. This document is also available on the internet at </w:t>
            </w:r>
            <w:hyperlink r:id="rId28" w:history="1">
              <w:r w:rsidRPr="00AE3298">
                <w:t>www.delwp.vic.gov.au</w:t>
              </w:r>
            </w:hyperlink>
            <w:r>
              <w:t xml:space="preserve">. </w:t>
            </w:r>
          </w:p>
          <w:p w14:paraId="27DA7A0F" w14:textId="77777777" w:rsidR="00095611" w:rsidRDefault="00095611" w:rsidP="0048677B">
            <w:pPr>
              <w:pStyle w:val="SmallBodyText"/>
            </w:pPr>
          </w:p>
        </w:tc>
      </w:tr>
    </w:tbl>
    <w:p w14:paraId="1EF3ABEA" w14:textId="3FFD3E82" w:rsidR="006E1C8D" w:rsidRDefault="006E1C8D" w:rsidP="00095611">
      <w:pPr>
        <w:pStyle w:val="Heading1"/>
        <w:numPr>
          <w:ilvl w:val="0"/>
          <w:numId w:val="0"/>
        </w:numPr>
      </w:pPr>
    </w:p>
    <w:sectPr w:rsidR="006E1C8D" w:rsidSect="000100AB">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8EAA1" w14:textId="77777777" w:rsidR="000100AB" w:rsidRDefault="000100AB">
      <w:r>
        <w:separator/>
      </w:r>
    </w:p>
    <w:p w14:paraId="178E1EF2" w14:textId="77777777" w:rsidR="000100AB" w:rsidRDefault="000100AB"/>
    <w:p w14:paraId="4245F884" w14:textId="77777777" w:rsidR="000100AB" w:rsidRDefault="000100AB"/>
  </w:endnote>
  <w:endnote w:type="continuationSeparator" w:id="0">
    <w:p w14:paraId="044FF0D0" w14:textId="77777777" w:rsidR="000100AB" w:rsidRDefault="000100AB">
      <w:r>
        <w:continuationSeparator/>
      </w:r>
    </w:p>
    <w:p w14:paraId="09D617F5" w14:textId="77777777" w:rsidR="000100AB" w:rsidRDefault="000100AB"/>
    <w:p w14:paraId="7561D4E9" w14:textId="77777777" w:rsidR="000100AB" w:rsidRDefault="00010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CE3B"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697FC215" wp14:editId="654597A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A507C"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FC215"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2DA507C"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A3AB"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39D82E26" wp14:editId="356F360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9D307"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82E26"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5869D307"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AB9F" w14:textId="77777777" w:rsidR="00B40C2E" w:rsidRDefault="006B4212" w:rsidP="00BF3066">
    <w:pPr>
      <w:pStyle w:val="Footer"/>
      <w:spacing w:before="1600"/>
    </w:pPr>
    <w:r>
      <w:rPr>
        <w:noProof/>
      </w:rPr>
      <w:drawing>
        <wp:anchor distT="0" distB="0" distL="114300" distR="114300" simplePos="0" relativeHeight="251674624" behindDoc="1" locked="1" layoutInCell="1" allowOverlap="1" wp14:anchorId="3D6C004B" wp14:editId="735408FF">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79EA10F9" wp14:editId="239A27DB">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6BF7B8B9" wp14:editId="19768BF1">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C9A24"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7B8B9"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782C9A24"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73E36467" wp14:editId="758FCB09">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2DEFF" w14:textId="77777777" w:rsidR="000100AB" w:rsidRPr="008F5280" w:rsidRDefault="000100AB" w:rsidP="008F5280">
      <w:pPr>
        <w:pStyle w:val="FootnoteSeparator"/>
      </w:pPr>
    </w:p>
    <w:p w14:paraId="6B419CEC" w14:textId="77777777" w:rsidR="000100AB" w:rsidRDefault="000100AB"/>
  </w:footnote>
  <w:footnote w:type="continuationSeparator" w:id="0">
    <w:p w14:paraId="335FD806" w14:textId="77777777" w:rsidR="000100AB" w:rsidRDefault="000100AB" w:rsidP="008F5280">
      <w:pPr>
        <w:pStyle w:val="FootnoteSeparator"/>
      </w:pPr>
    </w:p>
    <w:p w14:paraId="7EEF26B5" w14:textId="77777777" w:rsidR="000100AB" w:rsidRDefault="000100AB"/>
    <w:p w14:paraId="37ACE75D" w14:textId="77777777" w:rsidR="000100AB" w:rsidRDefault="000100AB"/>
  </w:footnote>
  <w:footnote w:type="continuationNotice" w:id="1">
    <w:p w14:paraId="22E2BCBB" w14:textId="77777777" w:rsidR="000100AB" w:rsidRDefault="000100AB" w:rsidP="00D55628"/>
    <w:p w14:paraId="6F6F2194" w14:textId="77777777" w:rsidR="000100AB" w:rsidRDefault="000100AB"/>
    <w:p w14:paraId="15682E31" w14:textId="77777777" w:rsidR="000100AB" w:rsidRDefault="00010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327B8C6" w14:textId="77777777" w:rsidTr="00B40C2E">
      <w:trPr>
        <w:trHeight w:hRule="exact" w:val="1418"/>
      </w:trPr>
      <w:tc>
        <w:tcPr>
          <w:tcW w:w="7761" w:type="dxa"/>
          <w:vAlign w:val="center"/>
        </w:tcPr>
        <w:p w14:paraId="28D29EED" w14:textId="19D3C610"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1F7603">
            <w:rPr>
              <w:noProof/>
            </w:rPr>
            <w:t>Customer Information Bulletin 193 December 2019</w:t>
          </w:r>
          <w:r>
            <w:rPr>
              <w:noProof/>
            </w:rPr>
            <w:fldChar w:fldCharType="end"/>
          </w:r>
        </w:p>
      </w:tc>
    </w:tr>
  </w:tbl>
  <w:p w14:paraId="15E85322"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34F82735" wp14:editId="2F04E70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4CE42"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A200262" wp14:editId="690859B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E0433"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065D151" wp14:editId="5D1BC71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C8ED88"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CC9F29B"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6ABA921" w14:textId="77777777" w:rsidTr="00B40C2E">
      <w:trPr>
        <w:trHeight w:hRule="exact" w:val="1418"/>
      </w:trPr>
      <w:tc>
        <w:tcPr>
          <w:tcW w:w="7761" w:type="dxa"/>
          <w:vAlign w:val="center"/>
        </w:tcPr>
        <w:p w14:paraId="7E037BA7" w14:textId="1B44A968"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1F7603">
            <w:rPr>
              <w:noProof/>
            </w:rPr>
            <w:t>Customer Information Bulletin 193 December 2019</w:t>
          </w:r>
          <w:r>
            <w:rPr>
              <w:noProof/>
            </w:rPr>
            <w:fldChar w:fldCharType="end"/>
          </w:r>
        </w:p>
      </w:tc>
    </w:tr>
  </w:tbl>
  <w:p w14:paraId="628453BE"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0DB2E109" wp14:editId="226FBFEF">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5C136"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3422E700" wp14:editId="3A04C72A">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69868"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645959C4" wp14:editId="52D5A74B">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A65256"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98D8A6D"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610A"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06789CAA" wp14:editId="5C1ECB5F">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246CDC65" wp14:editId="7F4FE335">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36CC6443" wp14:editId="5A2F297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45942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5E57A7BB" wp14:editId="63CA8C6B">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E8FA0"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6C79DCC1" wp14:editId="1A16C9E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41D6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774D8600" wp14:editId="741AA65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4FB751"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46518"/>
    <w:multiLevelType w:val="hybridMultilevel"/>
    <w:tmpl w:val="567E7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pStyle w:val="Style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C28030F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A702873"/>
    <w:multiLevelType w:val="hybridMultilevel"/>
    <w:tmpl w:val="F10C0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CDB5BC1"/>
    <w:multiLevelType w:val="hybridMultilevel"/>
    <w:tmpl w:val="A9162A9C"/>
    <w:lvl w:ilvl="0" w:tplc="680E4B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ECC5404"/>
    <w:multiLevelType w:val="hybridMultilevel"/>
    <w:tmpl w:val="D5B2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30"/>
  </w:num>
  <w:num w:numId="3">
    <w:abstractNumId w:val="25"/>
  </w:num>
  <w:num w:numId="4">
    <w:abstractNumId w:val="35"/>
  </w:num>
  <w:num w:numId="5">
    <w:abstractNumId w:val="16"/>
  </w:num>
  <w:num w:numId="6">
    <w:abstractNumId w:val="13"/>
  </w:num>
  <w:num w:numId="7">
    <w:abstractNumId w:val="12"/>
  </w:num>
  <w:num w:numId="8">
    <w:abstractNumId w:val="11"/>
  </w:num>
  <w:num w:numId="9">
    <w:abstractNumId w:val="32"/>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20"/>
  </w:num>
  <w:num w:numId="30">
    <w:abstractNumId w:val="33"/>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9"/>
  </w:num>
  <w:num w:numId="46">
    <w:abstractNumId w:val="10"/>
  </w:num>
  <w:num w:numId="47">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25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0100AB"/>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0AB"/>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611"/>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DDF"/>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03"/>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854"/>
    <w:rsid w:val="00252B3D"/>
    <w:rsid w:val="00252BA5"/>
    <w:rsid w:val="00253077"/>
    <w:rsid w:val="00253368"/>
    <w:rsid w:val="0025365D"/>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B7FA8"/>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0B"/>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180"/>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C45"/>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0D34"/>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6F1"/>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94F"/>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A66"/>
    <w:rsid w:val="007A7DED"/>
    <w:rsid w:val="007A7DF2"/>
    <w:rsid w:val="007B00D1"/>
    <w:rsid w:val="007B0B6E"/>
    <w:rsid w:val="007B0F02"/>
    <w:rsid w:val="007B1164"/>
    <w:rsid w:val="007B140D"/>
    <w:rsid w:val="007B197C"/>
    <w:rsid w:val="007B1F76"/>
    <w:rsid w:val="007B27B4"/>
    <w:rsid w:val="007B2802"/>
    <w:rsid w:val="007B3314"/>
    <w:rsid w:val="007B3623"/>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0543"/>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1C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E2E"/>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77D3F"/>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B02"/>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767"/>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006"/>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D74"/>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3DC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4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5D7E"/>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f">
      <v:stroke on="f"/>
      <o:colormru v:ext="edit" colors="white"/>
    </o:shapedefaults>
    <o:shapelayout v:ext="edit">
      <o:idmap v:ext="edit" data="1"/>
    </o:shapelayout>
  </w:shapeDefaults>
  <w:decimalSymbol w:val="."/>
  <w:listSeparator w:val=","/>
  <w14:docId w14:val="3E4FB1CF"/>
  <w15:docId w15:val="{AF9BE8E4-7C4A-4B98-B08A-86EB1291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100AB"/>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0100AB"/>
    <w:pPr>
      <w:spacing w:after="113"/>
    </w:pPr>
    <w:rPr>
      <w:rFonts w:ascii="Calibri" w:hAnsi="Calibri"/>
      <w:color w:val="auto"/>
      <w:sz w:val="22"/>
      <w:szCs w:val="24"/>
      <w:lang w:eastAsia="en-US"/>
    </w:rPr>
  </w:style>
  <w:style w:type="character" w:customStyle="1" w:styleId="hChar">
    <w:name w:val="h Char"/>
    <w:basedOn w:val="DefaultParagraphFont"/>
    <w:link w:val="h"/>
    <w:locked/>
    <w:rsid w:val="000100AB"/>
    <w:rPr>
      <w:rFonts w:asciiTheme="majorHAnsi" w:hAnsiTheme="majorHAnsi"/>
      <w:b/>
      <w:bCs/>
      <w:color w:val="B3272F" w:themeColor="text2"/>
      <w:kern w:val="32"/>
      <w:sz w:val="40"/>
      <w:szCs w:val="32"/>
    </w:rPr>
  </w:style>
  <w:style w:type="paragraph" w:customStyle="1" w:styleId="h">
    <w:name w:val="h"/>
    <w:basedOn w:val="Heading1"/>
    <w:link w:val="hChar"/>
    <w:qFormat/>
    <w:rsid w:val="000100AB"/>
    <w:pPr>
      <w:numPr>
        <w:numId w:val="0"/>
      </w:numPr>
      <w:spacing w:after="240"/>
    </w:pPr>
    <w:rPr>
      <w:rFonts w:asciiTheme="majorHAnsi" w:hAnsiTheme="majorHAnsi"/>
    </w:rPr>
  </w:style>
  <w:style w:type="paragraph" w:customStyle="1" w:styleId="paragraph">
    <w:name w:val="paragraph"/>
    <w:basedOn w:val="Normal"/>
    <w:uiPriority w:val="99"/>
    <w:rsid w:val="000100AB"/>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0100AB"/>
  </w:style>
  <w:style w:type="character" w:styleId="Strong">
    <w:name w:val="Strong"/>
    <w:basedOn w:val="DefaultParagraphFont"/>
    <w:uiPriority w:val="22"/>
    <w:qFormat/>
    <w:rsid w:val="000100AB"/>
    <w:rPr>
      <w:b/>
      <w:bCs/>
    </w:rPr>
  </w:style>
  <w:style w:type="paragraph" w:customStyle="1" w:styleId="Style1">
    <w:name w:val="Style1"/>
    <w:basedOn w:val="Heading1"/>
    <w:link w:val="Style1Char"/>
    <w:qFormat/>
    <w:rsid w:val="000100AB"/>
    <w:pPr>
      <w:numPr>
        <w:numId w:val="1"/>
      </w:numPr>
    </w:pPr>
  </w:style>
  <w:style w:type="character" w:customStyle="1" w:styleId="Style1Char">
    <w:name w:val="Style1 Char"/>
    <w:basedOn w:val="Heading1Char"/>
    <w:link w:val="Style1"/>
    <w:rsid w:val="000100AB"/>
    <w:rPr>
      <w:b/>
      <w:bCs/>
      <w:color w:val="B3272F" w:themeColor="text2"/>
      <w:kern w:val="32"/>
      <w:sz w:val="40"/>
      <w:szCs w:val="32"/>
    </w:rPr>
  </w:style>
  <w:style w:type="character" w:styleId="UnresolvedMention">
    <w:name w:val="Unresolved Mention"/>
    <w:basedOn w:val="DefaultParagraphFont"/>
    <w:uiPriority w:val="99"/>
    <w:semiHidden/>
    <w:unhideWhenUsed/>
    <w:rsid w:val="00252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ropertyandlandtitles.vic.gov.au/__data/assets/word_doc/0018/57033/Direct-debit-request.docx" TargetMode="External"/><Relationship Id="rId26"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hyperlink" Target="https://www.propertyandlandtitles.vic.gov.au/forms-guides-and-fees/electronic-lodgment/key-documenta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landata.enquiries@victorianlrs.com.au"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s://www.landata.online/" TargetMode="External"/><Relationship Id="rId20" Type="http://schemas.openxmlformats.org/officeDocument/2006/relationships/hyperlink" Target="https://www.propertyandlandtitles.vic.gov.au/forms-guides-and-fees/electronic-lodgment/key-document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ropertyandlandtitles.vic.gov.au/contact-us" TargetMode="External"/><Relationship Id="rId5" Type="http://schemas.openxmlformats.org/officeDocument/2006/relationships/webSettings" Target="webSettings.xml"/><Relationship Id="rId15" Type="http://schemas.openxmlformats.org/officeDocument/2006/relationships/hyperlink" Target="mailto:trs.enquiries@delwp.vic.gov.au" TargetMode="External"/><Relationship Id="rId23" Type="http://schemas.openxmlformats.org/officeDocument/2006/relationships/hyperlink" Target="http://www.dtpli.vic.gov.au/property-and-land-titles/contact-us" TargetMode="External"/><Relationship Id="rId28" Type="http://schemas.openxmlformats.org/officeDocument/2006/relationships/hyperlink" Target="http://www.delwp.vic.gov.au" TargetMode="External"/><Relationship Id="rId10" Type="http://schemas.openxmlformats.org/officeDocument/2006/relationships/footer" Target="footer1.xml"/><Relationship Id="rId19" Type="http://schemas.openxmlformats.org/officeDocument/2006/relationships/hyperlink" Target="https://www.propertyandlandtitles.vic.gov.au/forms-guides-and-fees/fe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dvice.enquiries@victorianlrs.com.au" TargetMode="External"/><Relationship Id="rId22" Type="http://schemas.openxmlformats.org/officeDocument/2006/relationships/hyperlink" Target="https://www.propertyandlandtitles.vic.gov.au/__data/assets/word_doc/0021/414255/Guide-to-Residual-Documents-Updated-October-2019.docx" TargetMode="External"/><Relationship Id="rId27" Type="http://schemas.openxmlformats.org/officeDocument/2006/relationships/hyperlink" Target="http://www.relayservice.com.au"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81CFC-0ABB-4FC8-82A0-1E7A94F6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4</Pages>
  <Words>1243</Words>
  <Characters>8104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Mark D Spence (DELWP)</cp:lastModifiedBy>
  <cp:revision>2</cp:revision>
  <cp:lastPrinted>2016-09-08T07:20:00Z</cp:lastPrinted>
  <dcterms:created xsi:type="dcterms:W3CDTF">2019-12-05T04:27:00Z</dcterms:created>
  <dcterms:modified xsi:type="dcterms:W3CDTF">2019-12-05T04:27:00Z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