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F4CD5" w14:textId="77777777" w:rsidR="005A2A5D" w:rsidRDefault="00AD391C" w:rsidP="002C296E">
      <w:pPr>
        <w:pStyle w:val="BodyText"/>
      </w:pPr>
      <w:r>
        <w:rPr>
          <w:noProof/>
          <w:lang w:eastAsia="en-AU"/>
        </w:rPr>
        <mc:AlternateContent>
          <mc:Choice Requires="wps">
            <w:drawing>
              <wp:anchor distT="0" distB="0" distL="114300" distR="114300" simplePos="0" relativeHeight="251661824" behindDoc="0" locked="1" layoutInCell="1" allowOverlap="1" wp14:anchorId="72524DFE" wp14:editId="58AFEF87">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3DD373" id="OverlayLeft" o:spid="_x0000_s1026" style="position:absolute;margin-left:28.65pt;margin-top:185.4pt;width:250.6pt;height:374.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812815">
        <w:rPr>
          <w:noProof/>
          <w:color w:val="B3272F" w:themeColor="text2"/>
          <w:lang w:eastAsia="en-AU"/>
        </w:rPr>
        <mc:AlternateContent>
          <mc:Choice Requires="wps">
            <w:drawing>
              <wp:anchor distT="0" distB="0" distL="114300" distR="114300" simplePos="0" relativeHeight="251658752" behindDoc="0" locked="1" layoutInCell="1" allowOverlap="1" wp14:anchorId="0A9472DC" wp14:editId="708502A1">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0B07CB" id="OverlayRight" o:spid="_x0000_s1026" style="position:absolute;margin-left:278.95pt;margin-top:185.4pt;width:4in;height:374.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path="m3536,l,7483r5762,l5762,,3536,xe" fillcolor="#b3272f [3215]" stroked="f">
                <v:fill opacity="19532f"/>
                <v:path arrowok="t" o:connecttype="custom" o:connectlocs="2244581,0;0,4755600;3657600,4755600;3657600,0;2244581,0" o:connectangles="0,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62848" behindDoc="0" locked="1" layoutInCell="1" allowOverlap="1" wp14:anchorId="37A45207" wp14:editId="39C2CC9B">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FD9F21" id="TriangleBottom" o:spid="_x0000_s1026" style="position:absolute;margin-left:279pt;margin-top:559.65pt;width:148.8pt;height:157.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e1a9ac [3208]" stroked="f">
                <v:path arrowok="t" o:connecttype="custom" o:connectlocs="943378,1994400;0,0;1890000,0;943378,1994400" o:connectangles="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7728" behindDoc="0" locked="1" layoutInCell="1" allowOverlap="1" wp14:anchorId="2D78B5AC" wp14:editId="0130225D">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2F38D2" id="TriangleTop" o:spid="_x0000_s1026" style="position:absolute;margin-left:28.35pt;margin-top:28.35pt;width:148.8pt;height:15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b3272f [3202]" stroked="f">
                <v:path arrowok="t" o:connecttype="custom" o:connectlocs="943378,1994400;0,0;1890000,0;943378,1994400" o:connectangles="0,0,0,0"/>
                <w10:wrap anchorx="page" anchory="page"/>
                <w10:anchorlock/>
              </v:shape>
            </w:pict>
          </mc:Fallback>
        </mc:AlternateContent>
      </w:r>
      <w:r w:rsidR="00330302" w:rsidRPr="00D55628">
        <w:rPr>
          <w:noProof/>
          <w:lang w:eastAsia="en-AU"/>
        </w:rPr>
        <mc:AlternateContent>
          <mc:Choice Requires="wps">
            <w:drawing>
              <wp:anchor distT="0" distB="0" distL="114300" distR="114300" simplePos="0" relativeHeight="251655680" behindDoc="0" locked="1" layoutInCell="1" allowOverlap="1" wp14:anchorId="0E3796A0" wp14:editId="2EA30B46">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4DA5FF" w14:textId="77777777" w:rsidR="00530C71" w:rsidRPr="009F69FA" w:rsidRDefault="00530C71"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796A0" id="_x0000_t202" coordsize="21600,21600" o:spt="202" path="m,l,21600r21600,l21600,xe">
                <v:stroke joinstyle="miter"/>
                <v:path gradientshapeok="t" o:connecttype="rect"/>
              </v:shapetype>
              <v:shape id="WebAddress" o:spid="_x0000_s1026" type="#_x0000_t202" style="position:absolute;margin-left:0;margin-top:0;width:303pt;height:50.15pt;z-index:251655680;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" filled="f" stroked="f" strokeweight=".5pt">
                <v:textbox inset="20mm">
                  <w:txbxContent>
                    <w:p w14:paraId="154DA5FF" w14:textId="77777777" w:rsidR="00530C71" w:rsidRPr="009F69FA" w:rsidRDefault="00530C71" w:rsidP="00330302">
                      <w:pPr>
                        <w:pStyle w:val="xWeb"/>
                      </w:pPr>
                      <w:r w:rsidRPr="009F69FA">
                        <w:t>www.de</w:t>
                      </w:r>
                      <w:r>
                        <w:t>lw</w:t>
                      </w:r>
                      <w:r w:rsidRPr="009F69FA">
                        <w:t>p.vic.gov.au</w:t>
                      </w:r>
                    </w:p>
                  </w:txbxContent>
                </v:textbox>
                <w10:wrap anchorx="page" anchory="page"/>
                <w10:anchorlock/>
              </v:shape>
            </w:pict>
          </mc:Fallback>
        </mc:AlternateContent>
      </w:r>
      <w:r w:rsidR="003D5476" w:rsidRPr="00D55628">
        <w:rPr>
          <w:noProof/>
          <w:lang w:eastAsia="en-AU"/>
        </w:rPr>
        <mc:AlternateContent>
          <mc:Choice Requires="wps">
            <w:drawing>
              <wp:anchor distT="0" distB="0" distL="114300" distR="114300" simplePos="0" relativeHeight="251653632" behindDoc="0" locked="1" layoutInCell="1" allowOverlap="1" wp14:anchorId="051D54EB" wp14:editId="3FF44CD4">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6972CC" w14:textId="77777777" w:rsidR="00530C71" w:rsidRPr="00271B90" w:rsidRDefault="00530C71"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D54EB" id="CoverStatus" o:spid="_x0000_s1027" type="#_x0000_t202" alt="Title: Watermark Document Status" style="position:absolute;margin-left:0;margin-top:674.6pt;width:437.4pt;height:29.2pt;z-index:251653632;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" filled="f" stroked="f" strokeweight=".5pt">
                <v:textbox inset="20mm,0,1mm,0">
                  <w:txbxContent>
                    <w:p w14:paraId="366972CC" w14:textId="77777777" w:rsidR="00530C71" w:rsidRPr="00271B90" w:rsidRDefault="00530C71"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D55628">
        <w:rPr>
          <w:noProof/>
          <w:lang w:eastAsia="en-AU"/>
        </w:rPr>
        <mc:AlternateContent>
          <mc:Choice Requires="wps">
            <w:drawing>
              <wp:anchor distT="0" distB="0" distL="114300" distR="114300" simplePos="0" relativeHeight="251654656" behindDoc="1" locked="1" layoutInCell="1" allowOverlap="1" wp14:anchorId="6C9EEC0F" wp14:editId="1A34428A">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493764" w14:textId="77777777" w:rsidR="00530C71" w:rsidRPr="00E81E6A" w:rsidRDefault="00530C71" w:rsidP="002940DF">
                            <w:pPr>
                              <w:pStyle w:val="TitleBarText"/>
                              <w:spacing w:line="320" w:lineRule="exact"/>
                            </w:pPr>
                            <w:r>
                              <w:t>Land Use Victoria</w:t>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EEC0F" id="CoverProjectBar" o:spid="_x0000_s1028" type="#_x0000_t202" alt="Title: Decorative Cover Shape" style="position:absolute;margin-left:28.35pt;margin-top:716.7pt;width:538.6pt;height:3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" fillcolor="#b3272f [3202]" stroked="f" strokeweight=".5pt">
                <v:textbox inset="10mm,0,10mm,0">
                  <w:txbxContent>
                    <w:p w14:paraId="0C493764" w14:textId="77777777" w:rsidR="00530C71" w:rsidRPr="00E81E6A" w:rsidRDefault="00530C71" w:rsidP="002940DF">
                      <w:pPr>
                        <w:pStyle w:val="TitleBarText"/>
                        <w:spacing w:line="320" w:lineRule="exact"/>
                      </w:pPr>
                      <w:r>
                        <w:t>Land Use Victoria</w:t>
                      </w:r>
                    </w:p>
                  </w:txbxContent>
                </v:textbox>
                <w10:wrap anchorx="page" anchory="page"/>
                <w10:anchorlock/>
              </v:shape>
            </w:pict>
          </mc:Fallback>
        </mc:AlternateContent>
      </w:r>
      <w:r w:rsidR="00A56B1E" w:rsidRPr="00D55628">
        <w:rPr>
          <w:noProof/>
          <w:lang w:eastAsia="en-AU"/>
        </w:rPr>
        <mc:AlternateContent>
          <mc:Choice Requires="wps">
            <w:drawing>
              <wp:anchor distT="0" distB="0" distL="114300" distR="114300" simplePos="0" relativeHeight="251652608" behindDoc="1" locked="1" layoutInCell="1" allowOverlap="1" wp14:anchorId="5F727C70" wp14:editId="61E957EF">
                <wp:simplePos x="0" y="0"/>
                <wp:positionH relativeFrom="page">
                  <wp:posOffset>360045</wp:posOffset>
                </wp:positionH>
                <wp:positionV relativeFrom="page">
                  <wp:posOffset>2354580</wp:posOffset>
                </wp:positionV>
                <wp:extent cx="6840000" cy="4752000"/>
                <wp:effectExtent l="0" t="0" r="0" b="0"/>
                <wp:wrapNone/>
                <wp:docPr id="3" name="PicSingle" descr="Cover Image" title="Cover Image"/>
                <wp:cNvGraphicFramePr/>
                <a:graphic xmlns:a="http://schemas.openxmlformats.org/drawingml/2006/main">
                  <a:graphicData uri="http://schemas.microsoft.com/office/word/2010/wordprocessingShape">
                    <wps:wsp>
                      <wps:cNvSpPr/>
                      <wps:spPr>
                        <a:xfrm>
                          <a:off x="0" y="0"/>
                          <a:ext cx="6840000" cy="4752000"/>
                        </a:xfrm>
                        <a:prstGeom prst="rect">
                          <a:avLst/>
                        </a:prstGeom>
                        <a:solidFill>
                          <a:schemeClr val="l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ED296" id="PicSingle" o:spid="_x0000_s1026" alt="Title: Cover Image - Description: Cover Image" style="position:absolute;margin-left:28.35pt;margin-top:185.4pt;width:538.6pt;height:374.1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" fillcolor="white [3201]" stroked="f" strokeweight="2pt">
                <w10:wrap anchorx="page" anchory="page"/>
                <w10:anchorlock/>
              </v:rect>
            </w:pict>
          </mc:Fallback>
        </mc:AlternateContent>
      </w:r>
      <w:r w:rsidR="005A2A5D" w:rsidRPr="00D55628">
        <w:rPr>
          <w:noProof/>
          <w:lang w:eastAsia="en-AU"/>
        </w:rPr>
        <mc:AlternateContent>
          <mc:Choice Requires="wps">
            <w:drawing>
              <wp:anchor distT="0" distB="0" distL="114300" distR="114300" simplePos="0" relativeHeight="251651584" behindDoc="1" locked="1" layoutInCell="1" allowOverlap="1" wp14:anchorId="5699949E" wp14:editId="4FDF67AE">
                <wp:simplePos x="0" y="0"/>
                <wp:positionH relativeFrom="page">
                  <wp:posOffset>360045</wp:posOffset>
                </wp:positionH>
                <wp:positionV relativeFrom="page">
                  <wp:posOffset>360045</wp:posOffset>
                </wp:positionV>
                <wp:extent cx="6840000" cy="87444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0" cy="874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22E2" id="CoverRectangle" o:spid="_x0000_s1026" style="position:absolute;margin-left:28.35pt;margin-top:28.35pt;width:538.6pt;height:688.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qf84TYoCAACMBQAADgAAAAAAAAAAAAAAAAAuAgAAZHJzL2Uyb0RvYy54bWxQSwECLQAU&#10;AAYACAAAACEAGqmiV+AAAAALAQAADwAAAAAAAAAAAAAAAADkBAAAZHJzL2Rvd25yZXYueG1sUEsF&#10;BgAAAAAEAAQA8wAAAPEFAAAAAA==&#10;" fillcolor="#00b2a9 [3204]" stroked="f" strokeweight="2pt">
                <w10:wrap anchorx="page" anchory="page"/>
                <w10:anchorlock/>
              </v:rect>
            </w:pict>
          </mc:Fallback>
        </mc:AlternateContent>
      </w:r>
    </w:p>
    <w:p w14:paraId="00E33623" w14:textId="77777777" w:rsidR="00D73B6C" w:rsidRDefault="00D73B6C"/>
    <w:tbl>
      <w:tblPr>
        <w:tblStyle w:val="TableAsPlaceholder"/>
        <w:tblpPr w:leftFromText="181" w:rightFromText="181" w:vertAnchor="page" w:horzAnchor="margin" w:tblpXSpec="right" w:tblpY="681"/>
        <w:tblOverlap w:val="never"/>
        <w:tblW w:w="7369" w:type="dxa"/>
        <w:tblLayout w:type="fixed"/>
        <w:tblLook w:val="0600" w:firstRow="0" w:lastRow="0" w:firstColumn="0" w:lastColumn="0" w:noHBand="1" w:noVBand="1"/>
      </w:tblPr>
      <w:tblGrid>
        <w:gridCol w:w="7369"/>
      </w:tblGrid>
      <w:tr w:rsidR="00D73B6C" w14:paraId="5751C89B" w14:textId="77777777" w:rsidTr="004D09B3">
        <w:trPr>
          <w:trHeight w:hRule="exact" w:val="2948"/>
        </w:trPr>
        <w:tc>
          <w:tcPr>
            <w:tcW w:w="7369" w:type="dxa"/>
            <w:vAlign w:val="center"/>
          </w:tcPr>
          <w:p w14:paraId="27A09D61" w14:textId="34DAF2AF" w:rsidR="00CB1FB7" w:rsidRDefault="009909F5" w:rsidP="004D09B3">
            <w:pPr>
              <w:pStyle w:val="Title"/>
            </w:pPr>
            <w:r>
              <w:t>Land Registry</w:t>
            </w:r>
            <w:r w:rsidR="004E68E1">
              <w:t xml:space="preserve"> Services Business Activity Report</w:t>
            </w:r>
          </w:p>
          <w:p w14:paraId="57C262B6" w14:textId="4C19C7D4" w:rsidR="00512DFB" w:rsidRPr="00CB1FB7" w:rsidRDefault="00985EBE" w:rsidP="004E68E1">
            <w:pPr>
              <w:pStyle w:val="Subtitle"/>
            </w:pPr>
            <w:r>
              <w:t>201</w:t>
            </w:r>
            <w:r w:rsidR="000508B8">
              <w:t>9</w:t>
            </w:r>
            <w:r>
              <w:t>-20</w:t>
            </w:r>
            <w:r w:rsidR="000508B8">
              <w:t>20</w:t>
            </w:r>
            <w:r w:rsidR="004E68E1">
              <w:t xml:space="preserve"> Financial year</w:t>
            </w:r>
          </w:p>
        </w:tc>
      </w:tr>
    </w:tbl>
    <w:p w14:paraId="7789B46D" w14:textId="77777777" w:rsidR="00D73B6C" w:rsidRDefault="00D73B6C"/>
    <w:p w14:paraId="78DBBCCB" w14:textId="77777777" w:rsidR="00D73B6C" w:rsidRPr="00D55628" w:rsidRDefault="008F0B33">
      <w:r w:rsidRPr="00D55628">
        <w:rPr>
          <w:noProof/>
        </w:rPr>
        <mc:AlternateContent>
          <mc:Choice Requires="wps">
            <w:drawing>
              <wp:anchor distT="0" distB="0" distL="114300" distR="114300" simplePos="0" relativeHeight="251656704" behindDoc="0" locked="0" layoutInCell="1" allowOverlap="1" wp14:anchorId="31D94257" wp14:editId="489961B7">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530C71" w:rsidRPr="00AB780B" w14:paraId="5A1B97D1" w14:textId="77777777" w:rsidTr="00AA4BE4">
                              <w:trPr>
                                <w:trHeight w:hRule="exact" w:val="964"/>
                                <w:tblCellSpacing w:w="71" w:type="dxa"/>
                              </w:trPr>
                              <w:tc>
                                <w:tcPr>
                                  <w:tcW w:w="1204" w:type="dxa"/>
                                  <w:vAlign w:val="bottom"/>
                                </w:tcPr>
                                <w:p w14:paraId="4E6ABA11" w14:textId="77777777" w:rsidR="00530C71" w:rsidRPr="00D55628" w:rsidRDefault="00530C71" w:rsidP="00D55628">
                                  <w:r w:rsidRPr="00D55628">
                                    <w:rPr>
                                      <w:noProof/>
                                    </w:rPr>
                                    <w:drawing>
                                      <wp:inline distT="0" distB="0" distL="0" distR="0" wp14:anchorId="2E56D442" wp14:editId="5419AE55">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3">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6F70EC06" w14:textId="77777777" w:rsidR="00530C71" w:rsidRPr="00D55628" w:rsidRDefault="00530C71" w:rsidP="00D55628">
                                  <w:r w:rsidRPr="00D55628">
                                    <w:rPr>
                                      <w:noProof/>
                                    </w:rPr>
                                    <w:drawing>
                                      <wp:inline distT="0" distB="0" distL="0" distR="0" wp14:anchorId="7841E238" wp14:editId="12907B67">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4">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6F9C0DA8" w14:textId="77777777" w:rsidR="00530C71" w:rsidRDefault="00530C71"/>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94257" id="CoverCoBranded" o:spid="_x0000_s1029" type="#_x0000_t202" alt="Title: CoBranding Logos" style="position:absolute;margin-left:0;margin-top:0;width:371.25pt;height:77.7pt;z-index:251656704;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DF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HW2J8Acqi3yIkA7gNHLW4PNm4mYHkTAiUMqIOnSPX60BQQ/czBLSD8Iv9+7z/o4CPjK2QYn&#10;uOTx10oExZn95nBEzvod/CFn6YRCIOGi2+vhYU6HbmdIOm5VTwH5gBTH3EjMBsnuRR2gfsZVM8kx&#10;8Uk4iZFLnvbiNLVbBVeVVJMJKeGIe5Fm7tHL7DpjnIn51DyL4HfsTcj7O9hPuhi9IXGrmy0dTFYJ&#10;tCGGZ5RbTHfo43og4u9WWd4/r8+kdVy44xc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c3SDF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530C71" w:rsidRPr="00AB780B" w14:paraId="5A1B97D1" w14:textId="77777777" w:rsidTr="00AA4BE4">
                        <w:trPr>
                          <w:trHeight w:hRule="exact" w:val="964"/>
                          <w:tblCellSpacing w:w="71" w:type="dxa"/>
                        </w:trPr>
                        <w:tc>
                          <w:tcPr>
                            <w:tcW w:w="1204" w:type="dxa"/>
                            <w:vAlign w:val="bottom"/>
                          </w:tcPr>
                          <w:p w14:paraId="4E6ABA11" w14:textId="77777777" w:rsidR="00530C71" w:rsidRPr="00D55628" w:rsidRDefault="00530C71" w:rsidP="00D55628">
                            <w:r w:rsidRPr="00D55628">
                              <w:rPr>
                                <w:noProof/>
                              </w:rPr>
                              <w:drawing>
                                <wp:inline distT="0" distB="0" distL="0" distR="0" wp14:anchorId="2E56D442" wp14:editId="5419AE55">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3">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6F70EC06" w14:textId="77777777" w:rsidR="00530C71" w:rsidRPr="00D55628" w:rsidRDefault="00530C71" w:rsidP="00D55628">
                            <w:r w:rsidRPr="00D55628">
                              <w:rPr>
                                <w:noProof/>
                              </w:rPr>
                              <w:drawing>
                                <wp:inline distT="0" distB="0" distL="0" distR="0" wp14:anchorId="7841E238" wp14:editId="12907B67">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4">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6F9C0DA8" w14:textId="77777777" w:rsidR="00530C71" w:rsidRDefault="00530C71"/>
                  </w:txbxContent>
                </v:textbox>
                <w10:wrap anchorx="page" anchory="page"/>
              </v:shape>
            </w:pict>
          </mc:Fallback>
        </mc:AlternateContent>
      </w:r>
    </w:p>
    <w:p w14:paraId="20E6BA0C" w14:textId="77777777" w:rsidR="00D73B6C" w:rsidRPr="00D55628" w:rsidRDefault="00D73B6C">
      <w:pPr>
        <w:sectPr w:rsidR="00D73B6C" w:rsidRPr="00D55628" w:rsidSect="005E59CF">
          <w:headerReference w:type="default" r:id="rId15"/>
          <w:footerReference w:type="even" r:id="rId16"/>
          <w:footerReference w:type="default" r:id="rId17"/>
          <w:footerReference w:type="first" r:id="rId18"/>
          <w:pgSz w:w="11907" w:h="16840" w:code="9"/>
          <w:pgMar w:top="2268" w:right="1134" w:bottom="1134" w:left="1134" w:header="284" w:footer="284" w:gutter="0"/>
          <w:cols w:space="708"/>
          <w:titlePg/>
          <w:docGrid w:linePitch="360"/>
        </w:sectPr>
      </w:pPr>
    </w:p>
    <w:p w14:paraId="4E7C3367" w14:textId="77777777" w:rsidR="003C4209" w:rsidRPr="00D55628" w:rsidRDefault="003C4209" w:rsidP="00D55628">
      <w:pPr>
        <w:pStyle w:val="xDisclaimerText"/>
      </w:pPr>
    </w:p>
    <w:p w14:paraId="0DCCD67B" w14:textId="77777777" w:rsidR="00BF162E"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14:paraId="3D3A8F8F" w14:textId="77777777" w:rsidTr="005E59CF">
        <w:tc>
          <w:tcPr>
            <w:tcW w:w="5000" w:type="pct"/>
            <w:vAlign w:val="bottom"/>
          </w:tcPr>
          <w:p w14:paraId="064CDAEB" w14:textId="49B30A23" w:rsidR="00AE3298" w:rsidRPr="00D55628" w:rsidRDefault="00AE3298" w:rsidP="00D55628">
            <w:pPr>
              <w:pStyle w:val="xDisclaimertext3"/>
            </w:pPr>
            <w:r>
              <w:t>© The State of Victoria Department of Environ</w:t>
            </w:r>
            <w:r w:rsidR="00577016">
              <w:t xml:space="preserve">ment, Land, Water and Planning </w:t>
            </w:r>
            <w:r w:rsidR="00985EBE">
              <w:t>20</w:t>
            </w:r>
            <w:r w:rsidR="000508B8">
              <w:t>20</w:t>
            </w:r>
          </w:p>
          <w:p w14:paraId="4D771F9E" w14:textId="77777777" w:rsidR="00AE3298" w:rsidRPr="00D55628" w:rsidRDefault="00AE3298" w:rsidP="00D55628">
            <w:pPr>
              <w:pStyle w:val="xDisclaimertext3"/>
            </w:pPr>
            <w:r w:rsidRPr="00D55628">
              <w:rPr>
                <w:noProof/>
              </w:rPr>
              <w:drawing>
                <wp:inline distT="0" distB="0" distL="0" distR="0" wp14:anchorId="106128CA" wp14:editId="3F468BB6">
                  <wp:extent cx="658800" cy="237600"/>
                  <wp:effectExtent l="0" t="0" r="8255" b="0"/>
                  <wp:docPr id="18" name="CC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9">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inline>
              </w:drawing>
            </w:r>
            <w:bookmarkStart w:id="0" w:name="_CreativeCommonsMarker"/>
            <w:bookmarkEnd w:id="0"/>
          </w:p>
          <w:p w14:paraId="6E04DDB7" w14:textId="77777777" w:rsidR="00AE3298" w:rsidRPr="00D55628" w:rsidRDefault="00AE3298" w:rsidP="00D55628">
            <w:pPr>
              <w:pStyle w:val="xDisclaimertext3"/>
            </w:pPr>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0" w:history="1">
              <w:r w:rsidR="004D2591" w:rsidRPr="00D55628">
                <w:t>http://creativecommons.org/licenses/by/4.0/</w:t>
              </w:r>
            </w:hyperlink>
            <w:r w:rsidR="004D2591" w:rsidRPr="00D55628">
              <w:t xml:space="preserve"> </w:t>
            </w:r>
          </w:p>
          <w:p w14:paraId="4BBAB635" w14:textId="77777777" w:rsidR="00187A24" w:rsidRPr="00D55628" w:rsidRDefault="00187A24" w:rsidP="00D55628">
            <w:pPr>
              <w:pStyle w:val="xDisclaimerHeading"/>
            </w:pPr>
            <w:r>
              <w:t>Disclaimer</w:t>
            </w:r>
          </w:p>
          <w:p w14:paraId="15A38539" w14:textId="0D779F18" w:rsidR="004D2591" w:rsidRPr="00D55628" w:rsidRDefault="00187A24" w:rsidP="006101D2">
            <w:pPr>
              <w:pStyle w:val="xDisclaimerText"/>
            </w:pPr>
            <w:r>
              <w:t>This publication may be of assistance to you but the State of Victoria</w:t>
            </w:r>
            <w:r w:rsidRPr="00D55628">
              <w:t xml:space="preserve">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r w:rsidR="006101D2" w:rsidRPr="00D55628">
              <w:t xml:space="preserve"> </w:t>
            </w:r>
          </w:p>
        </w:tc>
      </w:tr>
    </w:tbl>
    <w:p w14:paraId="0AA22F1A" w14:textId="77777777" w:rsidR="00AB780B" w:rsidRDefault="00AB780B"/>
    <w:p w14:paraId="0AF5BD3C" w14:textId="77777777" w:rsidR="004561E6" w:rsidRDefault="004561E6">
      <w:pPr>
        <w:sectPr w:rsidR="004561E6" w:rsidSect="005E59CF">
          <w:headerReference w:type="even" r:id="rId21"/>
          <w:footerReference w:type="even" r:id="rId22"/>
          <w:headerReference w:type="first" r:id="rId23"/>
          <w:footerReference w:type="first" r:id="rId24"/>
          <w:pgSz w:w="11907" w:h="16840" w:code="9"/>
          <w:pgMar w:top="2268" w:right="1134" w:bottom="1134" w:left="1134" w:header="284" w:footer="284" w:gutter="0"/>
          <w:cols w:space="708"/>
          <w:titlePg/>
          <w:docGrid w:linePitch="360"/>
        </w:sectPr>
      </w:pPr>
    </w:p>
    <w:p w14:paraId="10695089" w14:textId="77777777" w:rsidR="00004237" w:rsidRPr="00C4364B" w:rsidRDefault="00FB5D61" w:rsidP="00C4364B">
      <w:pPr>
        <w:pStyle w:val="TOCHeading"/>
        <w:framePr w:wrap="around"/>
      </w:pPr>
      <w:r w:rsidRPr="00C4364B">
        <w:t>Contents</w:t>
      </w:r>
      <w:bookmarkStart w:id="1" w:name="_TOCMarker"/>
      <w:bookmarkEnd w:id="1"/>
    </w:p>
    <w:p w14:paraId="1E0D7D2D" w14:textId="32186567" w:rsidR="00414056" w:rsidRDefault="00737EFF">
      <w:pPr>
        <w:pStyle w:val="TOC1"/>
        <w:rPr>
          <w:rFonts w:eastAsiaTheme="minorEastAsia" w:cstheme="minorBidi"/>
          <w:b w:val="0"/>
          <w:color w:val="auto"/>
          <w:sz w:val="22"/>
          <w:szCs w:val="22"/>
        </w:rPr>
      </w:pPr>
      <w:r>
        <w:rPr>
          <w:b w:val="0"/>
        </w:rPr>
        <w:fldChar w:fldCharType="begin"/>
      </w:r>
      <w:r>
        <w:rPr>
          <w:b w:val="0"/>
        </w:rPr>
        <w:instrText xml:space="preserve"> TOC \o "1-3" \h \z \t "Heading 8,8,Section Heading,5" </w:instrText>
      </w:r>
      <w:r>
        <w:rPr>
          <w:b w:val="0"/>
        </w:rPr>
        <w:fldChar w:fldCharType="separate"/>
      </w:r>
      <w:hyperlink w:anchor="_Toc46822569" w:history="1">
        <w:r w:rsidR="00414056" w:rsidRPr="00CF7CD0">
          <w:rPr>
            <w:rStyle w:val="Hyperlink"/>
          </w:rPr>
          <w:t>Land Registry Services</w:t>
        </w:r>
        <w:r w:rsidR="00414056">
          <w:rPr>
            <w:webHidden/>
          </w:rPr>
          <w:tab/>
        </w:r>
        <w:r w:rsidR="00414056">
          <w:rPr>
            <w:webHidden/>
          </w:rPr>
          <w:fldChar w:fldCharType="begin"/>
        </w:r>
        <w:r w:rsidR="00414056">
          <w:rPr>
            <w:webHidden/>
          </w:rPr>
          <w:instrText xml:space="preserve"> PAGEREF _Toc46822569 \h </w:instrText>
        </w:r>
        <w:r w:rsidR="00414056">
          <w:rPr>
            <w:webHidden/>
          </w:rPr>
        </w:r>
        <w:r w:rsidR="00414056">
          <w:rPr>
            <w:webHidden/>
          </w:rPr>
          <w:fldChar w:fldCharType="separate"/>
        </w:r>
        <w:r w:rsidR="00414056">
          <w:rPr>
            <w:webHidden/>
          </w:rPr>
          <w:t>3</w:t>
        </w:r>
        <w:r w:rsidR="00414056">
          <w:rPr>
            <w:webHidden/>
          </w:rPr>
          <w:fldChar w:fldCharType="end"/>
        </w:r>
      </w:hyperlink>
    </w:p>
    <w:p w14:paraId="0687F953" w14:textId="5EAD9531" w:rsidR="00414056" w:rsidRDefault="00660D13">
      <w:pPr>
        <w:pStyle w:val="TOC2"/>
        <w:rPr>
          <w:rFonts w:eastAsiaTheme="minorEastAsia" w:cstheme="minorBidi"/>
          <w:b w:val="0"/>
          <w:color w:val="auto"/>
          <w:sz w:val="22"/>
          <w:szCs w:val="22"/>
        </w:rPr>
      </w:pPr>
      <w:hyperlink w:anchor="_Toc46822570" w:history="1">
        <w:r w:rsidR="00414056" w:rsidRPr="00CF7CD0">
          <w:rPr>
            <w:rStyle w:val="Hyperlink"/>
          </w:rPr>
          <w:t>Business activity report 2019–2020 financial year</w:t>
        </w:r>
        <w:r w:rsidR="00414056">
          <w:rPr>
            <w:webHidden/>
          </w:rPr>
          <w:tab/>
        </w:r>
        <w:r w:rsidR="00414056">
          <w:rPr>
            <w:webHidden/>
          </w:rPr>
          <w:fldChar w:fldCharType="begin"/>
        </w:r>
        <w:r w:rsidR="00414056">
          <w:rPr>
            <w:webHidden/>
          </w:rPr>
          <w:instrText xml:space="preserve"> PAGEREF _Toc46822570 \h </w:instrText>
        </w:r>
        <w:r w:rsidR="00414056">
          <w:rPr>
            <w:webHidden/>
          </w:rPr>
        </w:r>
        <w:r w:rsidR="00414056">
          <w:rPr>
            <w:webHidden/>
          </w:rPr>
          <w:fldChar w:fldCharType="separate"/>
        </w:r>
        <w:r w:rsidR="00414056">
          <w:rPr>
            <w:webHidden/>
          </w:rPr>
          <w:t>3</w:t>
        </w:r>
        <w:r w:rsidR="00414056">
          <w:rPr>
            <w:webHidden/>
          </w:rPr>
          <w:fldChar w:fldCharType="end"/>
        </w:r>
      </w:hyperlink>
    </w:p>
    <w:p w14:paraId="29748DB1" w14:textId="68A1284A" w:rsidR="00414056" w:rsidRDefault="00660D13">
      <w:pPr>
        <w:pStyle w:val="TOC1"/>
        <w:rPr>
          <w:rFonts w:eastAsiaTheme="minorEastAsia" w:cstheme="minorBidi"/>
          <w:b w:val="0"/>
          <w:color w:val="auto"/>
          <w:sz w:val="22"/>
          <w:szCs w:val="22"/>
        </w:rPr>
      </w:pPr>
      <w:hyperlink w:anchor="_Toc46822571" w:history="1">
        <w:r w:rsidR="00414056" w:rsidRPr="00CF7CD0">
          <w:rPr>
            <w:rStyle w:val="Hyperlink"/>
          </w:rPr>
          <w:t>Lodgements</w:t>
        </w:r>
        <w:r w:rsidR="00414056">
          <w:rPr>
            <w:webHidden/>
          </w:rPr>
          <w:tab/>
        </w:r>
        <w:r w:rsidR="00414056">
          <w:rPr>
            <w:webHidden/>
          </w:rPr>
          <w:fldChar w:fldCharType="begin"/>
        </w:r>
        <w:r w:rsidR="00414056">
          <w:rPr>
            <w:webHidden/>
          </w:rPr>
          <w:instrText xml:space="preserve"> PAGEREF _Toc46822571 \h </w:instrText>
        </w:r>
        <w:r w:rsidR="00414056">
          <w:rPr>
            <w:webHidden/>
          </w:rPr>
        </w:r>
        <w:r w:rsidR="00414056">
          <w:rPr>
            <w:webHidden/>
          </w:rPr>
          <w:fldChar w:fldCharType="separate"/>
        </w:r>
        <w:r w:rsidR="00414056">
          <w:rPr>
            <w:webHidden/>
          </w:rPr>
          <w:t>4</w:t>
        </w:r>
        <w:r w:rsidR="00414056">
          <w:rPr>
            <w:webHidden/>
          </w:rPr>
          <w:fldChar w:fldCharType="end"/>
        </w:r>
      </w:hyperlink>
    </w:p>
    <w:p w14:paraId="776C7D0A" w14:textId="5D2DAFBD" w:rsidR="00414056" w:rsidRDefault="00660D13">
      <w:pPr>
        <w:pStyle w:val="TOC2"/>
        <w:rPr>
          <w:rFonts w:eastAsiaTheme="minorEastAsia" w:cstheme="minorBidi"/>
          <w:b w:val="0"/>
          <w:color w:val="auto"/>
          <w:sz w:val="22"/>
          <w:szCs w:val="22"/>
        </w:rPr>
      </w:pPr>
      <w:hyperlink w:anchor="_Toc46822572" w:history="1">
        <w:r w:rsidR="00414056" w:rsidRPr="00CF7CD0">
          <w:rPr>
            <w:rStyle w:val="Hyperlink"/>
          </w:rPr>
          <w:t>Number of dealings lodged</w:t>
        </w:r>
        <w:r w:rsidR="00414056">
          <w:rPr>
            <w:webHidden/>
          </w:rPr>
          <w:tab/>
        </w:r>
        <w:r w:rsidR="00414056">
          <w:rPr>
            <w:webHidden/>
          </w:rPr>
          <w:fldChar w:fldCharType="begin"/>
        </w:r>
        <w:r w:rsidR="00414056">
          <w:rPr>
            <w:webHidden/>
          </w:rPr>
          <w:instrText xml:space="preserve"> PAGEREF _Toc46822572 \h </w:instrText>
        </w:r>
        <w:r w:rsidR="00414056">
          <w:rPr>
            <w:webHidden/>
          </w:rPr>
        </w:r>
        <w:r w:rsidR="00414056">
          <w:rPr>
            <w:webHidden/>
          </w:rPr>
          <w:fldChar w:fldCharType="separate"/>
        </w:r>
        <w:r w:rsidR="00414056">
          <w:rPr>
            <w:webHidden/>
          </w:rPr>
          <w:t>4</w:t>
        </w:r>
        <w:r w:rsidR="00414056">
          <w:rPr>
            <w:webHidden/>
          </w:rPr>
          <w:fldChar w:fldCharType="end"/>
        </w:r>
      </w:hyperlink>
    </w:p>
    <w:p w14:paraId="1805DC40" w14:textId="3681636B" w:rsidR="00414056" w:rsidRDefault="00660D13">
      <w:pPr>
        <w:pStyle w:val="TOC1"/>
        <w:rPr>
          <w:rFonts w:eastAsiaTheme="minorEastAsia" w:cstheme="minorBidi"/>
          <w:b w:val="0"/>
          <w:color w:val="auto"/>
          <w:sz w:val="22"/>
          <w:szCs w:val="22"/>
        </w:rPr>
      </w:pPr>
      <w:hyperlink w:anchor="_Toc46822573" w:history="1">
        <w:r w:rsidR="00414056" w:rsidRPr="00CF7CD0">
          <w:rPr>
            <w:rStyle w:val="Hyperlink"/>
          </w:rPr>
          <w:t>Yearly lodgements (1945–2020)</w:t>
        </w:r>
        <w:r w:rsidR="00414056">
          <w:rPr>
            <w:webHidden/>
          </w:rPr>
          <w:tab/>
        </w:r>
        <w:r w:rsidR="00414056">
          <w:rPr>
            <w:webHidden/>
          </w:rPr>
          <w:fldChar w:fldCharType="begin"/>
        </w:r>
        <w:r w:rsidR="00414056">
          <w:rPr>
            <w:webHidden/>
          </w:rPr>
          <w:instrText xml:space="preserve"> PAGEREF _Toc46822573 \h </w:instrText>
        </w:r>
        <w:r w:rsidR="00414056">
          <w:rPr>
            <w:webHidden/>
          </w:rPr>
        </w:r>
        <w:r w:rsidR="00414056">
          <w:rPr>
            <w:webHidden/>
          </w:rPr>
          <w:fldChar w:fldCharType="separate"/>
        </w:r>
        <w:r w:rsidR="00414056">
          <w:rPr>
            <w:webHidden/>
          </w:rPr>
          <w:t>5</w:t>
        </w:r>
        <w:r w:rsidR="00414056">
          <w:rPr>
            <w:webHidden/>
          </w:rPr>
          <w:fldChar w:fldCharType="end"/>
        </w:r>
      </w:hyperlink>
    </w:p>
    <w:p w14:paraId="33DF4137" w14:textId="7531097D" w:rsidR="00414056" w:rsidRDefault="00660D13">
      <w:pPr>
        <w:pStyle w:val="TOC1"/>
        <w:rPr>
          <w:rFonts w:eastAsiaTheme="minorEastAsia" w:cstheme="minorBidi"/>
          <w:b w:val="0"/>
          <w:color w:val="auto"/>
          <w:sz w:val="22"/>
          <w:szCs w:val="22"/>
        </w:rPr>
      </w:pPr>
      <w:hyperlink w:anchor="_Toc46822574" w:history="1">
        <w:r w:rsidR="00414056" w:rsidRPr="00CF7CD0">
          <w:rPr>
            <w:rStyle w:val="Hyperlink"/>
          </w:rPr>
          <w:t>Monthly lodgements</w:t>
        </w:r>
        <w:r w:rsidR="00414056">
          <w:rPr>
            <w:webHidden/>
          </w:rPr>
          <w:tab/>
        </w:r>
        <w:r w:rsidR="00414056">
          <w:rPr>
            <w:webHidden/>
          </w:rPr>
          <w:fldChar w:fldCharType="begin"/>
        </w:r>
        <w:r w:rsidR="00414056">
          <w:rPr>
            <w:webHidden/>
          </w:rPr>
          <w:instrText xml:space="preserve"> PAGEREF _Toc46822574 \h </w:instrText>
        </w:r>
        <w:r w:rsidR="00414056">
          <w:rPr>
            <w:webHidden/>
          </w:rPr>
        </w:r>
        <w:r w:rsidR="00414056">
          <w:rPr>
            <w:webHidden/>
          </w:rPr>
          <w:fldChar w:fldCharType="separate"/>
        </w:r>
        <w:r w:rsidR="00414056">
          <w:rPr>
            <w:webHidden/>
          </w:rPr>
          <w:t>6</w:t>
        </w:r>
        <w:r w:rsidR="00414056">
          <w:rPr>
            <w:webHidden/>
          </w:rPr>
          <w:fldChar w:fldCharType="end"/>
        </w:r>
      </w:hyperlink>
    </w:p>
    <w:p w14:paraId="16D5BD24" w14:textId="66C47251" w:rsidR="00414056" w:rsidRDefault="00660D13">
      <w:pPr>
        <w:pStyle w:val="TOC1"/>
        <w:rPr>
          <w:rFonts w:eastAsiaTheme="minorEastAsia" w:cstheme="minorBidi"/>
          <w:b w:val="0"/>
          <w:color w:val="auto"/>
          <w:sz w:val="22"/>
          <w:szCs w:val="22"/>
        </w:rPr>
      </w:pPr>
      <w:hyperlink w:anchor="_Toc46822575" w:history="1">
        <w:r w:rsidR="00414056" w:rsidRPr="00CF7CD0">
          <w:rPr>
            <w:rStyle w:val="Hyperlink"/>
          </w:rPr>
          <w:t>Average daily lodgements (with trend line)</w:t>
        </w:r>
        <w:r w:rsidR="00414056">
          <w:rPr>
            <w:webHidden/>
          </w:rPr>
          <w:tab/>
        </w:r>
        <w:r w:rsidR="00414056">
          <w:rPr>
            <w:webHidden/>
          </w:rPr>
          <w:fldChar w:fldCharType="begin"/>
        </w:r>
        <w:r w:rsidR="00414056">
          <w:rPr>
            <w:webHidden/>
          </w:rPr>
          <w:instrText xml:space="preserve"> PAGEREF _Toc46822575 \h </w:instrText>
        </w:r>
        <w:r w:rsidR="00414056">
          <w:rPr>
            <w:webHidden/>
          </w:rPr>
        </w:r>
        <w:r w:rsidR="00414056">
          <w:rPr>
            <w:webHidden/>
          </w:rPr>
          <w:fldChar w:fldCharType="separate"/>
        </w:r>
        <w:r w:rsidR="00414056">
          <w:rPr>
            <w:webHidden/>
          </w:rPr>
          <w:t>7</w:t>
        </w:r>
        <w:r w:rsidR="00414056">
          <w:rPr>
            <w:webHidden/>
          </w:rPr>
          <w:fldChar w:fldCharType="end"/>
        </w:r>
      </w:hyperlink>
    </w:p>
    <w:p w14:paraId="20C5BF9C" w14:textId="63AA32C9" w:rsidR="00414056" w:rsidRDefault="00660D13">
      <w:pPr>
        <w:pStyle w:val="TOC1"/>
        <w:rPr>
          <w:rFonts w:eastAsiaTheme="minorEastAsia" w:cstheme="minorBidi"/>
          <w:b w:val="0"/>
          <w:color w:val="auto"/>
          <w:sz w:val="22"/>
          <w:szCs w:val="22"/>
        </w:rPr>
      </w:pPr>
      <w:hyperlink w:anchor="_Toc46822576" w:history="1">
        <w:r w:rsidR="00414056" w:rsidRPr="00CF7CD0">
          <w:rPr>
            <w:rStyle w:val="Hyperlink"/>
          </w:rPr>
          <w:t>Financial year lodgements from 2011-2012 to 2019-2020 (by month)</w:t>
        </w:r>
        <w:r w:rsidR="00414056">
          <w:rPr>
            <w:webHidden/>
          </w:rPr>
          <w:tab/>
        </w:r>
        <w:r w:rsidR="00414056">
          <w:rPr>
            <w:webHidden/>
          </w:rPr>
          <w:fldChar w:fldCharType="begin"/>
        </w:r>
        <w:r w:rsidR="00414056">
          <w:rPr>
            <w:webHidden/>
          </w:rPr>
          <w:instrText xml:space="preserve"> PAGEREF _Toc46822576 \h </w:instrText>
        </w:r>
        <w:r w:rsidR="00414056">
          <w:rPr>
            <w:webHidden/>
          </w:rPr>
        </w:r>
        <w:r w:rsidR="00414056">
          <w:rPr>
            <w:webHidden/>
          </w:rPr>
          <w:fldChar w:fldCharType="separate"/>
        </w:r>
        <w:r w:rsidR="00414056">
          <w:rPr>
            <w:webHidden/>
          </w:rPr>
          <w:t>8</w:t>
        </w:r>
        <w:r w:rsidR="00414056">
          <w:rPr>
            <w:webHidden/>
          </w:rPr>
          <w:fldChar w:fldCharType="end"/>
        </w:r>
      </w:hyperlink>
    </w:p>
    <w:p w14:paraId="5D54799E" w14:textId="0AA7E814" w:rsidR="00414056" w:rsidRDefault="00660D13">
      <w:pPr>
        <w:pStyle w:val="TOC1"/>
        <w:rPr>
          <w:rFonts w:eastAsiaTheme="minorEastAsia" w:cstheme="minorBidi"/>
          <w:b w:val="0"/>
          <w:color w:val="auto"/>
          <w:sz w:val="22"/>
          <w:szCs w:val="22"/>
        </w:rPr>
      </w:pPr>
      <w:hyperlink w:anchor="_Toc46822577" w:history="1">
        <w:r w:rsidR="00414056" w:rsidRPr="00CF7CD0">
          <w:rPr>
            <w:rStyle w:val="Hyperlink"/>
          </w:rPr>
          <w:t>Search</w:t>
        </w:r>
        <w:r w:rsidR="00414056">
          <w:rPr>
            <w:webHidden/>
          </w:rPr>
          <w:tab/>
        </w:r>
        <w:r w:rsidR="00414056">
          <w:rPr>
            <w:webHidden/>
          </w:rPr>
          <w:fldChar w:fldCharType="begin"/>
        </w:r>
        <w:r w:rsidR="00414056">
          <w:rPr>
            <w:webHidden/>
          </w:rPr>
          <w:instrText xml:space="preserve"> PAGEREF _Toc46822577 \h </w:instrText>
        </w:r>
        <w:r w:rsidR="00414056">
          <w:rPr>
            <w:webHidden/>
          </w:rPr>
        </w:r>
        <w:r w:rsidR="00414056">
          <w:rPr>
            <w:webHidden/>
          </w:rPr>
          <w:fldChar w:fldCharType="separate"/>
        </w:r>
        <w:r w:rsidR="00414056">
          <w:rPr>
            <w:webHidden/>
          </w:rPr>
          <w:t>9</w:t>
        </w:r>
        <w:r w:rsidR="00414056">
          <w:rPr>
            <w:webHidden/>
          </w:rPr>
          <w:fldChar w:fldCharType="end"/>
        </w:r>
      </w:hyperlink>
    </w:p>
    <w:p w14:paraId="0CCA9A36" w14:textId="1FEA8F0F" w:rsidR="00414056" w:rsidRDefault="00660D13">
      <w:pPr>
        <w:pStyle w:val="TOC2"/>
        <w:rPr>
          <w:rFonts w:eastAsiaTheme="minorEastAsia" w:cstheme="minorBidi"/>
          <w:b w:val="0"/>
          <w:color w:val="auto"/>
          <w:sz w:val="22"/>
          <w:szCs w:val="22"/>
        </w:rPr>
      </w:pPr>
      <w:hyperlink w:anchor="_Toc46822578" w:history="1">
        <w:r w:rsidR="00414056" w:rsidRPr="00CF7CD0">
          <w:rPr>
            <w:rStyle w:val="Hyperlink"/>
          </w:rPr>
          <w:t>Title searches</w:t>
        </w:r>
        <w:r w:rsidR="00414056">
          <w:rPr>
            <w:webHidden/>
          </w:rPr>
          <w:tab/>
        </w:r>
        <w:r w:rsidR="00414056">
          <w:rPr>
            <w:webHidden/>
          </w:rPr>
          <w:fldChar w:fldCharType="begin"/>
        </w:r>
        <w:r w:rsidR="00414056">
          <w:rPr>
            <w:webHidden/>
          </w:rPr>
          <w:instrText xml:space="preserve"> PAGEREF _Toc46822578 \h </w:instrText>
        </w:r>
        <w:r w:rsidR="00414056">
          <w:rPr>
            <w:webHidden/>
          </w:rPr>
        </w:r>
        <w:r w:rsidR="00414056">
          <w:rPr>
            <w:webHidden/>
          </w:rPr>
          <w:fldChar w:fldCharType="separate"/>
        </w:r>
        <w:r w:rsidR="00414056">
          <w:rPr>
            <w:webHidden/>
          </w:rPr>
          <w:t>9</w:t>
        </w:r>
        <w:r w:rsidR="00414056">
          <w:rPr>
            <w:webHidden/>
          </w:rPr>
          <w:fldChar w:fldCharType="end"/>
        </w:r>
      </w:hyperlink>
    </w:p>
    <w:p w14:paraId="538ACE1A" w14:textId="31A361EA" w:rsidR="00414056" w:rsidRDefault="00660D13">
      <w:pPr>
        <w:pStyle w:val="TOC2"/>
        <w:rPr>
          <w:rFonts w:eastAsiaTheme="minorEastAsia" w:cstheme="minorBidi"/>
          <w:b w:val="0"/>
          <w:color w:val="auto"/>
          <w:sz w:val="22"/>
          <w:szCs w:val="22"/>
        </w:rPr>
      </w:pPr>
      <w:hyperlink w:anchor="_Toc46822579" w:history="1">
        <w:r w:rsidR="00414056" w:rsidRPr="00CF7CD0">
          <w:rPr>
            <w:rStyle w:val="Hyperlink"/>
          </w:rPr>
          <w:t>Financial year title searches (by month)</w:t>
        </w:r>
        <w:r w:rsidR="00414056">
          <w:rPr>
            <w:webHidden/>
          </w:rPr>
          <w:tab/>
        </w:r>
        <w:r w:rsidR="00414056">
          <w:rPr>
            <w:webHidden/>
          </w:rPr>
          <w:fldChar w:fldCharType="begin"/>
        </w:r>
        <w:r w:rsidR="00414056">
          <w:rPr>
            <w:webHidden/>
          </w:rPr>
          <w:instrText xml:space="preserve"> PAGEREF _Toc46822579 \h </w:instrText>
        </w:r>
        <w:r w:rsidR="00414056">
          <w:rPr>
            <w:webHidden/>
          </w:rPr>
        </w:r>
        <w:r w:rsidR="00414056">
          <w:rPr>
            <w:webHidden/>
          </w:rPr>
          <w:fldChar w:fldCharType="separate"/>
        </w:r>
        <w:r w:rsidR="00414056">
          <w:rPr>
            <w:webHidden/>
          </w:rPr>
          <w:t>10</w:t>
        </w:r>
        <w:r w:rsidR="00414056">
          <w:rPr>
            <w:webHidden/>
          </w:rPr>
          <w:fldChar w:fldCharType="end"/>
        </w:r>
      </w:hyperlink>
    </w:p>
    <w:p w14:paraId="0F119609" w14:textId="162B8F0F" w:rsidR="00414056" w:rsidRDefault="00660D13">
      <w:pPr>
        <w:pStyle w:val="TOC2"/>
        <w:rPr>
          <w:rFonts w:eastAsiaTheme="minorEastAsia" w:cstheme="minorBidi"/>
          <w:b w:val="0"/>
          <w:color w:val="auto"/>
          <w:sz w:val="22"/>
          <w:szCs w:val="22"/>
        </w:rPr>
      </w:pPr>
      <w:hyperlink w:anchor="_Toc46822580" w:history="1">
        <w:r w:rsidR="00414056" w:rsidRPr="00CF7CD0">
          <w:rPr>
            <w:rStyle w:val="Hyperlink"/>
          </w:rPr>
          <w:t>Planning certificates</w:t>
        </w:r>
        <w:r w:rsidR="00414056">
          <w:rPr>
            <w:webHidden/>
          </w:rPr>
          <w:tab/>
        </w:r>
        <w:r w:rsidR="00414056">
          <w:rPr>
            <w:webHidden/>
          </w:rPr>
          <w:fldChar w:fldCharType="begin"/>
        </w:r>
        <w:r w:rsidR="00414056">
          <w:rPr>
            <w:webHidden/>
          </w:rPr>
          <w:instrText xml:space="preserve"> PAGEREF _Toc46822580 \h </w:instrText>
        </w:r>
        <w:r w:rsidR="00414056">
          <w:rPr>
            <w:webHidden/>
          </w:rPr>
        </w:r>
        <w:r w:rsidR="00414056">
          <w:rPr>
            <w:webHidden/>
          </w:rPr>
          <w:fldChar w:fldCharType="separate"/>
        </w:r>
        <w:r w:rsidR="00414056">
          <w:rPr>
            <w:webHidden/>
          </w:rPr>
          <w:t>11</w:t>
        </w:r>
        <w:r w:rsidR="00414056">
          <w:rPr>
            <w:webHidden/>
          </w:rPr>
          <w:fldChar w:fldCharType="end"/>
        </w:r>
      </w:hyperlink>
    </w:p>
    <w:p w14:paraId="30B5A1E6" w14:textId="4325D1DB" w:rsidR="00414056" w:rsidRDefault="00660D13">
      <w:pPr>
        <w:pStyle w:val="TOC2"/>
        <w:rPr>
          <w:rFonts w:eastAsiaTheme="minorEastAsia" w:cstheme="minorBidi"/>
          <w:b w:val="0"/>
          <w:color w:val="auto"/>
          <w:sz w:val="22"/>
          <w:szCs w:val="22"/>
        </w:rPr>
      </w:pPr>
      <w:hyperlink w:anchor="_Toc46822581" w:history="1">
        <w:r w:rsidR="00414056" w:rsidRPr="00CF7CD0">
          <w:rPr>
            <w:rStyle w:val="Hyperlink"/>
          </w:rPr>
          <w:t>Instrument searches</w:t>
        </w:r>
        <w:r w:rsidR="00414056">
          <w:rPr>
            <w:webHidden/>
          </w:rPr>
          <w:tab/>
        </w:r>
        <w:r w:rsidR="00414056">
          <w:rPr>
            <w:webHidden/>
          </w:rPr>
          <w:fldChar w:fldCharType="begin"/>
        </w:r>
        <w:r w:rsidR="00414056">
          <w:rPr>
            <w:webHidden/>
          </w:rPr>
          <w:instrText xml:space="preserve"> PAGEREF _Toc46822581 \h </w:instrText>
        </w:r>
        <w:r w:rsidR="00414056">
          <w:rPr>
            <w:webHidden/>
          </w:rPr>
        </w:r>
        <w:r w:rsidR="00414056">
          <w:rPr>
            <w:webHidden/>
          </w:rPr>
          <w:fldChar w:fldCharType="separate"/>
        </w:r>
        <w:r w:rsidR="00414056">
          <w:rPr>
            <w:webHidden/>
          </w:rPr>
          <w:t>11</w:t>
        </w:r>
        <w:r w:rsidR="00414056">
          <w:rPr>
            <w:webHidden/>
          </w:rPr>
          <w:fldChar w:fldCharType="end"/>
        </w:r>
      </w:hyperlink>
    </w:p>
    <w:p w14:paraId="4310CB19" w14:textId="1826F417" w:rsidR="00414056" w:rsidRDefault="00660D13">
      <w:pPr>
        <w:pStyle w:val="TOC2"/>
        <w:rPr>
          <w:rFonts w:eastAsiaTheme="minorEastAsia" w:cstheme="minorBidi"/>
          <w:b w:val="0"/>
          <w:color w:val="auto"/>
          <w:sz w:val="22"/>
          <w:szCs w:val="22"/>
        </w:rPr>
      </w:pPr>
      <w:hyperlink w:anchor="_Toc46822582" w:history="1">
        <w:r w:rsidR="00414056" w:rsidRPr="00CF7CD0">
          <w:rPr>
            <w:rStyle w:val="Hyperlink"/>
          </w:rPr>
          <w:t>Land Index searches</w:t>
        </w:r>
        <w:r w:rsidR="00414056">
          <w:rPr>
            <w:webHidden/>
          </w:rPr>
          <w:tab/>
        </w:r>
        <w:r w:rsidR="00414056">
          <w:rPr>
            <w:webHidden/>
          </w:rPr>
          <w:fldChar w:fldCharType="begin"/>
        </w:r>
        <w:r w:rsidR="00414056">
          <w:rPr>
            <w:webHidden/>
          </w:rPr>
          <w:instrText xml:space="preserve"> PAGEREF _Toc46822582 \h </w:instrText>
        </w:r>
        <w:r w:rsidR="00414056">
          <w:rPr>
            <w:webHidden/>
          </w:rPr>
        </w:r>
        <w:r w:rsidR="00414056">
          <w:rPr>
            <w:webHidden/>
          </w:rPr>
          <w:fldChar w:fldCharType="separate"/>
        </w:r>
        <w:r w:rsidR="00414056">
          <w:rPr>
            <w:webHidden/>
          </w:rPr>
          <w:t>12</w:t>
        </w:r>
        <w:r w:rsidR="00414056">
          <w:rPr>
            <w:webHidden/>
          </w:rPr>
          <w:fldChar w:fldCharType="end"/>
        </w:r>
      </w:hyperlink>
    </w:p>
    <w:p w14:paraId="764C500D" w14:textId="1C4C840A" w:rsidR="00414056" w:rsidRDefault="00660D13">
      <w:pPr>
        <w:pStyle w:val="TOC2"/>
        <w:rPr>
          <w:rFonts w:eastAsiaTheme="minorEastAsia" w:cstheme="minorBidi"/>
          <w:b w:val="0"/>
          <w:color w:val="auto"/>
          <w:sz w:val="22"/>
          <w:szCs w:val="22"/>
        </w:rPr>
      </w:pPr>
      <w:hyperlink w:anchor="_Toc46822583" w:history="1">
        <w:r w:rsidR="00414056" w:rsidRPr="00CF7CD0">
          <w:rPr>
            <w:rStyle w:val="Hyperlink"/>
          </w:rPr>
          <w:t>Lodgement and Support Services 1 (LSS1)</w:t>
        </w:r>
        <w:r w:rsidR="00414056">
          <w:rPr>
            <w:webHidden/>
          </w:rPr>
          <w:tab/>
        </w:r>
        <w:r w:rsidR="00414056">
          <w:rPr>
            <w:webHidden/>
          </w:rPr>
          <w:fldChar w:fldCharType="begin"/>
        </w:r>
        <w:r w:rsidR="00414056">
          <w:rPr>
            <w:webHidden/>
          </w:rPr>
          <w:instrText xml:space="preserve"> PAGEREF _Toc46822583 \h </w:instrText>
        </w:r>
        <w:r w:rsidR="00414056">
          <w:rPr>
            <w:webHidden/>
          </w:rPr>
        </w:r>
        <w:r w:rsidR="00414056">
          <w:rPr>
            <w:webHidden/>
          </w:rPr>
          <w:fldChar w:fldCharType="separate"/>
        </w:r>
        <w:r w:rsidR="00414056">
          <w:rPr>
            <w:webHidden/>
          </w:rPr>
          <w:t>13</w:t>
        </w:r>
        <w:r w:rsidR="00414056">
          <w:rPr>
            <w:webHidden/>
          </w:rPr>
          <w:fldChar w:fldCharType="end"/>
        </w:r>
      </w:hyperlink>
    </w:p>
    <w:p w14:paraId="68A7F7FC" w14:textId="424BBDC7" w:rsidR="00414056" w:rsidRDefault="00660D13">
      <w:pPr>
        <w:pStyle w:val="TOC1"/>
        <w:rPr>
          <w:rFonts w:eastAsiaTheme="minorEastAsia" w:cstheme="minorBidi"/>
          <w:b w:val="0"/>
          <w:color w:val="auto"/>
          <w:sz w:val="22"/>
          <w:szCs w:val="22"/>
        </w:rPr>
      </w:pPr>
      <w:hyperlink w:anchor="_Toc46822584" w:history="1">
        <w:r w:rsidR="00414056" w:rsidRPr="00CF7CD0">
          <w:rPr>
            <w:rStyle w:val="Hyperlink"/>
          </w:rPr>
          <w:t>Landata Statistic</w:t>
        </w:r>
        <w:r w:rsidR="00AC533C">
          <w:rPr>
            <w:rStyle w:val="Hyperlink"/>
          </w:rPr>
          <w:t>s</w:t>
        </w:r>
        <w:r w:rsidR="00414056" w:rsidRPr="00CF7CD0">
          <w:rPr>
            <w:rStyle w:val="Hyperlink"/>
          </w:rPr>
          <w:t xml:space="preserve"> with trend line</w:t>
        </w:r>
        <w:r w:rsidR="00AC533C">
          <w:rPr>
            <w:rStyle w:val="Hyperlink"/>
          </w:rPr>
          <w:t>s</w:t>
        </w:r>
        <w:r w:rsidR="00414056">
          <w:rPr>
            <w:webHidden/>
          </w:rPr>
          <w:tab/>
        </w:r>
        <w:r w:rsidR="00414056">
          <w:rPr>
            <w:webHidden/>
          </w:rPr>
          <w:fldChar w:fldCharType="begin"/>
        </w:r>
        <w:r w:rsidR="00414056">
          <w:rPr>
            <w:webHidden/>
          </w:rPr>
          <w:instrText xml:space="preserve"> PAGEREF _Toc46822584 \h </w:instrText>
        </w:r>
        <w:r w:rsidR="00414056">
          <w:rPr>
            <w:webHidden/>
          </w:rPr>
        </w:r>
        <w:r w:rsidR="00414056">
          <w:rPr>
            <w:webHidden/>
          </w:rPr>
          <w:fldChar w:fldCharType="separate"/>
        </w:r>
        <w:r w:rsidR="00414056">
          <w:rPr>
            <w:webHidden/>
          </w:rPr>
          <w:t>13</w:t>
        </w:r>
        <w:r w:rsidR="00414056">
          <w:rPr>
            <w:webHidden/>
          </w:rPr>
          <w:fldChar w:fldCharType="end"/>
        </w:r>
      </w:hyperlink>
    </w:p>
    <w:p w14:paraId="0EE162BB" w14:textId="795BBBAA" w:rsidR="00414056" w:rsidRDefault="00660D13">
      <w:pPr>
        <w:pStyle w:val="TOC2"/>
        <w:rPr>
          <w:rFonts w:eastAsiaTheme="minorEastAsia" w:cstheme="minorBidi"/>
          <w:b w:val="0"/>
          <w:color w:val="auto"/>
          <w:sz w:val="22"/>
          <w:szCs w:val="22"/>
        </w:rPr>
      </w:pPr>
      <w:hyperlink w:anchor="_Toc46822585" w:history="1">
        <w:r w:rsidR="00414056" w:rsidRPr="00CF7CD0">
          <w:rPr>
            <w:rStyle w:val="Hyperlink"/>
          </w:rPr>
          <w:t>Water share transactions</w:t>
        </w:r>
        <w:r w:rsidR="00414056">
          <w:rPr>
            <w:webHidden/>
          </w:rPr>
          <w:tab/>
        </w:r>
        <w:r w:rsidR="00414056">
          <w:rPr>
            <w:webHidden/>
          </w:rPr>
          <w:fldChar w:fldCharType="begin"/>
        </w:r>
        <w:r w:rsidR="00414056">
          <w:rPr>
            <w:webHidden/>
          </w:rPr>
          <w:instrText xml:space="preserve"> PAGEREF _Toc46822585 \h </w:instrText>
        </w:r>
        <w:r w:rsidR="00414056">
          <w:rPr>
            <w:webHidden/>
          </w:rPr>
        </w:r>
        <w:r w:rsidR="00414056">
          <w:rPr>
            <w:webHidden/>
          </w:rPr>
          <w:fldChar w:fldCharType="separate"/>
        </w:r>
        <w:r w:rsidR="00414056">
          <w:rPr>
            <w:webHidden/>
          </w:rPr>
          <w:t>15</w:t>
        </w:r>
        <w:r w:rsidR="00414056">
          <w:rPr>
            <w:webHidden/>
          </w:rPr>
          <w:fldChar w:fldCharType="end"/>
        </w:r>
      </w:hyperlink>
    </w:p>
    <w:p w14:paraId="77954DC9" w14:textId="31019DC1" w:rsidR="00414056" w:rsidRDefault="00660D13">
      <w:pPr>
        <w:pStyle w:val="TOC1"/>
        <w:rPr>
          <w:rFonts w:eastAsiaTheme="minorEastAsia" w:cstheme="minorBidi"/>
          <w:b w:val="0"/>
          <w:color w:val="auto"/>
          <w:sz w:val="22"/>
          <w:szCs w:val="22"/>
        </w:rPr>
      </w:pPr>
      <w:hyperlink w:anchor="_Toc46822586" w:history="1">
        <w:r w:rsidR="00414056" w:rsidRPr="00CF7CD0">
          <w:rPr>
            <w:rStyle w:val="Hyperlink"/>
          </w:rPr>
          <w:t>Lodgement by specific dealing types</w:t>
        </w:r>
        <w:r w:rsidR="00414056">
          <w:rPr>
            <w:webHidden/>
          </w:rPr>
          <w:tab/>
        </w:r>
        <w:r w:rsidR="00414056">
          <w:rPr>
            <w:webHidden/>
          </w:rPr>
          <w:fldChar w:fldCharType="begin"/>
        </w:r>
        <w:r w:rsidR="00414056">
          <w:rPr>
            <w:webHidden/>
          </w:rPr>
          <w:instrText xml:space="preserve"> PAGEREF _Toc46822586 \h </w:instrText>
        </w:r>
        <w:r w:rsidR="00414056">
          <w:rPr>
            <w:webHidden/>
          </w:rPr>
        </w:r>
        <w:r w:rsidR="00414056">
          <w:rPr>
            <w:webHidden/>
          </w:rPr>
          <w:fldChar w:fldCharType="separate"/>
        </w:r>
        <w:r w:rsidR="00414056">
          <w:rPr>
            <w:webHidden/>
          </w:rPr>
          <w:t>16</w:t>
        </w:r>
        <w:r w:rsidR="00414056">
          <w:rPr>
            <w:webHidden/>
          </w:rPr>
          <w:fldChar w:fldCharType="end"/>
        </w:r>
      </w:hyperlink>
    </w:p>
    <w:p w14:paraId="35D61E84" w14:textId="2D680ABA" w:rsidR="00414056" w:rsidRDefault="00660D13">
      <w:pPr>
        <w:pStyle w:val="TOC2"/>
        <w:rPr>
          <w:rFonts w:eastAsiaTheme="minorEastAsia" w:cstheme="minorBidi"/>
          <w:b w:val="0"/>
          <w:color w:val="auto"/>
          <w:sz w:val="22"/>
          <w:szCs w:val="22"/>
        </w:rPr>
      </w:pPr>
      <w:hyperlink w:anchor="_Toc46822587" w:history="1">
        <w:r w:rsidR="00414056" w:rsidRPr="00CF7CD0">
          <w:rPr>
            <w:rStyle w:val="Hyperlink"/>
          </w:rPr>
          <w:t>Discharges of mortgage</w:t>
        </w:r>
        <w:r w:rsidR="00414056">
          <w:rPr>
            <w:webHidden/>
          </w:rPr>
          <w:tab/>
        </w:r>
        <w:r w:rsidR="00414056">
          <w:rPr>
            <w:webHidden/>
          </w:rPr>
          <w:fldChar w:fldCharType="begin"/>
        </w:r>
        <w:r w:rsidR="00414056">
          <w:rPr>
            <w:webHidden/>
          </w:rPr>
          <w:instrText xml:space="preserve"> PAGEREF _Toc46822587 \h </w:instrText>
        </w:r>
        <w:r w:rsidR="00414056">
          <w:rPr>
            <w:webHidden/>
          </w:rPr>
        </w:r>
        <w:r w:rsidR="00414056">
          <w:rPr>
            <w:webHidden/>
          </w:rPr>
          <w:fldChar w:fldCharType="separate"/>
        </w:r>
        <w:r w:rsidR="00414056">
          <w:rPr>
            <w:webHidden/>
          </w:rPr>
          <w:t>16</w:t>
        </w:r>
        <w:r w:rsidR="00414056">
          <w:rPr>
            <w:webHidden/>
          </w:rPr>
          <w:fldChar w:fldCharType="end"/>
        </w:r>
      </w:hyperlink>
    </w:p>
    <w:p w14:paraId="725D8996" w14:textId="7F2F45A4" w:rsidR="00414056" w:rsidRDefault="00660D13">
      <w:pPr>
        <w:pStyle w:val="TOC2"/>
        <w:rPr>
          <w:rFonts w:eastAsiaTheme="minorEastAsia" w:cstheme="minorBidi"/>
          <w:b w:val="0"/>
          <w:color w:val="auto"/>
          <w:sz w:val="22"/>
          <w:szCs w:val="22"/>
        </w:rPr>
      </w:pPr>
      <w:hyperlink w:anchor="_Toc46822588" w:history="1">
        <w:r w:rsidR="00414056" w:rsidRPr="00CF7CD0">
          <w:rPr>
            <w:rStyle w:val="Hyperlink"/>
          </w:rPr>
          <w:t>Transfers of land</w:t>
        </w:r>
        <w:r w:rsidR="00414056">
          <w:rPr>
            <w:webHidden/>
          </w:rPr>
          <w:tab/>
        </w:r>
        <w:r w:rsidR="00414056">
          <w:rPr>
            <w:webHidden/>
          </w:rPr>
          <w:fldChar w:fldCharType="begin"/>
        </w:r>
        <w:r w:rsidR="00414056">
          <w:rPr>
            <w:webHidden/>
          </w:rPr>
          <w:instrText xml:space="preserve"> PAGEREF _Toc46822588 \h </w:instrText>
        </w:r>
        <w:r w:rsidR="00414056">
          <w:rPr>
            <w:webHidden/>
          </w:rPr>
        </w:r>
        <w:r w:rsidR="00414056">
          <w:rPr>
            <w:webHidden/>
          </w:rPr>
          <w:fldChar w:fldCharType="separate"/>
        </w:r>
        <w:r w:rsidR="00414056">
          <w:rPr>
            <w:webHidden/>
          </w:rPr>
          <w:t>16</w:t>
        </w:r>
        <w:r w:rsidR="00414056">
          <w:rPr>
            <w:webHidden/>
          </w:rPr>
          <w:fldChar w:fldCharType="end"/>
        </w:r>
      </w:hyperlink>
    </w:p>
    <w:p w14:paraId="09744551" w14:textId="6D5444F0" w:rsidR="00414056" w:rsidRDefault="00660D13">
      <w:pPr>
        <w:pStyle w:val="TOC2"/>
        <w:rPr>
          <w:rFonts w:eastAsiaTheme="minorEastAsia" w:cstheme="minorBidi"/>
          <w:b w:val="0"/>
          <w:color w:val="auto"/>
          <w:sz w:val="22"/>
          <w:szCs w:val="22"/>
        </w:rPr>
      </w:pPr>
      <w:hyperlink w:anchor="_Toc46822589" w:history="1">
        <w:r w:rsidR="00414056" w:rsidRPr="00CF7CD0">
          <w:rPr>
            <w:rStyle w:val="Hyperlink"/>
          </w:rPr>
          <w:t>Mortgages</w:t>
        </w:r>
        <w:r w:rsidR="00414056">
          <w:rPr>
            <w:webHidden/>
          </w:rPr>
          <w:tab/>
        </w:r>
        <w:r w:rsidR="00414056">
          <w:rPr>
            <w:webHidden/>
          </w:rPr>
          <w:fldChar w:fldCharType="begin"/>
        </w:r>
        <w:r w:rsidR="00414056">
          <w:rPr>
            <w:webHidden/>
          </w:rPr>
          <w:instrText xml:space="preserve"> PAGEREF _Toc46822589 \h </w:instrText>
        </w:r>
        <w:r w:rsidR="00414056">
          <w:rPr>
            <w:webHidden/>
          </w:rPr>
        </w:r>
        <w:r w:rsidR="00414056">
          <w:rPr>
            <w:webHidden/>
          </w:rPr>
          <w:fldChar w:fldCharType="separate"/>
        </w:r>
        <w:r w:rsidR="00414056">
          <w:rPr>
            <w:webHidden/>
          </w:rPr>
          <w:t>17</w:t>
        </w:r>
        <w:r w:rsidR="00414056">
          <w:rPr>
            <w:webHidden/>
          </w:rPr>
          <w:fldChar w:fldCharType="end"/>
        </w:r>
      </w:hyperlink>
    </w:p>
    <w:p w14:paraId="4C93F7C9" w14:textId="2DB1B35A" w:rsidR="00414056" w:rsidRDefault="00660D13">
      <w:pPr>
        <w:pStyle w:val="TOC2"/>
        <w:rPr>
          <w:rFonts w:eastAsiaTheme="minorEastAsia" w:cstheme="minorBidi"/>
          <w:b w:val="0"/>
          <w:color w:val="auto"/>
          <w:sz w:val="22"/>
          <w:szCs w:val="22"/>
        </w:rPr>
      </w:pPr>
      <w:hyperlink w:anchor="_Toc46822590" w:history="1">
        <w:r w:rsidR="00414056" w:rsidRPr="00CF7CD0">
          <w:rPr>
            <w:rStyle w:val="Hyperlink"/>
          </w:rPr>
          <w:t>Differences in lodging levels and percentages of discharges, transfers and mortgages</w:t>
        </w:r>
        <w:r w:rsidR="00414056">
          <w:rPr>
            <w:webHidden/>
          </w:rPr>
          <w:tab/>
        </w:r>
        <w:r w:rsidR="00414056">
          <w:rPr>
            <w:webHidden/>
          </w:rPr>
          <w:fldChar w:fldCharType="begin"/>
        </w:r>
        <w:r w:rsidR="00414056">
          <w:rPr>
            <w:webHidden/>
          </w:rPr>
          <w:instrText xml:space="preserve"> PAGEREF _Toc46822590 \h </w:instrText>
        </w:r>
        <w:r w:rsidR="00414056">
          <w:rPr>
            <w:webHidden/>
          </w:rPr>
        </w:r>
        <w:r w:rsidR="00414056">
          <w:rPr>
            <w:webHidden/>
          </w:rPr>
          <w:fldChar w:fldCharType="separate"/>
        </w:r>
        <w:r w:rsidR="00414056">
          <w:rPr>
            <w:webHidden/>
          </w:rPr>
          <w:t>17</w:t>
        </w:r>
        <w:r w:rsidR="00414056">
          <w:rPr>
            <w:webHidden/>
          </w:rPr>
          <w:fldChar w:fldCharType="end"/>
        </w:r>
      </w:hyperlink>
    </w:p>
    <w:p w14:paraId="6395BF2C" w14:textId="402BB963" w:rsidR="00414056" w:rsidRDefault="00660D13">
      <w:pPr>
        <w:pStyle w:val="TOC2"/>
        <w:rPr>
          <w:rFonts w:eastAsiaTheme="minorEastAsia" w:cstheme="minorBidi"/>
          <w:b w:val="0"/>
          <w:color w:val="auto"/>
          <w:sz w:val="22"/>
          <w:szCs w:val="22"/>
        </w:rPr>
      </w:pPr>
      <w:hyperlink w:anchor="_Toc46822591" w:history="1">
        <w:r w:rsidR="00414056" w:rsidRPr="00CF7CD0">
          <w:rPr>
            <w:rStyle w:val="Hyperlink"/>
          </w:rPr>
          <w:t>Number of plans of subdivision lodged</w:t>
        </w:r>
        <w:r w:rsidR="00414056">
          <w:rPr>
            <w:webHidden/>
          </w:rPr>
          <w:tab/>
        </w:r>
        <w:r w:rsidR="00414056">
          <w:rPr>
            <w:webHidden/>
          </w:rPr>
          <w:fldChar w:fldCharType="begin"/>
        </w:r>
        <w:r w:rsidR="00414056">
          <w:rPr>
            <w:webHidden/>
          </w:rPr>
          <w:instrText xml:space="preserve"> PAGEREF _Toc46822591 \h </w:instrText>
        </w:r>
        <w:r w:rsidR="00414056">
          <w:rPr>
            <w:webHidden/>
          </w:rPr>
        </w:r>
        <w:r w:rsidR="00414056">
          <w:rPr>
            <w:webHidden/>
          </w:rPr>
          <w:fldChar w:fldCharType="separate"/>
        </w:r>
        <w:r w:rsidR="00414056">
          <w:rPr>
            <w:webHidden/>
          </w:rPr>
          <w:t>20</w:t>
        </w:r>
        <w:r w:rsidR="00414056">
          <w:rPr>
            <w:webHidden/>
          </w:rPr>
          <w:fldChar w:fldCharType="end"/>
        </w:r>
      </w:hyperlink>
    </w:p>
    <w:p w14:paraId="02D3DD12" w14:textId="69411CCA" w:rsidR="00414056" w:rsidRDefault="00660D13">
      <w:pPr>
        <w:pStyle w:val="TOC2"/>
        <w:rPr>
          <w:rFonts w:eastAsiaTheme="minorEastAsia" w:cstheme="minorBidi"/>
          <w:b w:val="0"/>
          <w:color w:val="auto"/>
          <w:sz w:val="22"/>
          <w:szCs w:val="22"/>
        </w:rPr>
      </w:pPr>
      <w:hyperlink w:anchor="_Toc46822592" w:history="1">
        <w:r w:rsidR="00414056" w:rsidRPr="00CF7CD0">
          <w:rPr>
            <w:rStyle w:val="Hyperlink"/>
          </w:rPr>
          <w:t>Number of new parcels created from plans of subdivision</w:t>
        </w:r>
        <w:r w:rsidR="00414056">
          <w:rPr>
            <w:webHidden/>
          </w:rPr>
          <w:tab/>
        </w:r>
        <w:r w:rsidR="00414056">
          <w:rPr>
            <w:webHidden/>
          </w:rPr>
          <w:fldChar w:fldCharType="begin"/>
        </w:r>
        <w:r w:rsidR="00414056">
          <w:rPr>
            <w:webHidden/>
          </w:rPr>
          <w:instrText xml:space="preserve"> PAGEREF _Toc46822592 \h </w:instrText>
        </w:r>
        <w:r w:rsidR="00414056">
          <w:rPr>
            <w:webHidden/>
          </w:rPr>
        </w:r>
        <w:r w:rsidR="00414056">
          <w:rPr>
            <w:webHidden/>
          </w:rPr>
          <w:fldChar w:fldCharType="separate"/>
        </w:r>
        <w:r w:rsidR="00414056">
          <w:rPr>
            <w:webHidden/>
          </w:rPr>
          <w:t>20</w:t>
        </w:r>
        <w:r w:rsidR="00414056">
          <w:rPr>
            <w:webHidden/>
          </w:rPr>
          <w:fldChar w:fldCharType="end"/>
        </w:r>
      </w:hyperlink>
    </w:p>
    <w:p w14:paraId="14D4A61A" w14:textId="04DD4D2C" w:rsidR="00414056" w:rsidRDefault="00660D13">
      <w:pPr>
        <w:pStyle w:val="TOC2"/>
        <w:rPr>
          <w:rFonts w:eastAsiaTheme="minorEastAsia" w:cstheme="minorBidi"/>
          <w:b w:val="0"/>
          <w:color w:val="auto"/>
          <w:sz w:val="22"/>
          <w:szCs w:val="22"/>
        </w:rPr>
      </w:pPr>
      <w:hyperlink w:anchor="_Toc46822593" w:history="1">
        <w:r w:rsidR="00414056" w:rsidRPr="00CF7CD0">
          <w:rPr>
            <w:rStyle w:val="Hyperlink"/>
          </w:rPr>
          <w:t>General law conversion</w:t>
        </w:r>
        <w:r w:rsidR="00414056">
          <w:rPr>
            <w:webHidden/>
          </w:rPr>
          <w:tab/>
        </w:r>
        <w:r w:rsidR="00414056">
          <w:rPr>
            <w:webHidden/>
          </w:rPr>
          <w:fldChar w:fldCharType="begin"/>
        </w:r>
        <w:r w:rsidR="00414056">
          <w:rPr>
            <w:webHidden/>
          </w:rPr>
          <w:instrText xml:space="preserve"> PAGEREF _Toc46822593 \h </w:instrText>
        </w:r>
        <w:r w:rsidR="00414056">
          <w:rPr>
            <w:webHidden/>
          </w:rPr>
        </w:r>
        <w:r w:rsidR="00414056">
          <w:rPr>
            <w:webHidden/>
          </w:rPr>
          <w:fldChar w:fldCharType="separate"/>
        </w:r>
        <w:r w:rsidR="00414056">
          <w:rPr>
            <w:webHidden/>
          </w:rPr>
          <w:t>21</w:t>
        </w:r>
        <w:r w:rsidR="00414056">
          <w:rPr>
            <w:webHidden/>
          </w:rPr>
          <w:fldChar w:fldCharType="end"/>
        </w:r>
      </w:hyperlink>
    </w:p>
    <w:p w14:paraId="3CF4ED85" w14:textId="2F764C96" w:rsidR="00414056" w:rsidRDefault="00660D13">
      <w:pPr>
        <w:pStyle w:val="TOC2"/>
        <w:rPr>
          <w:rFonts w:eastAsiaTheme="minorEastAsia" w:cstheme="minorBidi"/>
          <w:b w:val="0"/>
          <w:color w:val="auto"/>
          <w:sz w:val="22"/>
          <w:szCs w:val="22"/>
        </w:rPr>
      </w:pPr>
      <w:hyperlink w:anchor="_Toc46822594" w:history="1">
        <w:r w:rsidR="00414056" w:rsidRPr="00CF7CD0">
          <w:rPr>
            <w:rStyle w:val="Hyperlink"/>
          </w:rPr>
          <w:t>Top 40 dealings types, by number lodged</w:t>
        </w:r>
        <w:r w:rsidR="00414056">
          <w:rPr>
            <w:webHidden/>
          </w:rPr>
          <w:tab/>
        </w:r>
        <w:r w:rsidR="00414056">
          <w:rPr>
            <w:webHidden/>
          </w:rPr>
          <w:fldChar w:fldCharType="begin"/>
        </w:r>
        <w:r w:rsidR="00414056">
          <w:rPr>
            <w:webHidden/>
          </w:rPr>
          <w:instrText xml:space="preserve"> PAGEREF _Toc46822594 \h </w:instrText>
        </w:r>
        <w:r w:rsidR="00414056">
          <w:rPr>
            <w:webHidden/>
          </w:rPr>
        </w:r>
        <w:r w:rsidR="00414056">
          <w:rPr>
            <w:webHidden/>
          </w:rPr>
          <w:fldChar w:fldCharType="separate"/>
        </w:r>
        <w:r w:rsidR="00414056">
          <w:rPr>
            <w:webHidden/>
          </w:rPr>
          <w:t>22</w:t>
        </w:r>
        <w:r w:rsidR="00414056">
          <w:rPr>
            <w:webHidden/>
          </w:rPr>
          <w:fldChar w:fldCharType="end"/>
        </w:r>
      </w:hyperlink>
    </w:p>
    <w:p w14:paraId="1B48C908" w14:textId="28AED626" w:rsidR="00414056" w:rsidRDefault="00660D13">
      <w:pPr>
        <w:pStyle w:val="TOC1"/>
        <w:rPr>
          <w:rFonts w:eastAsiaTheme="minorEastAsia" w:cstheme="minorBidi"/>
          <w:b w:val="0"/>
          <w:color w:val="auto"/>
          <w:sz w:val="22"/>
          <w:szCs w:val="22"/>
        </w:rPr>
      </w:pPr>
      <w:hyperlink w:anchor="_Toc46822595" w:history="1">
        <w:r w:rsidR="00414056" w:rsidRPr="00CF7CD0">
          <w:rPr>
            <w:rStyle w:val="Hyperlink"/>
          </w:rPr>
          <w:t>Other measures of Land Registry Services activity</w:t>
        </w:r>
        <w:r w:rsidR="00414056">
          <w:rPr>
            <w:webHidden/>
          </w:rPr>
          <w:tab/>
        </w:r>
        <w:r w:rsidR="00414056">
          <w:rPr>
            <w:webHidden/>
          </w:rPr>
          <w:fldChar w:fldCharType="begin"/>
        </w:r>
        <w:r w:rsidR="00414056">
          <w:rPr>
            <w:webHidden/>
          </w:rPr>
          <w:instrText xml:space="preserve"> PAGEREF _Toc46822595 \h </w:instrText>
        </w:r>
        <w:r w:rsidR="00414056">
          <w:rPr>
            <w:webHidden/>
          </w:rPr>
        </w:r>
        <w:r w:rsidR="00414056">
          <w:rPr>
            <w:webHidden/>
          </w:rPr>
          <w:fldChar w:fldCharType="separate"/>
        </w:r>
        <w:r w:rsidR="00414056">
          <w:rPr>
            <w:webHidden/>
          </w:rPr>
          <w:t>24</w:t>
        </w:r>
        <w:r w:rsidR="00414056">
          <w:rPr>
            <w:webHidden/>
          </w:rPr>
          <w:fldChar w:fldCharType="end"/>
        </w:r>
      </w:hyperlink>
    </w:p>
    <w:p w14:paraId="5254F6D8" w14:textId="5EE94B4C" w:rsidR="00414056" w:rsidRDefault="00660D13">
      <w:pPr>
        <w:pStyle w:val="TOC2"/>
        <w:rPr>
          <w:rFonts w:eastAsiaTheme="minorEastAsia" w:cstheme="minorBidi"/>
          <w:b w:val="0"/>
          <w:color w:val="auto"/>
          <w:sz w:val="22"/>
          <w:szCs w:val="22"/>
        </w:rPr>
      </w:pPr>
      <w:hyperlink w:anchor="_Toc46822596" w:history="1">
        <w:r w:rsidR="00414056" w:rsidRPr="00CF7CD0">
          <w:rPr>
            <w:rStyle w:val="Hyperlink"/>
          </w:rPr>
          <w:t>Registrations</w:t>
        </w:r>
        <w:r w:rsidR="00414056">
          <w:rPr>
            <w:webHidden/>
          </w:rPr>
          <w:tab/>
        </w:r>
        <w:r w:rsidR="00414056">
          <w:rPr>
            <w:webHidden/>
          </w:rPr>
          <w:fldChar w:fldCharType="begin"/>
        </w:r>
        <w:r w:rsidR="00414056">
          <w:rPr>
            <w:webHidden/>
          </w:rPr>
          <w:instrText xml:space="preserve"> PAGEREF _Toc46822596 \h </w:instrText>
        </w:r>
        <w:r w:rsidR="00414056">
          <w:rPr>
            <w:webHidden/>
          </w:rPr>
        </w:r>
        <w:r w:rsidR="00414056">
          <w:rPr>
            <w:webHidden/>
          </w:rPr>
          <w:fldChar w:fldCharType="separate"/>
        </w:r>
        <w:r w:rsidR="00414056">
          <w:rPr>
            <w:webHidden/>
          </w:rPr>
          <w:t>24</w:t>
        </w:r>
        <w:r w:rsidR="00414056">
          <w:rPr>
            <w:webHidden/>
          </w:rPr>
          <w:fldChar w:fldCharType="end"/>
        </w:r>
      </w:hyperlink>
    </w:p>
    <w:p w14:paraId="208EAC7D" w14:textId="2B31DCD1" w:rsidR="00414056" w:rsidRDefault="00660D13">
      <w:pPr>
        <w:pStyle w:val="TOC3"/>
        <w:rPr>
          <w:b w:val="0"/>
          <w:color w:val="auto"/>
          <w:sz w:val="22"/>
          <w:szCs w:val="22"/>
        </w:rPr>
      </w:pPr>
      <w:hyperlink w:anchor="_Toc46822597" w:history="1">
        <w:r w:rsidR="00414056" w:rsidRPr="00CF7CD0">
          <w:rPr>
            <w:rStyle w:val="Hyperlink"/>
          </w:rPr>
          <w:t>Number of dealings registered</w:t>
        </w:r>
        <w:r w:rsidR="00414056">
          <w:rPr>
            <w:webHidden/>
          </w:rPr>
          <w:tab/>
        </w:r>
        <w:r w:rsidR="00414056">
          <w:rPr>
            <w:webHidden/>
          </w:rPr>
          <w:fldChar w:fldCharType="begin"/>
        </w:r>
        <w:r w:rsidR="00414056">
          <w:rPr>
            <w:webHidden/>
          </w:rPr>
          <w:instrText xml:space="preserve"> PAGEREF _Toc46822597 \h </w:instrText>
        </w:r>
        <w:r w:rsidR="00414056">
          <w:rPr>
            <w:webHidden/>
          </w:rPr>
        </w:r>
        <w:r w:rsidR="00414056">
          <w:rPr>
            <w:webHidden/>
          </w:rPr>
          <w:fldChar w:fldCharType="separate"/>
        </w:r>
        <w:r w:rsidR="00414056">
          <w:rPr>
            <w:webHidden/>
          </w:rPr>
          <w:t>24</w:t>
        </w:r>
        <w:r w:rsidR="00414056">
          <w:rPr>
            <w:webHidden/>
          </w:rPr>
          <w:fldChar w:fldCharType="end"/>
        </w:r>
      </w:hyperlink>
    </w:p>
    <w:p w14:paraId="1C7C0018" w14:textId="78689DAD" w:rsidR="00414056" w:rsidRDefault="00660D13">
      <w:pPr>
        <w:pStyle w:val="TOC3"/>
        <w:rPr>
          <w:b w:val="0"/>
          <w:color w:val="auto"/>
          <w:sz w:val="22"/>
          <w:szCs w:val="22"/>
        </w:rPr>
      </w:pPr>
      <w:hyperlink w:anchor="_Toc46822598" w:history="1">
        <w:r w:rsidR="00414056" w:rsidRPr="00CF7CD0">
          <w:rPr>
            <w:rStyle w:val="Hyperlink"/>
          </w:rPr>
          <w:t>Percentage of dealings registered within 5 days</w:t>
        </w:r>
        <w:r w:rsidR="00414056">
          <w:rPr>
            <w:webHidden/>
          </w:rPr>
          <w:tab/>
        </w:r>
        <w:r w:rsidR="00414056">
          <w:rPr>
            <w:webHidden/>
          </w:rPr>
          <w:fldChar w:fldCharType="begin"/>
        </w:r>
        <w:r w:rsidR="00414056">
          <w:rPr>
            <w:webHidden/>
          </w:rPr>
          <w:instrText xml:space="preserve"> PAGEREF _Toc46822598 \h </w:instrText>
        </w:r>
        <w:r w:rsidR="00414056">
          <w:rPr>
            <w:webHidden/>
          </w:rPr>
        </w:r>
        <w:r w:rsidR="00414056">
          <w:rPr>
            <w:webHidden/>
          </w:rPr>
          <w:fldChar w:fldCharType="separate"/>
        </w:r>
        <w:r w:rsidR="00414056">
          <w:rPr>
            <w:webHidden/>
          </w:rPr>
          <w:t>24</w:t>
        </w:r>
        <w:r w:rsidR="00414056">
          <w:rPr>
            <w:webHidden/>
          </w:rPr>
          <w:fldChar w:fldCharType="end"/>
        </w:r>
      </w:hyperlink>
    </w:p>
    <w:p w14:paraId="5C1C5389" w14:textId="37BB188F" w:rsidR="00414056" w:rsidRDefault="00660D13">
      <w:pPr>
        <w:pStyle w:val="TOC3"/>
        <w:rPr>
          <w:b w:val="0"/>
          <w:color w:val="auto"/>
          <w:sz w:val="22"/>
          <w:szCs w:val="22"/>
        </w:rPr>
      </w:pPr>
      <w:hyperlink w:anchor="_Toc46822599" w:history="1">
        <w:r w:rsidR="00414056" w:rsidRPr="00CF7CD0">
          <w:rPr>
            <w:rStyle w:val="Hyperlink"/>
          </w:rPr>
          <w:t>Number of plans registered</w:t>
        </w:r>
        <w:r w:rsidR="00414056">
          <w:rPr>
            <w:webHidden/>
          </w:rPr>
          <w:tab/>
        </w:r>
        <w:r w:rsidR="00414056">
          <w:rPr>
            <w:webHidden/>
          </w:rPr>
          <w:fldChar w:fldCharType="begin"/>
        </w:r>
        <w:r w:rsidR="00414056">
          <w:rPr>
            <w:webHidden/>
          </w:rPr>
          <w:instrText xml:space="preserve"> PAGEREF _Toc46822599 \h </w:instrText>
        </w:r>
        <w:r w:rsidR="00414056">
          <w:rPr>
            <w:webHidden/>
          </w:rPr>
        </w:r>
        <w:r w:rsidR="00414056">
          <w:rPr>
            <w:webHidden/>
          </w:rPr>
          <w:fldChar w:fldCharType="separate"/>
        </w:r>
        <w:r w:rsidR="00414056">
          <w:rPr>
            <w:webHidden/>
          </w:rPr>
          <w:t>24</w:t>
        </w:r>
        <w:r w:rsidR="00414056">
          <w:rPr>
            <w:webHidden/>
          </w:rPr>
          <w:fldChar w:fldCharType="end"/>
        </w:r>
      </w:hyperlink>
    </w:p>
    <w:p w14:paraId="45BD9F29" w14:textId="697F2F87" w:rsidR="00414056" w:rsidRDefault="00660D13">
      <w:pPr>
        <w:pStyle w:val="TOC3"/>
        <w:rPr>
          <w:b w:val="0"/>
          <w:color w:val="auto"/>
          <w:sz w:val="22"/>
          <w:szCs w:val="22"/>
        </w:rPr>
      </w:pPr>
      <w:hyperlink w:anchor="_Toc46822600" w:history="1">
        <w:r w:rsidR="00414056" w:rsidRPr="00CF7CD0">
          <w:rPr>
            <w:rStyle w:val="Hyperlink"/>
          </w:rPr>
          <w:t>Number of dealings refused</w:t>
        </w:r>
        <w:r w:rsidR="00414056">
          <w:rPr>
            <w:webHidden/>
          </w:rPr>
          <w:tab/>
        </w:r>
        <w:r w:rsidR="00414056">
          <w:rPr>
            <w:webHidden/>
          </w:rPr>
          <w:fldChar w:fldCharType="begin"/>
        </w:r>
        <w:r w:rsidR="00414056">
          <w:rPr>
            <w:webHidden/>
          </w:rPr>
          <w:instrText xml:space="preserve"> PAGEREF _Toc46822600 \h </w:instrText>
        </w:r>
        <w:r w:rsidR="00414056">
          <w:rPr>
            <w:webHidden/>
          </w:rPr>
        </w:r>
        <w:r w:rsidR="00414056">
          <w:rPr>
            <w:webHidden/>
          </w:rPr>
          <w:fldChar w:fldCharType="separate"/>
        </w:r>
        <w:r w:rsidR="00414056">
          <w:rPr>
            <w:webHidden/>
          </w:rPr>
          <w:t>24</w:t>
        </w:r>
        <w:r w:rsidR="00414056">
          <w:rPr>
            <w:webHidden/>
          </w:rPr>
          <w:fldChar w:fldCharType="end"/>
        </w:r>
      </w:hyperlink>
    </w:p>
    <w:p w14:paraId="168FD36B" w14:textId="135DB5C1" w:rsidR="00414056" w:rsidRDefault="00660D13">
      <w:pPr>
        <w:pStyle w:val="TOC3"/>
        <w:rPr>
          <w:b w:val="0"/>
          <w:color w:val="auto"/>
          <w:sz w:val="22"/>
          <w:szCs w:val="22"/>
        </w:rPr>
      </w:pPr>
      <w:hyperlink w:anchor="_Toc46822601" w:history="1">
        <w:r w:rsidR="00414056" w:rsidRPr="00CF7CD0">
          <w:rPr>
            <w:rStyle w:val="Hyperlink"/>
          </w:rPr>
          <w:t>Number of dealings waiting to be processed</w:t>
        </w:r>
        <w:r w:rsidR="00414056">
          <w:rPr>
            <w:webHidden/>
          </w:rPr>
          <w:tab/>
        </w:r>
        <w:r w:rsidR="00414056">
          <w:rPr>
            <w:webHidden/>
          </w:rPr>
          <w:fldChar w:fldCharType="begin"/>
        </w:r>
        <w:r w:rsidR="00414056">
          <w:rPr>
            <w:webHidden/>
          </w:rPr>
          <w:instrText xml:space="preserve"> PAGEREF _Toc46822601 \h </w:instrText>
        </w:r>
        <w:r w:rsidR="00414056">
          <w:rPr>
            <w:webHidden/>
          </w:rPr>
        </w:r>
        <w:r w:rsidR="00414056">
          <w:rPr>
            <w:webHidden/>
          </w:rPr>
          <w:fldChar w:fldCharType="separate"/>
        </w:r>
        <w:r w:rsidR="00414056">
          <w:rPr>
            <w:webHidden/>
          </w:rPr>
          <w:t>24</w:t>
        </w:r>
        <w:r w:rsidR="00414056">
          <w:rPr>
            <w:webHidden/>
          </w:rPr>
          <w:fldChar w:fldCharType="end"/>
        </w:r>
      </w:hyperlink>
    </w:p>
    <w:p w14:paraId="26AE7C73" w14:textId="4415F7EE" w:rsidR="00414056" w:rsidRDefault="00660D13">
      <w:pPr>
        <w:pStyle w:val="TOC1"/>
        <w:rPr>
          <w:rFonts w:eastAsiaTheme="minorEastAsia" w:cstheme="minorBidi"/>
          <w:b w:val="0"/>
          <w:color w:val="auto"/>
          <w:sz w:val="22"/>
          <w:szCs w:val="22"/>
        </w:rPr>
      </w:pPr>
      <w:hyperlink w:anchor="_Toc46822602" w:history="1">
        <w:r w:rsidR="00414056" w:rsidRPr="00CF7CD0">
          <w:rPr>
            <w:rStyle w:val="Hyperlink"/>
          </w:rPr>
          <w:t>Electronic transactions processing</w:t>
        </w:r>
        <w:r w:rsidR="00414056">
          <w:rPr>
            <w:webHidden/>
          </w:rPr>
          <w:tab/>
        </w:r>
        <w:r w:rsidR="00414056">
          <w:rPr>
            <w:webHidden/>
          </w:rPr>
          <w:fldChar w:fldCharType="begin"/>
        </w:r>
        <w:r w:rsidR="00414056">
          <w:rPr>
            <w:webHidden/>
          </w:rPr>
          <w:instrText xml:space="preserve"> PAGEREF _Toc46822602 \h </w:instrText>
        </w:r>
        <w:r w:rsidR="00414056">
          <w:rPr>
            <w:webHidden/>
          </w:rPr>
        </w:r>
        <w:r w:rsidR="00414056">
          <w:rPr>
            <w:webHidden/>
          </w:rPr>
          <w:fldChar w:fldCharType="separate"/>
        </w:r>
        <w:r w:rsidR="00414056">
          <w:rPr>
            <w:webHidden/>
          </w:rPr>
          <w:t>25</w:t>
        </w:r>
        <w:r w:rsidR="00414056">
          <w:rPr>
            <w:webHidden/>
          </w:rPr>
          <w:fldChar w:fldCharType="end"/>
        </w:r>
      </w:hyperlink>
    </w:p>
    <w:p w14:paraId="0EE913AF" w14:textId="009AE71E" w:rsidR="00414056" w:rsidRDefault="00660D13">
      <w:pPr>
        <w:pStyle w:val="TOC2"/>
        <w:rPr>
          <w:rFonts w:eastAsiaTheme="minorEastAsia" w:cstheme="minorBidi"/>
          <w:b w:val="0"/>
          <w:color w:val="auto"/>
          <w:sz w:val="22"/>
          <w:szCs w:val="22"/>
        </w:rPr>
      </w:pPr>
      <w:hyperlink w:anchor="_Toc46822603" w:history="1">
        <w:r w:rsidR="00414056" w:rsidRPr="00CF7CD0">
          <w:rPr>
            <w:rStyle w:val="Hyperlink"/>
          </w:rPr>
          <w:t xml:space="preserve">Electronic Conveyancing </w:t>
        </w:r>
        <w:r w:rsidR="00414056">
          <w:rPr>
            <w:webHidden/>
          </w:rPr>
          <w:tab/>
        </w:r>
        <w:r w:rsidR="00414056">
          <w:rPr>
            <w:webHidden/>
          </w:rPr>
          <w:fldChar w:fldCharType="begin"/>
        </w:r>
        <w:r w:rsidR="00414056">
          <w:rPr>
            <w:webHidden/>
          </w:rPr>
          <w:instrText xml:space="preserve"> PAGEREF _Toc46822603 \h </w:instrText>
        </w:r>
        <w:r w:rsidR="00414056">
          <w:rPr>
            <w:webHidden/>
          </w:rPr>
        </w:r>
        <w:r w:rsidR="00414056">
          <w:rPr>
            <w:webHidden/>
          </w:rPr>
          <w:fldChar w:fldCharType="separate"/>
        </w:r>
        <w:r w:rsidR="00414056">
          <w:rPr>
            <w:webHidden/>
          </w:rPr>
          <w:t>25</w:t>
        </w:r>
        <w:r w:rsidR="00414056">
          <w:rPr>
            <w:webHidden/>
          </w:rPr>
          <w:fldChar w:fldCharType="end"/>
        </w:r>
      </w:hyperlink>
    </w:p>
    <w:p w14:paraId="43EBDBA7" w14:textId="5441A264" w:rsidR="008F4D3D" w:rsidRDefault="00737EFF" w:rsidP="00162B86">
      <w:r>
        <w:rPr>
          <w:b/>
          <w:noProof/>
          <w:color w:val="B3272F" w:themeColor="text2"/>
          <w:szCs w:val="24"/>
        </w:rPr>
        <w:fldChar w:fldCharType="end"/>
      </w:r>
    </w:p>
    <w:p w14:paraId="4A56694A" w14:textId="77777777" w:rsidR="00436277" w:rsidRDefault="00DB2F5C" w:rsidP="00162B86">
      <w:pPr>
        <w:sectPr w:rsidR="00436277" w:rsidSect="003B32F3">
          <w:headerReference w:type="even" r:id="rId25"/>
          <w:headerReference w:type="default" r:id="rId26"/>
          <w:footerReference w:type="even" r:id="rId27"/>
          <w:footerReference w:type="default" r:id="rId28"/>
          <w:pgSz w:w="11907" w:h="16840" w:code="9"/>
          <w:pgMar w:top="2268" w:right="1134" w:bottom="1843" w:left="1134" w:header="284" w:footer="284" w:gutter="0"/>
          <w:pgNumType w:start="1"/>
          <w:cols w:space="708"/>
          <w:docGrid w:linePitch="360"/>
        </w:sectPr>
      </w:pPr>
      <w:r>
        <w:t xml:space="preserve"> </w:t>
      </w:r>
    </w:p>
    <w:p w14:paraId="70120AA1" w14:textId="2128DD3F" w:rsidR="00B83743" w:rsidRPr="00C4364B" w:rsidRDefault="00487F4D" w:rsidP="004E68E1">
      <w:pPr>
        <w:pStyle w:val="Heading1"/>
      </w:pPr>
      <w:bookmarkStart w:id="2" w:name="_Toc46161444"/>
      <w:bookmarkStart w:id="3" w:name="_Toc46822569"/>
      <w:r>
        <w:t>Land Registry</w:t>
      </w:r>
      <w:r w:rsidR="004E68E1">
        <w:t xml:space="preserve"> Services</w:t>
      </w:r>
      <w:bookmarkEnd w:id="2"/>
      <w:bookmarkEnd w:id="3"/>
    </w:p>
    <w:p w14:paraId="7F2EBF04" w14:textId="0248D3E5" w:rsidR="004E68E1" w:rsidRDefault="004E68E1" w:rsidP="004E68E1">
      <w:pPr>
        <w:pStyle w:val="Heading2"/>
      </w:pPr>
      <w:bookmarkStart w:id="4" w:name="_Toc46161445"/>
      <w:bookmarkStart w:id="5" w:name="_Toc46822570"/>
      <w:r>
        <w:t>Business activity</w:t>
      </w:r>
      <w:r w:rsidR="00435984">
        <w:t xml:space="preserve"> report 201</w:t>
      </w:r>
      <w:r w:rsidR="00472723">
        <w:t>9</w:t>
      </w:r>
      <w:r w:rsidR="00435984">
        <w:t>–20</w:t>
      </w:r>
      <w:r w:rsidR="00472723">
        <w:t xml:space="preserve">20 </w:t>
      </w:r>
      <w:r>
        <w:t>financial year</w:t>
      </w:r>
      <w:bookmarkEnd w:id="4"/>
      <w:bookmarkEnd w:id="5"/>
    </w:p>
    <w:p w14:paraId="3F62F876" w14:textId="3DD4ECAE" w:rsidR="004E68E1" w:rsidRDefault="004E68E1" w:rsidP="004E68E1">
      <w:pPr>
        <w:pStyle w:val="BodyText"/>
      </w:pPr>
      <w:r>
        <w:t>This report provides statistics for land registration and</w:t>
      </w:r>
      <w:r w:rsidR="00AA4D3E">
        <w:t xml:space="preserve"> property information services </w:t>
      </w:r>
      <w:r>
        <w:t>conducted at th</w:t>
      </w:r>
      <w:r w:rsidR="00B67E45">
        <w:t>e Land Registry</w:t>
      </w:r>
      <w:r>
        <w:t xml:space="preserve"> Services area of Land </w:t>
      </w:r>
      <w:r w:rsidR="00A01DCD">
        <w:t xml:space="preserve">Use </w:t>
      </w:r>
      <w:r>
        <w:t>Victoria.</w:t>
      </w:r>
    </w:p>
    <w:p w14:paraId="52E29205" w14:textId="528F2B5F" w:rsidR="004E68E1" w:rsidRDefault="00D32F04" w:rsidP="004E68E1">
      <w:pPr>
        <w:pStyle w:val="BodyText"/>
      </w:pPr>
      <w:r>
        <w:t>As well as figures for the 20</w:t>
      </w:r>
      <w:r w:rsidR="00E27E6E">
        <w:t>19</w:t>
      </w:r>
      <w:r>
        <w:t>–2</w:t>
      </w:r>
      <w:r w:rsidR="005E2067">
        <w:t>0</w:t>
      </w:r>
      <w:r w:rsidR="009105FB">
        <w:t xml:space="preserve">20 </w:t>
      </w:r>
      <w:r w:rsidR="004E68E1">
        <w:t xml:space="preserve">financial year, statistics are also provided for previous years.  </w:t>
      </w:r>
    </w:p>
    <w:p w14:paraId="3C8C496B" w14:textId="77777777" w:rsidR="00D339EE" w:rsidRDefault="00D339EE">
      <w:pPr>
        <w:rPr>
          <w:b/>
          <w:bCs/>
          <w:color w:val="B3272F" w:themeColor="text2"/>
          <w:kern w:val="32"/>
          <w:sz w:val="40"/>
          <w:szCs w:val="32"/>
        </w:rPr>
      </w:pPr>
      <w:r>
        <w:br w:type="page"/>
      </w:r>
    </w:p>
    <w:p w14:paraId="6CE95F64" w14:textId="77777777" w:rsidR="004E68E1" w:rsidRDefault="004E68E1" w:rsidP="004E68E1">
      <w:pPr>
        <w:pStyle w:val="Heading1"/>
      </w:pPr>
      <w:bookmarkStart w:id="6" w:name="_Toc46161446"/>
      <w:bookmarkStart w:id="7" w:name="_Toc46822571"/>
      <w:r>
        <w:t>Lodgements</w:t>
      </w:r>
      <w:bookmarkEnd w:id="6"/>
      <w:bookmarkEnd w:id="7"/>
    </w:p>
    <w:p w14:paraId="4FFD7125" w14:textId="77777777" w:rsidR="004E68E1" w:rsidRDefault="004E68E1" w:rsidP="004E68E1">
      <w:pPr>
        <w:pStyle w:val="Heading2"/>
      </w:pPr>
      <w:bookmarkStart w:id="8" w:name="_Toc46161447"/>
      <w:bookmarkStart w:id="9" w:name="_Toc46822572"/>
      <w:r>
        <w:t>Number of dealings lodged</w:t>
      </w:r>
      <w:bookmarkEnd w:id="8"/>
      <w:bookmarkEnd w:id="9"/>
    </w:p>
    <w:p w14:paraId="48EA6EFC" w14:textId="1B91954D" w:rsidR="004E68E1" w:rsidRDefault="004E68E1" w:rsidP="004E68E1">
      <w:pPr>
        <w:pStyle w:val="BodyText"/>
      </w:pPr>
      <w:r>
        <w:t xml:space="preserve">The number of dealings lodged for the financial year was </w:t>
      </w:r>
      <w:r w:rsidR="00B34C5B">
        <w:t>853,227.</w:t>
      </w:r>
      <w:r w:rsidR="007964C3">
        <w:t xml:space="preserve"> </w:t>
      </w:r>
      <w:r>
        <w:t xml:space="preserve">This is a </w:t>
      </w:r>
      <w:r w:rsidR="00CE3E7B">
        <w:t>3</w:t>
      </w:r>
      <w:r w:rsidR="00F478A8">
        <w:t>.</w:t>
      </w:r>
      <w:r w:rsidR="006F0F1D">
        <w:t>09</w:t>
      </w:r>
      <w:r w:rsidR="001979BC">
        <w:t xml:space="preserve">% per cent </w:t>
      </w:r>
      <w:r w:rsidR="00CE3E7B">
        <w:t>de</w:t>
      </w:r>
      <w:r w:rsidR="001979BC">
        <w:t>crease on the</w:t>
      </w:r>
      <w:r w:rsidR="007430DD">
        <w:t xml:space="preserve"> </w:t>
      </w:r>
      <w:r w:rsidR="001979BC">
        <w:t>201</w:t>
      </w:r>
      <w:r w:rsidR="00D5399E">
        <w:t>8</w:t>
      </w:r>
      <w:r w:rsidR="001979BC">
        <w:t>–201</w:t>
      </w:r>
      <w:r w:rsidR="00D5399E">
        <w:t>9</w:t>
      </w:r>
      <w:r>
        <w:t xml:space="preserve"> financial year. Recent financial years’ lodgings have been:</w:t>
      </w:r>
    </w:p>
    <w:p w14:paraId="64B08B84" w14:textId="77777777" w:rsidR="004E68E1" w:rsidRDefault="004E68E1" w:rsidP="004E68E1">
      <w:pPr>
        <w:pStyle w:val="BodyText"/>
        <w:tabs>
          <w:tab w:val="left" w:pos="1701"/>
        </w:tabs>
      </w:pPr>
    </w:p>
    <w:tbl>
      <w:tblPr>
        <w:tblStyle w:val="TableGrid"/>
        <w:tblW w:w="0" w:type="auto"/>
        <w:tblLook w:val="00A0" w:firstRow="1" w:lastRow="0" w:firstColumn="1" w:lastColumn="0" w:noHBand="0" w:noVBand="0"/>
      </w:tblPr>
      <w:tblGrid>
        <w:gridCol w:w="1559"/>
        <w:gridCol w:w="1559"/>
      </w:tblGrid>
      <w:tr w:rsidR="003636BB" w:rsidRPr="00050253" w14:paraId="075FC6DC" w14:textId="77777777" w:rsidTr="004C1C2A">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59" w:type="dxa"/>
          </w:tcPr>
          <w:p w14:paraId="4714416C" w14:textId="77777777" w:rsidR="003636BB" w:rsidRPr="00050253" w:rsidRDefault="003636BB" w:rsidP="004C1C2A">
            <w:pPr>
              <w:pStyle w:val="TableHeadingLeft"/>
            </w:pPr>
          </w:p>
        </w:tc>
        <w:tc>
          <w:tcPr>
            <w:cnfStyle w:val="000010000000" w:firstRow="0" w:lastRow="0" w:firstColumn="0" w:lastColumn="0" w:oddVBand="1" w:evenVBand="0" w:oddHBand="0" w:evenHBand="0" w:firstRowFirstColumn="0" w:firstRowLastColumn="0" w:lastRowFirstColumn="0" w:lastRowLastColumn="0"/>
            <w:tcW w:w="1559" w:type="dxa"/>
          </w:tcPr>
          <w:p w14:paraId="6F1EB056" w14:textId="77777777" w:rsidR="003636BB" w:rsidRPr="00050253" w:rsidRDefault="003636BB" w:rsidP="004C1C2A">
            <w:pPr>
              <w:pStyle w:val="TableHeadingLeft"/>
            </w:pPr>
          </w:p>
        </w:tc>
      </w:tr>
      <w:tr w:rsidR="000B7D9B" w:rsidRPr="00050253" w14:paraId="7BC4EDC3" w14:textId="77777777" w:rsidTr="004C1C2A">
        <w:tc>
          <w:tcPr>
            <w:tcW w:w="1559" w:type="dxa"/>
          </w:tcPr>
          <w:p w14:paraId="5F3407A7" w14:textId="2D3B2890" w:rsidR="000B7D9B" w:rsidRDefault="000B7D9B" w:rsidP="004C1C2A">
            <w:r>
              <w:t>2019-2020</w:t>
            </w:r>
          </w:p>
        </w:tc>
        <w:tc>
          <w:tcPr>
            <w:cnfStyle w:val="000010000000" w:firstRow="0" w:lastRow="0" w:firstColumn="0" w:lastColumn="0" w:oddVBand="1" w:evenVBand="0" w:oddHBand="0" w:evenHBand="0" w:firstRowFirstColumn="0" w:firstRowLastColumn="0" w:lastRowFirstColumn="0" w:lastRowLastColumn="0"/>
            <w:tcW w:w="1559" w:type="dxa"/>
          </w:tcPr>
          <w:p w14:paraId="6A167CF7" w14:textId="437477AE" w:rsidR="000B7D9B" w:rsidRDefault="000B7D9B" w:rsidP="004C1C2A">
            <w:r>
              <w:t>853,227</w:t>
            </w:r>
          </w:p>
        </w:tc>
      </w:tr>
      <w:tr w:rsidR="00BD2EB6" w:rsidRPr="00050253" w14:paraId="664DA1B5" w14:textId="77777777" w:rsidTr="004C1C2A">
        <w:tc>
          <w:tcPr>
            <w:tcW w:w="1559" w:type="dxa"/>
          </w:tcPr>
          <w:p w14:paraId="1CE51AC2" w14:textId="567AA56D" w:rsidR="00BD2EB6" w:rsidRDefault="003636BB" w:rsidP="004C1C2A">
            <w:r>
              <w:t>2018-2019</w:t>
            </w:r>
          </w:p>
        </w:tc>
        <w:tc>
          <w:tcPr>
            <w:cnfStyle w:val="000010000000" w:firstRow="0" w:lastRow="0" w:firstColumn="0" w:lastColumn="0" w:oddVBand="1" w:evenVBand="0" w:oddHBand="0" w:evenHBand="0" w:firstRowFirstColumn="0" w:firstRowLastColumn="0" w:lastRowFirstColumn="0" w:lastRowLastColumn="0"/>
            <w:tcW w:w="1559" w:type="dxa"/>
          </w:tcPr>
          <w:p w14:paraId="1C403568" w14:textId="581DE9E1" w:rsidR="00BD2EB6" w:rsidRPr="007A701A" w:rsidRDefault="00B34C5B" w:rsidP="004C1C2A">
            <w:r>
              <w:t>8</w:t>
            </w:r>
            <w:r w:rsidR="000B7D9B">
              <w:t>85,058</w:t>
            </w:r>
          </w:p>
        </w:tc>
      </w:tr>
      <w:tr w:rsidR="00435984" w:rsidRPr="00050253" w14:paraId="4E77CDB0" w14:textId="77777777" w:rsidTr="004C1C2A">
        <w:tc>
          <w:tcPr>
            <w:tcW w:w="1559" w:type="dxa"/>
          </w:tcPr>
          <w:p w14:paraId="1F508415" w14:textId="568B4B5E" w:rsidR="00435984" w:rsidRDefault="0005254F" w:rsidP="004C1C2A">
            <w:r>
              <w:t>2017-</w:t>
            </w:r>
            <w:r w:rsidR="00A7681F">
              <w:t>2018</w:t>
            </w:r>
          </w:p>
        </w:tc>
        <w:tc>
          <w:tcPr>
            <w:cnfStyle w:val="000010000000" w:firstRow="0" w:lastRow="0" w:firstColumn="0" w:lastColumn="0" w:oddVBand="1" w:evenVBand="0" w:oddHBand="0" w:evenHBand="0" w:firstRowFirstColumn="0" w:firstRowLastColumn="0" w:lastRowFirstColumn="0" w:lastRowLastColumn="0"/>
            <w:tcW w:w="1559" w:type="dxa"/>
          </w:tcPr>
          <w:p w14:paraId="6EE7D232" w14:textId="3EE2AC27" w:rsidR="00435984" w:rsidRDefault="00A7681F" w:rsidP="004C1C2A">
            <w:r>
              <w:t>917,385</w:t>
            </w:r>
          </w:p>
        </w:tc>
      </w:tr>
      <w:tr w:rsidR="007F26DF" w:rsidRPr="00050253" w14:paraId="62047696" w14:textId="77777777" w:rsidTr="004C1C2A">
        <w:tc>
          <w:tcPr>
            <w:tcW w:w="1559" w:type="dxa"/>
          </w:tcPr>
          <w:p w14:paraId="0DB121DB" w14:textId="77777777" w:rsidR="007F26DF" w:rsidRPr="00E47A7F" w:rsidRDefault="007F26DF" w:rsidP="004C1C2A">
            <w:r>
              <w:t>2016-2017</w:t>
            </w:r>
          </w:p>
        </w:tc>
        <w:tc>
          <w:tcPr>
            <w:cnfStyle w:val="000010000000" w:firstRow="0" w:lastRow="0" w:firstColumn="0" w:lastColumn="0" w:oddVBand="1" w:evenVBand="0" w:oddHBand="0" w:evenHBand="0" w:firstRowFirstColumn="0" w:firstRowLastColumn="0" w:lastRowFirstColumn="0" w:lastRowLastColumn="0"/>
            <w:tcW w:w="1559" w:type="dxa"/>
          </w:tcPr>
          <w:p w14:paraId="5F6C8A5A" w14:textId="77777777" w:rsidR="007F26DF" w:rsidRPr="00E47A7F" w:rsidRDefault="007F26DF" w:rsidP="004C1C2A">
            <w:r>
              <w:t>876,482</w:t>
            </w:r>
          </w:p>
        </w:tc>
      </w:tr>
      <w:tr w:rsidR="00DE0F9C" w:rsidRPr="00050253" w14:paraId="2D997901" w14:textId="77777777" w:rsidTr="004C1C2A">
        <w:tc>
          <w:tcPr>
            <w:tcW w:w="1559" w:type="dxa"/>
          </w:tcPr>
          <w:p w14:paraId="604634CD" w14:textId="77777777" w:rsidR="00DE0F9C" w:rsidRPr="00E47A7F" w:rsidRDefault="00DE0F9C" w:rsidP="004C1C2A">
            <w:r w:rsidRPr="00E47A7F">
              <w:t>2015-2016</w:t>
            </w:r>
          </w:p>
        </w:tc>
        <w:tc>
          <w:tcPr>
            <w:cnfStyle w:val="000010000000" w:firstRow="0" w:lastRow="0" w:firstColumn="0" w:lastColumn="0" w:oddVBand="1" w:evenVBand="0" w:oddHBand="0" w:evenHBand="0" w:firstRowFirstColumn="0" w:firstRowLastColumn="0" w:lastRowFirstColumn="0" w:lastRowLastColumn="0"/>
            <w:tcW w:w="1559" w:type="dxa"/>
          </w:tcPr>
          <w:p w14:paraId="0064944A" w14:textId="77777777" w:rsidR="00DE0F9C" w:rsidRPr="00E47A7F" w:rsidRDefault="00DE0F9C" w:rsidP="004C1C2A">
            <w:r w:rsidRPr="00E47A7F">
              <w:t>857,497</w:t>
            </w:r>
          </w:p>
        </w:tc>
      </w:tr>
      <w:tr w:rsidR="00DE0F9C" w:rsidRPr="00050253" w14:paraId="2D6B80C8" w14:textId="77777777" w:rsidTr="004C1C2A">
        <w:tc>
          <w:tcPr>
            <w:tcW w:w="1559" w:type="dxa"/>
          </w:tcPr>
          <w:p w14:paraId="73C3F5F3" w14:textId="77777777" w:rsidR="00DE0F9C" w:rsidRPr="00E47A7F" w:rsidRDefault="00DE0F9C" w:rsidP="004C1C2A">
            <w:r w:rsidRPr="00E47A7F">
              <w:t>2014-2015</w:t>
            </w:r>
          </w:p>
        </w:tc>
        <w:tc>
          <w:tcPr>
            <w:cnfStyle w:val="000010000000" w:firstRow="0" w:lastRow="0" w:firstColumn="0" w:lastColumn="0" w:oddVBand="1" w:evenVBand="0" w:oddHBand="0" w:evenHBand="0" w:firstRowFirstColumn="0" w:firstRowLastColumn="0" w:lastRowFirstColumn="0" w:lastRowLastColumn="0"/>
            <w:tcW w:w="1559" w:type="dxa"/>
          </w:tcPr>
          <w:p w14:paraId="3FBF6AA8" w14:textId="77777777" w:rsidR="00DE0F9C" w:rsidRPr="00E47A7F" w:rsidRDefault="00DE0F9C" w:rsidP="004C1C2A">
            <w:r w:rsidRPr="00E47A7F">
              <w:t>792,335</w:t>
            </w:r>
          </w:p>
        </w:tc>
      </w:tr>
      <w:tr w:rsidR="00DE0F9C" w:rsidRPr="00050253" w14:paraId="1BD04A0F" w14:textId="77777777" w:rsidTr="004C1C2A">
        <w:tc>
          <w:tcPr>
            <w:tcW w:w="1559" w:type="dxa"/>
          </w:tcPr>
          <w:p w14:paraId="103832A7" w14:textId="77777777" w:rsidR="00DE0F9C" w:rsidRPr="00E47A7F" w:rsidRDefault="00DE0F9C" w:rsidP="004C1C2A">
            <w:r w:rsidRPr="00E47A7F">
              <w:t>2013–2014</w:t>
            </w:r>
          </w:p>
        </w:tc>
        <w:tc>
          <w:tcPr>
            <w:cnfStyle w:val="000010000000" w:firstRow="0" w:lastRow="0" w:firstColumn="0" w:lastColumn="0" w:oddVBand="1" w:evenVBand="0" w:oddHBand="0" w:evenHBand="0" w:firstRowFirstColumn="0" w:firstRowLastColumn="0" w:lastRowFirstColumn="0" w:lastRowLastColumn="0"/>
            <w:tcW w:w="1559" w:type="dxa"/>
          </w:tcPr>
          <w:p w14:paraId="56FBFAC5" w14:textId="77777777" w:rsidR="00DE0F9C" w:rsidRPr="00E47A7F" w:rsidRDefault="00DE0F9C" w:rsidP="004C1C2A">
            <w:r w:rsidRPr="00E47A7F">
              <w:t>747,598</w:t>
            </w:r>
          </w:p>
        </w:tc>
      </w:tr>
      <w:tr w:rsidR="00DE0F9C" w:rsidRPr="00050253" w14:paraId="5DA28557" w14:textId="77777777" w:rsidTr="004C1C2A">
        <w:tc>
          <w:tcPr>
            <w:tcW w:w="1559" w:type="dxa"/>
          </w:tcPr>
          <w:p w14:paraId="20B5E9E8" w14:textId="77777777" w:rsidR="00DE0F9C" w:rsidRPr="00E47A7F" w:rsidRDefault="00DE0F9C" w:rsidP="004C1C2A">
            <w:r w:rsidRPr="00E47A7F">
              <w:t>2012–2013</w:t>
            </w:r>
          </w:p>
        </w:tc>
        <w:tc>
          <w:tcPr>
            <w:cnfStyle w:val="000010000000" w:firstRow="0" w:lastRow="0" w:firstColumn="0" w:lastColumn="0" w:oddVBand="1" w:evenVBand="0" w:oddHBand="0" w:evenHBand="0" w:firstRowFirstColumn="0" w:firstRowLastColumn="0" w:lastRowFirstColumn="0" w:lastRowLastColumn="0"/>
            <w:tcW w:w="1559" w:type="dxa"/>
          </w:tcPr>
          <w:p w14:paraId="7DDB358E" w14:textId="77777777" w:rsidR="00DE0F9C" w:rsidRPr="00E47A7F" w:rsidRDefault="00DE0F9C" w:rsidP="004C1C2A">
            <w:r w:rsidRPr="00E47A7F">
              <w:t>669,214</w:t>
            </w:r>
          </w:p>
        </w:tc>
      </w:tr>
      <w:tr w:rsidR="00DE0F9C" w:rsidRPr="00050253" w14:paraId="3245B81C" w14:textId="77777777" w:rsidTr="004C1C2A">
        <w:tc>
          <w:tcPr>
            <w:tcW w:w="1559" w:type="dxa"/>
          </w:tcPr>
          <w:p w14:paraId="3EE24514" w14:textId="77777777" w:rsidR="00DE0F9C" w:rsidRPr="00E47A7F" w:rsidRDefault="00DE0F9C" w:rsidP="004C1C2A">
            <w:r w:rsidRPr="00E47A7F">
              <w:t>2011–2012</w:t>
            </w:r>
          </w:p>
        </w:tc>
        <w:tc>
          <w:tcPr>
            <w:cnfStyle w:val="000010000000" w:firstRow="0" w:lastRow="0" w:firstColumn="0" w:lastColumn="0" w:oddVBand="1" w:evenVBand="0" w:oddHBand="0" w:evenHBand="0" w:firstRowFirstColumn="0" w:firstRowLastColumn="0" w:lastRowFirstColumn="0" w:lastRowLastColumn="0"/>
            <w:tcW w:w="1559" w:type="dxa"/>
          </w:tcPr>
          <w:p w14:paraId="0980EE61" w14:textId="77777777" w:rsidR="00DE0F9C" w:rsidRPr="00E47A7F" w:rsidRDefault="00DE0F9C" w:rsidP="004C1C2A">
            <w:r w:rsidRPr="00E47A7F">
              <w:t>677,708</w:t>
            </w:r>
          </w:p>
        </w:tc>
      </w:tr>
      <w:tr w:rsidR="00DE0F9C" w:rsidRPr="00050253" w14:paraId="13743FC7" w14:textId="77777777" w:rsidTr="004C1C2A">
        <w:tc>
          <w:tcPr>
            <w:tcW w:w="1559" w:type="dxa"/>
          </w:tcPr>
          <w:p w14:paraId="37B4DED7" w14:textId="77777777" w:rsidR="00DE0F9C" w:rsidRPr="00E47A7F" w:rsidRDefault="00DE0F9C" w:rsidP="004C1C2A">
            <w:r w:rsidRPr="00E47A7F">
              <w:t>2010–2011</w:t>
            </w:r>
          </w:p>
        </w:tc>
        <w:tc>
          <w:tcPr>
            <w:cnfStyle w:val="000010000000" w:firstRow="0" w:lastRow="0" w:firstColumn="0" w:lastColumn="0" w:oddVBand="1" w:evenVBand="0" w:oddHBand="0" w:evenHBand="0" w:firstRowFirstColumn="0" w:firstRowLastColumn="0" w:lastRowFirstColumn="0" w:lastRowLastColumn="0"/>
            <w:tcW w:w="1559" w:type="dxa"/>
          </w:tcPr>
          <w:p w14:paraId="30D5C1B0" w14:textId="77777777" w:rsidR="00DE0F9C" w:rsidRPr="00E47A7F" w:rsidRDefault="00DE0F9C" w:rsidP="004C1C2A">
            <w:r w:rsidRPr="00E47A7F">
              <w:t>720,649</w:t>
            </w:r>
          </w:p>
        </w:tc>
      </w:tr>
      <w:tr w:rsidR="00DE0F9C" w:rsidRPr="00050253" w14:paraId="00BF3764" w14:textId="77777777" w:rsidTr="004C1C2A">
        <w:tc>
          <w:tcPr>
            <w:tcW w:w="1559" w:type="dxa"/>
          </w:tcPr>
          <w:p w14:paraId="6DBF69AA" w14:textId="77777777" w:rsidR="00DE0F9C" w:rsidRPr="00E47A7F" w:rsidRDefault="00DE0F9C" w:rsidP="004C1C2A">
            <w:r w:rsidRPr="00E47A7F">
              <w:t>2009–2010</w:t>
            </w:r>
          </w:p>
        </w:tc>
        <w:tc>
          <w:tcPr>
            <w:cnfStyle w:val="000010000000" w:firstRow="0" w:lastRow="0" w:firstColumn="0" w:lastColumn="0" w:oddVBand="1" w:evenVBand="0" w:oddHBand="0" w:evenHBand="0" w:firstRowFirstColumn="0" w:firstRowLastColumn="0" w:lastRowFirstColumn="0" w:lastRowLastColumn="0"/>
            <w:tcW w:w="1559" w:type="dxa"/>
          </w:tcPr>
          <w:p w14:paraId="63459DAF" w14:textId="77777777" w:rsidR="00DE0F9C" w:rsidRPr="00E47A7F" w:rsidRDefault="00DE0F9C" w:rsidP="004C1C2A">
            <w:r w:rsidRPr="00E47A7F">
              <w:t>743,389</w:t>
            </w:r>
          </w:p>
        </w:tc>
      </w:tr>
      <w:tr w:rsidR="00DE0F9C" w:rsidRPr="00050253" w14:paraId="2ECA6E22" w14:textId="77777777" w:rsidTr="004C1C2A">
        <w:tc>
          <w:tcPr>
            <w:tcW w:w="1559" w:type="dxa"/>
          </w:tcPr>
          <w:p w14:paraId="42BCB19F" w14:textId="77777777" w:rsidR="00DE0F9C" w:rsidRPr="00E47A7F" w:rsidRDefault="00DE0F9C" w:rsidP="004C1C2A">
            <w:r w:rsidRPr="00E47A7F">
              <w:t>2008–2009</w:t>
            </w:r>
          </w:p>
        </w:tc>
        <w:tc>
          <w:tcPr>
            <w:cnfStyle w:val="000010000000" w:firstRow="0" w:lastRow="0" w:firstColumn="0" w:lastColumn="0" w:oddVBand="1" w:evenVBand="0" w:oddHBand="0" w:evenHBand="0" w:firstRowFirstColumn="0" w:firstRowLastColumn="0" w:lastRowFirstColumn="0" w:lastRowLastColumn="0"/>
            <w:tcW w:w="1559" w:type="dxa"/>
          </w:tcPr>
          <w:p w14:paraId="5BF706BD" w14:textId="77777777" w:rsidR="00DE0F9C" w:rsidRPr="00E47A7F" w:rsidRDefault="00DE0F9C" w:rsidP="004C1C2A">
            <w:r w:rsidRPr="00E47A7F">
              <w:t>675,640</w:t>
            </w:r>
          </w:p>
        </w:tc>
      </w:tr>
      <w:tr w:rsidR="00DE0F9C" w:rsidRPr="00050253" w14:paraId="4E6F1539" w14:textId="77777777" w:rsidTr="004C1C2A">
        <w:tc>
          <w:tcPr>
            <w:tcW w:w="1559" w:type="dxa"/>
          </w:tcPr>
          <w:p w14:paraId="26EFD04A" w14:textId="77777777" w:rsidR="00DE0F9C" w:rsidRPr="00E47A7F" w:rsidRDefault="00DE0F9C" w:rsidP="004C1C2A">
            <w:r w:rsidRPr="00E47A7F">
              <w:t>2007–2008</w:t>
            </w:r>
          </w:p>
        </w:tc>
        <w:tc>
          <w:tcPr>
            <w:cnfStyle w:val="000010000000" w:firstRow="0" w:lastRow="0" w:firstColumn="0" w:lastColumn="0" w:oddVBand="1" w:evenVBand="0" w:oddHBand="0" w:evenHBand="0" w:firstRowFirstColumn="0" w:firstRowLastColumn="0" w:lastRowFirstColumn="0" w:lastRowLastColumn="0"/>
            <w:tcW w:w="1559" w:type="dxa"/>
          </w:tcPr>
          <w:p w14:paraId="59167ABA" w14:textId="77777777" w:rsidR="00DE0F9C" w:rsidRPr="00E47A7F" w:rsidRDefault="00DE0F9C" w:rsidP="004C1C2A">
            <w:r w:rsidRPr="00E47A7F">
              <w:t>777,542</w:t>
            </w:r>
          </w:p>
        </w:tc>
      </w:tr>
      <w:tr w:rsidR="00DE0F9C" w:rsidRPr="00050253" w14:paraId="22DA8737" w14:textId="77777777" w:rsidTr="004C1C2A">
        <w:tc>
          <w:tcPr>
            <w:tcW w:w="1559" w:type="dxa"/>
          </w:tcPr>
          <w:p w14:paraId="168E1BE1" w14:textId="77777777" w:rsidR="00DE0F9C" w:rsidRPr="00E47A7F" w:rsidRDefault="00DE0F9C" w:rsidP="004C1C2A">
            <w:r w:rsidRPr="00E47A7F">
              <w:t>2006–2007</w:t>
            </w:r>
          </w:p>
        </w:tc>
        <w:tc>
          <w:tcPr>
            <w:cnfStyle w:val="000010000000" w:firstRow="0" w:lastRow="0" w:firstColumn="0" w:lastColumn="0" w:oddVBand="1" w:evenVBand="0" w:oddHBand="0" w:evenHBand="0" w:firstRowFirstColumn="0" w:firstRowLastColumn="0" w:lastRowFirstColumn="0" w:lastRowLastColumn="0"/>
            <w:tcW w:w="1559" w:type="dxa"/>
          </w:tcPr>
          <w:p w14:paraId="64D036FD" w14:textId="77777777" w:rsidR="00DE0F9C" w:rsidRPr="00E47A7F" w:rsidRDefault="00DE0F9C" w:rsidP="004C1C2A">
            <w:r w:rsidRPr="00E47A7F">
              <w:t>727,464</w:t>
            </w:r>
          </w:p>
        </w:tc>
      </w:tr>
      <w:tr w:rsidR="00DE0F9C" w:rsidRPr="00050253" w14:paraId="231BC9BC" w14:textId="77777777" w:rsidTr="004C1C2A">
        <w:tc>
          <w:tcPr>
            <w:tcW w:w="1559" w:type="dxa"/>
          </w:tcPr>
          <w:p w14:paraId="348213C3" w14:textId="77777777" w:rsidR="00DE0F9C" w:rsidRPr="00E47A7F" w:rsidRDefault="00DE0F9C" w:rsidP="004C1C2A">
            <w:r w:rsidRPr="00E47A7F">
              <w:t>2005–2006</w:t>
            </w:r>
          </w:p>
        </w:tc>
        <w:tc>
          <w:tcPr>
            <w:cnfStyle w:val="000010000000" w:firstRow="0" w:lastRow="0" w:firstColumn="0" w:lastColumn="0" w:oddVBand="1" w:evenVBand="0" w:oddHBand="0" w:evenHBand="0" w:firstRowFirstColumn="0" w:firstRowLastColumn="0" w:lastRowFirstColumn="0" w:lastRowLastColumn="0"/>
            <w:tcW w:w="1559" w:type="dxa"/>
          </w:tcPr>
          <w:p w14:paraId="7D3CDDF4" w14:textId="77777777" w:rsidR="00DE0F9C" w:rsidRPr="00E47A7F" w:rsidRDefault="00DE0F9C" w:rsidP="004C1C2A">
            <w:r w:rsidRPr="00E47A7F">
              <w:t>748,647</w:t>
            </w:r>
          </w:p>
        </w:tc>
      </w:tr>
      <w:tr w:rsidR="00DE0F9C" w:rsidRPr="00050253" w14:paraId="2FD9E160" w14:textId="77777777" w:rsidTr="004C1C2A">
        <w:tc>
          <w:tcPr>
            <w:tcW w:w="1559" w:type="dxa"/>
          </w:tcPr>
          <w:p w14:paraId="7C1700F1" w14:textId="77777777" w:rsidR="00DE0F9C" w:rsidRPr="00E47A7F" w:rsidRDefault="00DE0F9C" w:rsidP="004C1C2A">
            <w:r w:rsidRPr="00E47A7F">
              <w:t>2004–2005</w:t>
            </w:r>
          </w:p>
        </w:tc>
        <w:tc>
          <w:tcPr>
            <w:cnfStyle w:val="000010000000" w:firstRow="0" w:lastRow="0" w:firstColumn="0" w:lastColumn="0" w:oddVBand="1" w:evenVBand="0" w:oddHBand="0" w:evenHBand="0" w:firstRowFirstColumn="0" w:firstRowLastColumn="0" w:lastRowFirstColumn="0" w:lastRowLastColumn="0"/>
            <w:tcW w:w="1559" w:type="dxa"/>
          </w:tcPr>
          <w:p w14:paraId="198C20FA" w14:textId="77777777" w:rsidR="00DE0F9C" w:rsidRPr="00E47A7F" w:rsidRDefault="00DE0F9C" w:rsidP="004C1C2A">
            <w:r w:rsidRPr="00E47A7F">
              <w:t>780,329</w:t>
            </w:r>
          </w:p>
        </w:tc>
      </w:tr>
      <w:tr w:rsidR="00DE0F9C" w:rsidRPr="00050253" w14:paraId="2FEE0D8A" w14:textId="77777777" w:rsidTr="004C1C2A">
        <w:tc>
          <w:tcPr>
            <w:tcW w:w="1559" w:type="dxa"/>
          </w:tcPr>
          <w:p w14:paraId="54A7EF73" w14:textId="77777777" w:rsidR="00DE0F9C" w:rsidRPr="00E47A7F" w:rsidRDefault="00DE0F9C" w:rsidP="004C1C2A">
            <w:r w:rsidRPr="00E47A7F">
              <w:t>2003–2004</w:t>
            </w:r>
          </w:p>
        </w:tc>
        <w:tc>
          <w:tcPr>
            <w:cnfStyle w:val="000010000000" w:firstRow="0" w:lastRow="0" w:firstColumn="0" w:lastColumn="0" w:oddVBand="1" w:evenVBand="0" w:oddHBand="0" w:evenHBand="0" w:firstRowFirstColumn="0" w:firstRowLastColumn="0" w:lastRowFirstColumn="0" w:lastRowLastColumn="0"/>
            <w:tcW w:w="1559" w:type="dxa"/>
          </w:tcPr>
          <w:p w14:paraId="4999E4DF" w14:textId="77777777" w:rsidR="00DE0F9C" w:rsidRPr="00E47A7F" w:rsidRDefault="00DE0F9C" w:rsidP="004C1C2A">
            <w:r w:rsidRPr="00E47A7F">
              <w:t>797,231</w:t>
            </w:r>
          </w:p>
        </w:tc>
      </w:tr>
      <w:tr w:rsidR="00DE0F9C" w:rsidRPr="00050253" w14:paraId="0AE8B93E" w14:textId="77777777" w:rsidTr="004C1C2A">
        <w:tc>
          <w:tcPr>
            <w:tcW w:w="1559" w:type="dxa"/>
          </w:tcPr>
          <w:p w14:paraId="5A8A2865" w14:textId="77777777" w:rsidR="00DE0F9C" w:rsidRPr="00E47A7F" w:rsidRDefault="00DE0F9C" w:rsidP="004C1C2A">
            <w:r w:rsidRPr="00E47A7F">
              <w:t>2002–2003</w:t>
            </w:r>
          </w:p>
        </w:tc>
        <w:tc>
          <w:tcPr>
            <w:cnfStyle w:val="000010000000" w:firstRow="0" w:lastRow="0" w:firstColumn="0" w:lastColumn="0" w:oddVBand="1" w:evenVBand="0" w:oddHBand="0" w:evenHBand="0" w:firstRowFirstColumn="0" w:firstRowLastColumn="0" w:lastRowFirstColumn="0" w:lastRowLastColumn="0"/>
            <w:tcW w:w="1559" w:type="dxa"/>
          </w:tcPr>
          <w:p w14:paraId="013C8C8D" w14:textId="77777777" w:rsidR="00DE0F9C" w:rsidRPr="00E47A7F" w:rsidRDefault="00DE0F9C" w:rsidP="004C1C2A">
            <w:r w:rsidRPr="00E47A7F">
              <w:t>798,686</w:t>
            </w:r>
          </w:p>
        </w:tc>
      </w:tr>
      <w:tr w:rsidR="00DE0F9C" w:rsidRPr="00050253" w14:paraId="58027A5C" w14:textId="77777777" w:rsidTr="004C1C2A">
        <w:tc>
          <w:tcPr>
            <w:tcW w:w="1559" w:type="dxa"/>
          </w:tcPr>
          <w:p w14:paraId="1D1745F6" w14:textId="77777777" w:rsidR="00DE0F9C" w:rsidRPr="00E47A7F" w:rsidRDefault="00DE0F9C" w:rsidP="004C1C2A">
            <w:r w:rsidRPr="00E47A7F">
              <w:t>2001–2002</w:t>
            </w:r>
          </w:p>
        </w:tc>
        <w:tc>
          <w:tcPr>
            <w:cnfStyle w:val="000010000000" w:firstRow="0" w:lastRow="0" w:firstColumn="0" w:lastColumn="0" w:oddVBand="1" w:evenVBand="0" w:oddHBand="0" w:evenHBand="0" w:firstRowFirstColumn="0" w:firstRowLastColumn="0" w:lastRowFirstColumn="0" w:lastRowLastColumn="0"/>
            <w:tcW w:w="1559" w:type="dxa"/>
          </w:tcPr>
          <w:p w14:paraId="20E3A375" w14:textId="77777777" w:rsidR="00DE0F9C" w:rsidRPr="00E47A7F" w:rsidRDefault="00DE0F9C" w:rsidP="004C1C2A">
            <w:r w:rsidRPr="00E47A7F">
              <w:t>792,336</w:t>
            </w:r>
          </w:p>
        </w:tc>
      </w:tr>
      <w:tr w:rsidR="00DE0F9C" w:rsidRPr="00050253" w14:paraId="05CCDE6A" w14:textId="77777777" w:rsidTr="004C1C2A">
        <w:tc>
          <w:tcPr>
            <w:tcW w:w="1559" w:type="dxa"/>
          </w:tcPr>
          <w:p w14:paraId="721CFC1D" w14:textId="77777777" w:rsidR="00DE0F9C" w:rsidRPr="00E47A7F" w:rsidRDefault="00DE0F9C" w:rsidP="004C1C2A">
            <w:r w:rsidRPr="00E47A7F">
              <w:t>2000–2001</w:t>
            </w:r>
          </w:p>
        </w:tc>
        <w:tc>
          <w:tcPr>
            <w:cnfStyle w:val="000010000000" w:firstRow="0" w:lastRow="0" w:firstColumn="0" w:lastColumn="0" w:oddVBand="1" w:evenVBand="0" w:oddHBand="0" w:evenHBand="0" w:firstRowFirstColumn="0" w:firstRowLastColumn="0" w:lastRowFirstColumn="0" w:lastRowLastColumn="0"/>
            <w:tcW w:w="1559" w:type="dxa"/>
          </w:tcPr>
          <w:p w14:paraId="5D00E137" w14:textId="77777777" w:rsidR="00DE0F9C" w:rsidRDefault="00DE0F9C" w:rsidP="004C1C2A">
            <w:r w:rsidRPr="00E47A7F">
              <w:t>670,865</w:t>
            </w:r>
          </w:p>
        </w:tc>
      </w:tr>
    </w:tbl>
    <w:p w14:paraId="1F7D3D69" w14:textId="77777777" w:rsidR="00DE0F9C" w:rsidRDefault="00DE0F9C" w:rsidP="004E68E1">
      <w:pPr>
        <w:pStyle w:val="BodyText"/>
        <w:tabs>
          <w:tab w:val="left" w:pos="1701"/>
        </w:tabs>
      </w:pPr>
    </w:p>
    <w:p w14:paraId="22A9A1C3" w14:textId="77777777" w:rsidR="00DE0F9C" w:rsidRDefault="00DE0F9C" w:rsidP="004E68E1">
      <w:pPr>
        <w:pStyle w:val="BodyText"/>
        <w:tabs>
          <w:tab w:val="left" w:pos="1701"/>
        </w:tabs>
      </w:pPr>
    </w:p>
    <w:p w14:paraId="60AF8DA7" w14:textId="77777777" w:rsidR="00BD2F45" w:rsidRDefault="00BD2F45">
      <w:pPr>
        <w:rPr>
          <w:b/>
          <w:bCs/>
          <w:color w:val="B3272F" w:themeColor="text2"/>
          <w:kern w:val="32"/>
          <w:sz w:val="40"/>
          <w:szCs w:val="32"/>
        </w:rPr>
      </w:pPr>
      <w:r>
        <w:br w:type="page"/>
      </w:r>
    </w:p>
    <w:p w14:paraId="49DA3B60" w14:textId="46DE2CD7" w:rsidR="004E68E1" w:rsidRDefault="008F259B" w:rsidP="00BD2F45">
      <w:pPr>
        <w:pStyle w:val="Heading1"/>
      </w:pPr>
      <w:bookmarkStart w:id="10" w:name="_Toc46161448"/>
      <w:bookmarkStart w:id="11" w:name="_Toc46822573"/>
      <w:r>
        <w:t>Yearly lodgements (1945–20</w:t>
      </w:r>
      <w:r w:rsidR="00000F37">
        <w:t>20</w:t>
      </w:r>
      <w:r w:rsidR="004E68E1">
        <w:t>)</w:t>
      </w:r>
      <w:bookmarkEnd w:id="10"/>
      <w:bookmarkEnd w:id="11"/>
    </w:p>
    <w:p w14:paraId="5424A771" w14:textId="77777777" w:rsidR="004E68E1" w:rsidRDefault="004E68E1" w:rsidP="004E68E1">
      <w:pPr>
        <w:pStyle w:val="BodyText"/>
      </w:pPr>
      <w:r>
        <w:t xml:space="preserve">This graph represents the yearly lodgements for each year since 1945. </w:t>
      </w:r>
    </w:p>
    <w:p w14:paraId="1D388487" w14:textId="77777777" w:rsidR="004E68E1" w:rsidRDefault="004E68E1" w:rsidP="004E68E1">
      <w:pPr>
        <w:pStyle w:val="BodyText"/>
      </w:pPr>
      <w:r>
        <w:t>A trend line has also been incorporated to give an indication of the growth in lodgements over time.</w:t>
      </w:r>
    </w:p>
    <w:p w14:paraId="1C40E6CB" w14:textId="77777777" w:rsidR="004E68E1" w:rsidRDefault="004E68E1" w:rsidP="004E68E1">
      <w:pPr>
        <w:pStyle w:val="BodyText"/>
      </w:pPr>
      <w:r>
        <w:t>Since 1945, the trend line shows a 4.0 per cent increase per annum.</w:t>
      </w:r>
    </w:p>
    <w:p w14:paraId="00E2B29F" w14:textId="77777777" w:rsidR="00D048DD" w:rsidRDefault="00D048DD" w:rsidP="00D339EE">
      <w:pPr>
        <w:pStyle w:val="BodyText"/>
      </w:pPr>
    </w:p>
    <w:p w14:paraId="40066BC2" w14:textId="09C99EF8" w:rsidR="004E68E1" w:rsidRDefault="00691639" w:rsidP="00D339EE">
      <w:pPr>
        <w:pStyle w:val="BodyText"/>
        <w:rPr>
          <w:b/>
          <w:bCs/>
          <w:color w:val="B3272F" w:themeColor="text2"/>
          <w:kern w:val="32"/>
          <w:sz w:val="40"/>
          <w:szCs w:val="32"/>
        </w:rPr>
      </w:pPr>
      <w:r>
        <w:rPr>
          <w:noProof/>
        </w:rPr>
        <w:drawing>
          <wp:inline distT="0" distB="0" distL="0" distR="0" wp14:anchorId="3024EE46" wp14:editId="4272E7EC">
            <wp:extent cx="6141085" cy="41352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45074" cy="4137957"/>
                    </a:xfrm>
                    <a:prstGeom prst="rect">
                      <a:avLst/>
                    </a:prstGeom>
                    <a:noFill/>
                  </pic:spPr>
                </pic:pic>
              </a:graphicData>
            </a:graphic>
          </wp:inline>
        </w:drawing>
      </w:r>
      <w:r w:rsidR="004E68E1">
        <w:br w:type="page"/>
      </w:r>
    </w:p>
    <w:p w14:paraId="5160BFD0" w14:textId="77777777" w:rsidR="004E68E1" w:rsidRDefault="004E68E1" w:rsidP="004E68E1">
      <w:pPr>
        <w:pStyle w:val="Heading1"/>
      </w:pPr>
      <w:bookmarkStart w:id="12" w:name="_Toc46161449"/>
      <w:bookmarkStart w:id="13" w:name="_Toc46822574"/>
      <w:r>
        <w:t>Monthly lodgement</w:t>
      </w:r>
      <w:r w:rsidR="00D9095B">
        <w:t>s</w:t>
      </w:r>
      <w:bookmarkEnd w:id="12"/>
      <w:bookmarkEnd w:id="13"/>
    </w:p>
    <w:p w14:paraId="07AB77EA" w14:textId="77777777" w:rsidR="004E68E1" w:rsidRDefault="004E68E1" w:rsidP="004E68E1">
      <w:pPr>
        <w:pStyle w:val="BodyText"/>
      </w:pPr>
      <w:r>
        <w:t xml:space="preserve">This graph shows the number of lodgements received for each month of the financial year. </w:t>
      </w:r>
    </w:p>
    <w:p w14:paraId="58240E51" w14:textId="0EA23814" w:rsidR="004E68E1" w:rsidRDefault="00D37D04" w:rsidP="004E68E1">
      <w:pPr>
        <w:pStyle w:val="BodyText"/>
      </w:pPr>
      <w:r>
        <w:t>In the 201</w:t>
      </w:r>
      <w:r w:rsidR="001C68F0">
        <w:t>9</w:t>
      </w:r>
      <w:r>
        <w:t>–20</w:t>
      </w:r>
      <w:r w:rsidR="001C68F0">
        <w:t>20</w:t>
      </w:r>
      <w:r w:rsidR="004E68E1">
        <w:t xml:space="preserve"> financial year, the average number of lodgements was </w:t>
      </w:r>
      <w:r w:rsidR="008A296F">
        <w:t>7</w:t>
      </w:r>
      <w:r w:rsidR="00833D37">
        <w:t>1,1</w:t>
      </w:r>
      <w:r w:rsidR="00AC51FD">
        <w:t>02</w:t>
      </w:r>
      <w:r w:rsidR="00833D37">
        <w:t xml:space="preserve"> </w:t>
      </w:r>
      <w:r w:rsidR="004E68E1">
        <w:t>per month.</w:t>
      </w:r>
    </w:p>
    <w:p w14:paraId="7A46301C" w14:textId="25FD169B" w:rsidR="004E68E1" w:rsidRDefault="004E68E1" w:rsidP="004E68E1">
      <w:pPr>
        <w:pStyle w:val="BodyText"/>
      </w:pPr>
    </w:p>
    <w:p w14:paraId="71B09795" w14:textId="77777777" w:rsidR="004E68E1" w:rsidRDefault="004E68E1" w:rsidP="004E68E1">
      <w:pPr>
        <w:pStyle w:val="BodyText"/>
      </w:pPr>
    </w:p>
    <w:p w14:paraId="1EB4213F" w14:textId="2C948162" w:rsidR="004E68E1" w:rsidRDefault="00E51377">
      <w:pPr>
        <w:rPr>
          <w:b/>
          <w:bCs/>
          <w:color w:val="B3272F" w:themeColor="text2"/>
          <w:kern w:val="32"/>
          <w:sz w:val="40"/>
          <w:szCs w:val="32"/>
        </w:rPr>
      </w:pPr>
      <w:r>
        <w:rPr>
          <w:noProof/>
        </w:rPr>
        <w:drawing>
          <wp:inline distT="0" distB="0" distL="0" distR="0" wp14:anchorId="583469A9" wp14:editId="52926A7D">
            <wp:extent cx="5472753" cy="3166745"/>
            <wp:effectExtent l="0" t="0" r="13970" b="14605"/>
            <wp:docPr id="38" name="Chart 38">
              <a:extLst xmlns:a="http://schemas.openxmlformats.org/drawingml/2006/main">
                <a:ext uri="{FF2B5EF4-FFF2-40B4-BE49-F238E27FC236}">
                  <a16:creationId xmlns:a16="http://schemas.microsoft.com/office/drawing/2014/main" id="{00000000-0008-0000-0700-0000DBD7FF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4E68E1">
        <w:br w:type="page"/>
      </w:r>
    </w:p>
    <w:p w14:paraId="7F6C39EF" w14:textId="77777777" w:rsidR="004E68E1" w:rsidRDefault="004E68E1" w:rsidP="002A5A60">
      <w:pPr>
        <w:pStyle w:val="Heading1"/>
      </w:pPr>
      <w:bookmarkStart w:id="14" w:name="_Toc46161450"/>
      <w:bookmarkStart w:id="15" w:name="_Toc46822575"/>
      <w:r>
        <w:t>Average daily lodgements (with trend line)</w:t>
      </w:r>
      <w:bookmarkEnd w:id="14"/>
      <w:bookmarkEnd w:id="15"/>
    </w:p>
    <w:p w14:paraId="75F79409" w14:textId="393624FA" w:rsidR="004E68E1" w:rsidRDefault="004E68E1" w:rsidP="004E68E1">
      <w:pPr>
        <w:pStyle w:val="BodyText"/>
      </w:pPr>
      <w:r>
        <w:t>This graph shows the daily average lodg</w:t>
      </w:r>
      <w:r w:rsidR="00490024">
        <w:t>ements for each week of the 201</w:t>
      </w:r>
      <w:r w:rsidR="0025292B">
        <w:t>9</w:t>
      </w:r>
      <w:r w:rsidR="00490024">
        <w:t>–20</w:t>
      </w:r>
      <w:r w:rsidR="0025292B">
        <w:t>20</w:t>
      </w:r>
      <w:r>
        <w:t xml:space="preserve"> financial year. </w:t>
      </w:r>
    </w:p>
    <w:p w14:paraId="35F7142F" w14:textId="53743626" w:rsidR="004E68E1" w:rsidRDefault="004E68E1" w:rsidP="004E68E1">
      <w:pPr>
        <w:pStyle w:val="BodyText"/>
      </w:pPr>
      <w:r>
        <w:t>The average daily lodgement through</w:t>
      </w:r>
      <w:r w:rsidR="00F56397">
        <w:t>out the financial year w</w:t>
      </w:r>
      <w:r w:rsidR="00E9125D">
        <w:t>as 3,</w:t>
      </w:r>
      <w:r w:rsidR="00772F0C">
        <w:t>23</w:t>
      </w:r>
      <w:r w:rsidR="000B6770">
        <w:t>6</w:t>
      </w:r>
      <w:r>
        <w:t xml:space="preserve"> per day. </w:t>
      </w:r>
    </w:p>
    <w:p w14:paraId="62CE0CBD" w14:textId="6901D77A" w:rsidR="004E68E1" w:rsidRDefault="004E68E1" w:rsidP="004E68E1">
      <w:pPr>
        <w:pStyle w:val="BodyText"/>
      </w:pPr>
      <w:r>
        <w:t xml:space="preserve">The average daily lodgement is monitored </w:t>
      </w:r>
      <w:proofErr w:type="gramStart"/>
      <w:r>
        <w:t>on</w:t>
      </w:r>
      <w:r w:rsidR="003874A7">
        <w:t xml:space="preserve"> </w:t>
      </w:r>
      <w:r>
        <w:t>a</w:t>
      </w:r>
      <w:r w:rsidR="003874A7">
        <w:t xml:space="preserve"> </w:t>
      </w:r>
      <w:r>
        <w:t>daily bas</w:t>
      </w:r>
      <w:r w:rsidR="007314A0">
        <w:t>is</w:t>
      </w:r>
      <w:proofErr w:type="gramEnd"/>
      <w:r w:rsidR="003874A7">
        <w:t xml:space="preserve"> </w:t>
      </w:r>
      <w:r w:rsidR="007314A0">
        <w:t>(along with moving averages).</w:t>
      </w:r>
    </w:p>
    <w:p w14:paraId="1098ADE0" w14:textId="77777777" w:rsidR="002A5A60" w:rsidRDefault="002A5A60" w:rsidP="004E68E1">
      <w:pPr>
        <w:pStyle w:val="BodyText"/>
      </w:pPr>
    </w:p>
    <w:p w14:paraId="15CB9B4F" w14:textId="046CFB4C" w:rsidR="004E68E1" w:rsidRDefault="002A5A60" w:rsidP="004E68E1">
      <w:pPr>
        <w:pStyle w:val="BodyText"/>
      </w:pPr>
      <w:r>
        <w:rPr>
          <w:noProof/>
        </w:rPr>
        <w:drawing>
          <wp:inline distT="0" distB="0" distL="0" distR="0" wp14:anchorId="381828FD" wp14:editId="349A041C">
            <wp:extent cx="5895833" cy="371919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03415" cy="3723978"/>
                    </a:xfrm>
                    <a:prstGeom prst="rect">
                      <a:avLst/>
                    </a:prstGeom>
                    <a:noFill/>
                  </pic:spPr>
                </pic:pic>
              </a:graphicData>
            </a:graphic>
          </wp:inline>
        </w:drawing>
      </w:r>
    </w:p>
    <w:p w14:paraId="3F11E7B6" w14:textId="77777777" w:rsidR="004E68E1" w:rsidRDefault="004E68E1">
      <w:pPr>
        <w:rPr>
          <w:b/>
          <w:bCs/>
          <w:color w:val="B3272F" w:themeColor="text2"/>
          <w:kern w:val="32"/>
          <w:sz w:val="40"/>
          <w:szCs w:val="32"/>
        </w:rPr>
      </w:pPr>
      <w:r>
        <w:br w:type="page"/>
      </w:r>
    </w:p>
    <w:p w14:paraId="2CF30BEF" w14:textId="70CF27D4" w:rsidR="004E68E1" w:rsidRDefault="004E68E1" w:rsidP="004E68E1">
      <w:pPr>
        <w:pStyle w:val="Heading1"/>
      </w:pPr>
      <w:bookmarkStart w:id="16" w:name="_Toc46161451"/>
      <w:bookmarkStart w:id="17" w:name="_Toc46822576"/>
      <w:r>
        <w:t>Financial year lodgements</w:t>
      </w:r>
      <w:r w:rsidR="009F061C">
        <w:t xml:space="preserve"> from 2011-2012 to 201</w:t>
      </w:r>
      <w:r w:rsidR="0010129E">
        <w:t>9</w:t>
      </w:r>
      <w:r w:rsidR="009F061C">
        <w:t>-20</w:t>
      </w:r>
      <w:r w:rsidR="0010129E">
        <w:t>20</w:t>
      </w:r>
      <w:r>
        <w:t xml:space="preserve"> (by month)</w:t>
      </w:r>
      <w:bookmarkEnd w:id="16"/>
      <w:bookmarkEnd w:id="17"/>
    </w:p>
    <w:p w14:paraId="031D8900" w14:textId="18A5F16C" w:rsidR="004E68E1" w:rsidRDefault="004E68E1" w:rsidP="004E68E1">
      <w:pPr>
        <w:pStyle w:val="BodyText"/>
      </w:pPr>
      <w:r>
        <w:t>This graph compares m</w:t>
      </w:r>
      <w:r w:rsidR="00F55828">
        <w:t>onthly lodgements since the 201</w:t>
      </w:r>
      <w:r w:rsidR="007C10D0">
        <w:t>9</w:t>
      </w:r>
      <w:r w:rsidR="00F55828">
        <w:t>–20</w:t>
      </w:r>
      <w:r w:rsidR="007C10D0">
        <w:t>20</w:t>
      </w:r>
      <w:r>
        <w:t xml:space="preserve"> financial year.</w:t>
      </w:r>
    </w:p>
    <w:p w14:paraId="1F1D68D1" w14:textId="6F75D69D" w:rsidR="004E68E1" w:rsidRDefault="007C10D0" w:rsidP="004E68E1">
      <w:pPr>
        <w:pStyle w:val="BodyText"/>
      </w:pPr>
      <w:r>
        <w:rPr>
          <w:noProof/>
        </w:rPr>
        <w:drawing>
          <wp:inline distT="0" distB="0" distL="0" distR="0" wp14:anchorId="0AD812BD" wp14:editId="1C571F30">
            <wp:extent cx="5990608" cy="3957851"/>
            <wp:effectExtent l="0" t="0" r="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15898" cy="3974559"/>
                    </a:xfrm>
                    <a:prstGeom prst="rect">
                      <a:avLst/>
                    </a:prstGeom>
                    <a:noFill/>
                  </pic:spPr>
                </pic:pic>
              </a:graphicData>
            </a:graphic>
          </wp:inline>
        </w:drawing>
      </w:r>
    </w:p>
    <w:p w14:paraId="464AED06" w14:textId="505E8666" w:rsidR="004E68E1" w:rsidRDefault="004E68E1" w:rsidP="004E68E1">
      <w:pPr>
        <w:pStyle w:val="BodyText"/>
      </w:pPr>
    </w:p>
    <w:p w14:paraId="4373DA84" w14:textId="555E2856" w:rsidR="004E68E1" w:rsidRDefault="004E68E1">
      <w:pPr>
        <w:rPr>
          <w:rFonts w:cs="Times New Roman"/>
          <w:lang w:eastAsia="en-US"/>
        </w:rPr>
      </w:pPr>
      <w:r>
        <w:br w:type="page"/>
      </w:r>
    </w:p>
    <w:p w14:paraId="4E92E3E7" w14:textId="77777777" w:rsidR="004E68E1" w:rsidRDefault="004E68E1" w:rsidP="004E68E1">
      <w:pPr>
        <w:pStyle w:val="Heading1"/>
      </w:pPr>
      <w:bookmarkStart w:id="18" w:name="_Toc46161452"/>
      <w:bookmarkStart w:id="19" w:name="_Toc46822577"/>
      <w:r>
        <w:t>Search</w:t>
      </w:r>
      <w:bookmarkEnd w:id="18"/>
      <w:bookmarkEnd w:id="19"/>
    </w:p>
    <w:p w14:paraId="743DE89C" w14:textId="77777777" w:rsidR="004E68E1" w:rsidRDefault="004E68E1" w:rsidP="004E68E1">
      <w:pPr>
        <w:pStyle w:val="BodyText"/>
      </w:pPr>
      <w:r>
        <w:t xml:space="preserve">There are </w:t>
      </w:r>
      <w:proofErr w:type="gramStart"/>
      <w:r>
        <w:t>a number of</w:t>
      </w:r>
      <w:proofErr w:type="gramEnd"/>
      <w:r>
        <w:t xml:space="preserve"> search categories listed below, together with historical data to show trends.</w:t>
      </w:r>
    </w:p>
    <w:p w14:paraId="0611A4C2" w14:textId="77777777" w:rsidR="004E68E1" w:rsidRDefault="004E68E1" w:rsidP="004E68E1">
      <w:pPr>
        <w:pStyle w:val="Heading2"/>
      </w:pPr>
      <w:bookmarkStart w:id="20" w:name="_Toc46161453"/>
      <w:bookmarkStart w:id="21" w:name="_Toc46822578"/>
      <w:r>
        <w:t>Title searches</w:t>
      </w:r>
      <w:bookmarkEnd w:id="20"/>
      <w:bookmarkEnd w:id="21"/>
    </w:p>
    <w:p w14:paraId="6DEA5228" w14:textId="1F227CE5" w:rsidR="004E68E1" w:rsidRDefault="00E00FF2" w:rsidP="004E68E1">
      <w:pPr>
        <w:pStyle w:val="BodyText"/>
      </w:pPr>
      <w:r>
        <w:t xml:space="preserve">Title searches </w:t>
      </w:r>
      <w:r w:rsidR="002A15B3">
        <w:t>in</w:t>
      </w:r>
      <w:r>
        <w:t>cr</w:t>
      </w:r>
      <w:r w:rsidR="003411FA">
        <w:t xml:space="preserve">eased by </w:t>
      </w:r>
      <w:r w:rsidR="00F748C5">
        <w:t>2.</w:t>
      </w:r>
      <w:r w:rsidR="0079174F">
        <w:t>28</w:t>
      </w:r>
      <w:r w:rsidR="00F748C5">
        <w:t>%</w:t>
      </w:r>
      <w:r w:rsidR="003411FA">
        <w:t xml:space="preserve"> per cent in the 201</w:t>
      </w:r>
      <w:r w:rsidR="00F748C5">
        <w:t>9-</w:t>
      </w:r>
      <w:r w:rsidR="003411FA">
        <w:t>20</w:t>
      </w:r>
      <w:r w:rsidR="00F748C5">
        <w:t>20</w:t>
      </w:r>
      <w:r w:rsidR="004E68E1">
        <w:t xml:space="preserve"> financial year</w:t>
      </w:r>
      <w:r w:rsidR="004E68E1" w:rsidRPr="000960F6">
        <w:rPr>
          <w:color w:val="FF0000"/>
        </w:rPr>
        <w:t>.</w:t>
      </w:r>
      <w:r w:rsidR="00DA2991" w:rsidRPr="000960F6">
        <w:rPr>
          <w:color w:val="FF0000"/>
        </w:rPr>
        <w:t xml:space="preserve"> </w:t>
      </w:r>
      <w:r w:rsidR="00DA2991" w:rsidRPr="00B835F7">
        <w:rPr>
          <w:color w:val="auto"/>
        </w:rPr>
        <w:t>(Note total figure re</w:t>
      </w:r>
      <w:r w:rsidR="008E63C6" w:rsidRPr="00B835F7">
        <w:rPr>
          <w:color w:val="auto"/>
        </w:rPr>
        <w:t>-</w:t>
      </w:r>
      <w:r w:rsidR="00DA2991" w:rsidRPr="00B835F7">
        <w:rPr>
          <w:color w:val="auto"/>
        </w:rPr>
        <w:t>adjusted</w:t>
      </w:r>
      <w:r w:rsidR="00931E19" w:rsidRPr="00B835F7">
        <w:rPr>
          <w:color w:val="auto"/>
        </w:rPr>
        <w:t xml:space="preserve"> </w:t>
      </w:r>
      <w:r w:rsidR="005F20BF" w:rsidRPr="00B835F7">
        <w:rPr>
          <w:color w:val="auto"/>
        </w:rPr>
        <w:t xml:space="preserve">from </w:t>
      </w:r>
      <w:r w:rsidR="00931E19" w:rsidRPr="00B835F7">
        <w:rPr>
          <w:color w:val="auto"/>
        </w:rPr>
        <w:t>YTD in the June monthly report, due to a small calculation error being detected</w:t>
      </w:r>
      <w:r w:rsidR="00520B37" w:rsidRPr="00B835F7">
        <w:rPr>
          <w:color w:val="auto"/>
        </w:rPr>
        <w:t>)</w:t>
      </w:r>
    </w:p>
    <w:tbl>
      <w:tblPr>
        <w:tblStyle w:val="TableGrid"/>
        <w:tblW w:w="0" w:type="auto"/>
        <w:tblLook w:val="00A0" w:firstRow="1" w:lastRow="0" w:firstColumn="1" w:lastColumn="0" w:noHBand="0" w:noVBand="0"/>
      </w:tblPr>
      <w:tblGrid>
        <w:gridCol w:w="1559"/>
        <w:gridCol w:w="1559"/>
      </w:tblGrid>
      <w:tr w:rsidR="00DA17D6" w:rsidRPr="00050253" w14:paraId="59B32BDE" w14:textId="77777777" w:rsidTr="004C1C2A">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59" w:type="dxa"/>
          </w:tcPr>
          <w:p w14:paraId="1AFAA4C6" w14:textId="77777777" w:rsidR="00DA17D6" w:rsidRPr="00050253" w:rsidRDefault="00DA17D6" w:rsidP="004C1C2A">
            <w:pPr>
              <w:pStyle w:val="TableHeadingLeft"/>
            </w:pPr>
          </w:p>
        </w:tc>
        <w:tc>
          <w:tcPr>
            <w:cnfStyle w:val="000010000000" w:firstRow="0" w:lastRow="0" w:firstColumn="0" w:lastColumn="0" w:oddVBand="1" w:evenVBand="0" w:oddHBand="0" w:evenHBand="0" w:firstRowFirstColumn="0" w:firstRowLastColumn="0" w:lastRowFirstColumn="0" w:lastRowLastColumn="0"/>
            <w:tcW w:w="1559" w:type="dxa"/>
          </w:tcPr>
          <w:p w14:paraId="1C8FF4E8" w14:textId="77777777" w:rsidR="00DA17D6" w:rsidRPr="00050253" w:rsidRDefault="00DA17D6" w:rsidP="004C1C2A">
            <w:pPr>
              <w:pStyle w:val="TableHeadingLeft"/>
            </w:pPr>
          </w:p>
        </w:tc>
      </w:tr>
      <w:tr w:rsidR="00223036" w:rsidRPr="00050253" w14:paraId="18D16163" w14:textId="77777777" w:rsidTr="00B664EF">
        <w:trPr>
          <w:trHeight w:val="294"/>
        </w:trPr>
        <w:tc>
          <w:tcPr>
            <w:tcW w:w="1559" w:type="dxa"/>
          </w:tcPr>
          <w:p w14:paraId="490DC17A" w14:textId="6CC38EA8" w:rsidR="00223036" w:rsidRDefault="00223036" w:rsidP="00DA17D6">
            <w:pPr>
              <w:pStyle w:val="BodyText"/>
            </w:pPr>
            <w:r>
              <w:t>2019</w:t>
            </w:r>
            <w:r w:rsidR="00BC5672">
              <w:t>-2020</w:t>
            </w:r>
          </w:p>
        </w:tc>
        <w:tc>
          <w:tcPr>
            <w:cnfStyle w:val="000010000000" w:firstRow="0" w:lastRow="0" w:firstColumn="0" w:lastColumn="0" w:oddVBand="1" w:evenVBand="0" w:oddHBand="0" w:evenHBand="0" w:firstRowFirstColumn="0" w:firstRowLastColumn="0" w:lastRowFirstColumn="0" w:lastRowLastColumn="0"/>
            <w:tcW w:w="1559" w:type="dxa"/>
          </w:tcPr>
          <w:p w14:paraId="2FC44D2C" w14:textId="2EB5DA6C" w:rsidR="00223036" w:rsidRDefault="00210C09" w:rsidP="00DA17D6">
            <w:pPr>
              <w:pStyle w:val="BodyText"/>
            </w:pPr>
            <w:r>
              <w:t>2,</w:t>
            </w:r>
            <w:r w:rsidR="0048100F">
              <w:t>540</w:t>
            </w:r>
            <w:r w:rsidR="00447E4A">
              <w:t>,</w:t>
            </w:r>
            <w:r w:rsidR="0048100F">
              <w:t>297</w:t>
            </w:r>
          </w:p>
        </w:tc>
      </w:tr>
      <w:tr w:rsidR="00DE0F9C" w:rsidRPr="00050253" w14:paraId="4F28C805" w14:textId="77777777" w:rsidTr="00B664EF">
        <w:trPr>
          <w:trHeight w:val="294"/>
        </w:trPr>
        <w:tc>
          <w:tcPr>
            <w:tcW w:w="1559" w:type="dxa"/>
          </w:tcPr>
          <w:p w14:paraId="515EC4C3" w14:textId="6DD081AB" w:rsidR="00DE0F9C" w:rsidRPr="00050253" w:rsidRDefault="00DA17D6" w:rsidP="00DA17D6">
            <w:pPr>
              <w:pStyle w:val="BodyText"/>
            </w:pPr>
            <w:r>
              <w:t>2018-2019</w:t>
            </w:r>
          </w:p>
        </w:tc>
        <w:tc>
          <w:tcPr>
            <w:cnfStyle w:val="000010000000" w:firstRow="0" w:lastRow="0" w:firstColumn="0" w:lastColumn="0" w:oddVBand="1" w:evenVBand="0" w:oddHBand="0" w:evenHBand="0" w:firstRowFirstColumn="0" w:firstRowLastColumn="0" w:lastRowFirstColumn="0" w:lastRowLastColumn="0"/>
            <w:tcW w:w="1559" w:type="dxa"/>
          </w:tcPr>
          <w:p w14:paraId="3BAF4CF9" w14:textId="05BAA2A5" w:rsidR="00DE0F9C" w:rsidRPr="00050253" w:rsidRDefault="00DA17D6" w:rsidP="00DA17D6">
            <w:pPr>
              <w:pStyle w:val="BodyText"/>
            </w:pPr>
            <w:r>
              <w:t>2,483,433</w:t>
            </w:r>
          </w:p>
        </w:tc>
      </w:tr>
      <w:tr w:rsidR="003C4B6C" w:rsidRPr="00050253" w14:paraId="6ECFB211" w14:textId="77777777" w:rsidTr="004C1C2A">
        <w:tc>
          <w:tcPr>
            <w:tcW w:w="1559" w:type="dxa"/>
          </w:tcPr>
          <w:p w14:paraId="6892615B" w14:textId="1823E2DF" w:rsidR="003C4B6C" w:rsidRDefault="003C4B6C" w:rsidP="004C1C2A">
            <w:r>
              <w:t>2017-2018</w:t>
            </w:r>
          </w:p>
        </w:tc>
        <w:tc>
          <w:tcPr>
            <w:cnfStyle w:val="000010000000" w:firstRow="0" w:lastRow="0" w:firstColumn="0" w:lastColumn="0" w:oddVBand="1" w:evenVBand="0" w:oddHBand="0" w:evenHBand="0" w:firstRowFirstColumn="0" w:firstRowLastColumn="0" w:lastRowFirstColumn="0" w:lastRowLastColumn="0"/>
            <w:tcW w:w="1559" w:type="dxa"/>
          </w:tcPr>
          <w:p w14:paraId="52ADC0F1" w14:textId="7BE158FD" w:rsidR="003C4B6C" w:rsidRDefault="003411FA" w:rsidP="004C1C2A">
            <w:r>
              <w:t>2,866,297</w:t>
            </w:r>
          </w:p>
        </w:tc>
      </w:tr>
      <w:tr w:rsidR="00017A8B" w:rsidRPr="00050253" w14:paraId="0963AFC0" w14:textId="77777777" w:rsidTr="004C1C2A">
        <w:tc>
          <w:tcPr>
            <w:tcW w:w="1559" w:type="dxa"/>
          </w:tcPr>
          <w:p w14:paraId="6A8E404E" w14:textId="77777777" w:rsidR="00017A8B" w:rsidRPr="004E3DBE" w:rsidRDefault="00017A8B" w:rsidP="004C1C2A">
            <w:r>
              <w:t>2016-2017</w:t>
            </w:r>
          </w:p>
        </w:tc>
        <w:tc>
          <w:tcPr>
            <w:cnfStyle w:val="000010000000" w:firstRow="0" w:lastRow="0" w:firstColumn="0" w:lastColumn="0" w:oddVBand="1" w:evenVBand="0" w:oddHBand="0" w:evenHBand="0" w:firstRowFirstColumn="0" w:firstRowLastColumn="0" w:lastRowFirstColumn="0" w:lastRowLastColumn="0"/>
            <w:tcW w:w="1559" w:type="dxa"/>
          </w:tcPr>
          <w:p w14:paraId="6E45DE07" w14:textId="77777777" w:rsidR="00017A8B" w:rsidRPr="004E3DBE" w:rsidRDefault="00017A8B" w:rsidP="004C1C2A">
            <w:r>
              <w:t>2,463,249</w:t>
            </w:r>
          </w:p>
        </w:tc>
      </w:tr>
      <w:tr w:rsidR="00DE0F9C" w:rsidRPr="00050253" w14:paraId="1A8BD31D" w14:textId="77777777" w:rsidTr="004C1C2A">
        <w:tc>
          <w:tcPr>
            <w:tcW w:w="1559" w:type="dxa"/>
          </w:tcPr>
          <w:p w14:paraId="505A204E" w14:textId="77777777" w:rsidR="00DE0F9C" w:rsidRPr="004E3DBE" w:rsidRDefault="00DE0F9C" w:rsidP="004C1C2A">
            <w:r w:rsidRPr="004E3DBE">
              <w:t>2015-2016</w:t>
            </w:r>
          </w:p>
        </w:tc>
        <w:tc>
          <w:tcPr>
            <w:cnfStyle w:val="000010000000" w:firstRow="0" w:lastRow="0" w:firstColumn="0" w:lastColumn="0" w:oddVBand="1" w:evenVBand="0" w:oddHBand="0" w:evenHBand="0" w:firstRowFirstColumn="0" w:firstRowLastColumn="0" w:lastRowFirstColumn="0" w:lastRowLastColumn="0"/>
            <w:tcW w:w="1559" w:type="dxa"/>
          </w:tcPr>
          <w:p w14:paraId="2C963C16" w14:textId="77777777" w:rsidR="00DE0F9C" w:rsidRPr="004E3DBE" w:rsidRDefault="00DE0F9C" w:rsidP="004C1C2A">
            <w:r w:rsidRPr="004E3DBE">
              <w:t>2,232,051</w:t>
            </w:r>
          </w:p>
        </w:tc>
      </w:tr>
      <w:tr w:rsidR="00DE0F9C" w:rsidRPr="00050253" w14:paraId="362DE9A1" w14:textId="77777777" w:rsidTr="004C1C2A">
        <w:tc>
          <w:tcPr>
            <w:tcW w:w="1559" w:type="dxa"/>
          </w:tcPr>
          <w:p w14:paraId="012EBF14" w14:textId="77777777" w:rsidR="00DE0F9C" w:rsidRPr="004E3DBE" w:rsidRDefault="00DE0F9C" w:rsidP="004C1C2A">
            <w:r w:rsidRPr="004E3DBE">
              <w:t>2014-2015</w:t>
            </w:r>
          </w:p>
        </w:tc>
        <w:tc>
          <w:tcPr>
            <w:cnfStyle w:val="000010000000" w:firstRow="0" w:lastRow="0" w:firstColumn="0" w:lastColumn="0" w:oddVBand="1" w:evenVBand="0" w:oddHBand="0" w:evenHBand="0" w:firstRowFirstColumn="0" w:firstRowLastColumn="0" w:lastRowFirstColumn="0" w:lastRowLastColumn="0"/>
            <w:tcW w:w="1559" w:type="dxa"/>
          </w:tcPr>
          <w:p w14:paraId="796516F0" w14:textId="77777777" w:rsidR="00DE0F9C" w:rsidRPr="004E3DBE" w:rsidRDefault="00DE0F9C" w:rsidP="004C1C2A">
            <w:r w:rsidRPr="004E3DBE">
              <w:t>2,242,562</w:t>
            </w:r>
          </w:p>
        </w:tc>
      </w:tr>
      <w:tr w:rsidR="00DE0F9C" w:rsidRPr="00050253" w14:paraId="0EC3A9E2" w14:textId="77777777" w:rsidTr="004C1C2A">
        <w:tc>
          <w:tcPr>
            <w:tcW w:w="1559" w:type="dxa"/>
          </w:tcPr>
          <w:p w14:paraId="1A688ED8" w14:textId="77777777" w:rsidR="00DE0F9C" w:rsidRPr="004E3DBE" w:rsidRDefault="00DE0F9C" w:rsidP="004C1C2A">
            <w:r w:rsidRPr="004E3DBE">
              <w:t>2013–2014</w:t>
            </w:r>
          </w:p>
        </w:tc>
        <w:tc>
          <w:tcPr>
            <w:cnfStyle w:val="000010000000" w:firstRow="0" w:lastRow="0" w:firstColumn="0" w:lastColumn="0" w:oddVBand="1" w:evenVBand="0" w:oddHBand="0" w:evenHBand="0" w:firstRowFirstColumn="0" w:firstRowLastColumn="0" w:lastRowFirstColumn="0" w:lastRowLastColumn="0"/>
            <w:tcW w:w="1559" w:type="dxa"/>
          </w:tcPr>
          <w:p w14:paraId="383CC7A4" w14:textId="77777777" w:rsidR="00DE0F9C" w:rsidRPr="004E3DBE" w:rsidRDefault="00DE0F9C" w:rsidP="004C1C2A">
            <w:r w:rsidRPr="004E3DBE">
              <w:t>2,205,947</w:t>
            </w:r>
          </w:p>
        </w:tc>
      </w:tr>
      <w:tr w:rsidR="00DE0F9C" w:rsidRPr="00050253" w14:paraId="0C6FA65B" w14:textId="77777777" w:rsidTr="004C1C2A">
        <w:tc>
          <w:tcPr>
            <w:tcW w:w="1559" w:type="dxa"/>
          </w:tcPr>
          <w:p w14:paraId="03590BA3" w14:textId="77777777" w:rsidR="00DE0F9C" w:rsidRPr="004E3DBE" w:rsidRDefault="00DE0F9C" w:rsidP="004C1C2A">
            <w:r w:rsidRPr="004E3DBE">
              <w:t>2012–2013</w:t>
            </w:r>
          </w:p>
        </w:tc>
        <w:tc>
          <w:tcPr>
            <w:cnfStyle w:val="000010000000" w:firstRow="0" w:lastRow="0" w:firstColumn="0" w:lastColumn="0" w:oddVBand="1" w:evenVBand="0" w:oddHBand="0" w:evenHBand="0" w:firstRowFirstColumn="0" w:firstRowLastColumn="0" w:lastRowFirstColumn="0" w:lastRowLastColumn="0"/>
            <w:tcW w:w="1559" w:type="dxa"/>
          </w:tcPr>
          <w:p w14:paraId="0A20191A" w14:textId="77777777" w:rsidR="00DE0F9C" w:rsidRPr="004E3DBE" w:rsidRDefault="00DE0F9C" w:rsidP="004C1C2A">
            <w:r w:rsidRPr="004E3DBE">
              <w:t>2,169,973</w:t>
            </w:r>
          </w:p>
        </w:tc>
      </w:tr>
      <w:tr w:rsidR="00DE0F9C" w:rsidRPr="00050253" w14:paraId="70A45CBA" w14:textId="77777777" w:rsidTr="004C1C2A">
        <w:tc>
          <w:tcPr>
            <w:tcW w:w="1559" w:type="dxa"/>
          </w:tcPr>
          <w:p w14:paraId="324DB578" w14:textId="77777777" w:rsidR="00DE0F9C" w:rsidRPr="004E3DBE" w:rsidRDefault="00DE0F9C" w:rsidP="004C1C2A">
            <w:r w:rsidRPr="004E3DBE">
              <w:t>2011–2012</w:t>
            </w:r>
          </w:p>
        </w:tc>
        <w:tc>
          <w:tcPr>
            <w:cnfStyle w:val="000010000000" w:firstRow="0" w:lastRow="0" w:firstColumn="0" w:lastColumn="0" w:oddVBand="1" w:evenVBand="0" w:oddHBand="0" w:evenHBand="0" w:firstRowFirstColumn="0" w:firstRowLastColumn="0" w:lastRowFirstColumn="0" w:lastRowLastColumn="0"/>
            <w:tcW w:w="1559" w:type="dxa"/>
          </w:tcPr>
          <w:p w14:paraId="6A379036" w14:textId="77777777" w:rsidR="00DE0F9C" w:rsidRPr="004E3DBE" w:rsidRDefault="00DE0F9C" w:rsidP="004C1C2A">
            <w:r w:rsidRPr="004E3DBE">
              <w:t>2,192,819</w:t>
            </w:r>
          </w:p>
        </w:tc>
      </w:tr>
      <w:tr w:rsidR="00DE0F9C" w:rsidRPr="00050253" w14:paraId="7C7CB481" w14:textId="77777777" w:rsidTr="004C1C2A">
        <w:tc>
          <w:tcPr>
            <w:tcW w:w="1559" w:type="dxa"/>
          </w:tcPr>
          <w:p w14:paraId="6C864819" w14:textId="77777777" w:rsidR="00DE0F9C" w:rsidRPr="004E3DBE" w:rsidRDefault="00DE0F9C" w:rsidP="004C1C2A">
            <w:r w:rsidRPr="004E3DBE">
              <w:t>2010–2011</w:t>
            </w:r>
          </w:p>
        </w:tc>
        <w:tc>
          <w:tcPr>
            <w:cnfStyle w:val="000010000000" w:firstRow="0" w:lastRow="0" w:firstColumn="0" w:lastColumn="0" w:oddVBand="1" w:evenVBand="0" w:oddHBand="0" w:evenHBand="0" w:firstRowFirstColumn="0" w:firstRowLastColumn="0" w:lastRowFirstColumn="0" w:lastRowLastColumn="0"/>
            <w:tcW w:w="1559" w:type="dxa"/>
          </w:tcPr>
          <w:p w14:paraId="7688E316" w14:textId="77777777" w:rsidR="00DE0F9C" w:rsidRPr="004E3DBE" w:rsidRDefault="00DE0F9C" w:rsidP="004C1C2A">
            <w:r w:rsidRPr="004E3DBE">
              <w:t>2,218,043</w:t>
            </w:r>
          </w:p>
        </w:tc>
      </w:tr>
      <w:tr w:rsidR="00DE0F9C" w:rsidRPr="00050253" w14:paraId="5F2DFD98" w14:textId="77777777" w:rsidTr="004C1C2A">
        <w:tc>
          <w:tcPr>
            <w:tcW w:w="1559" w:type="dxa"/>
          </w:tcPr>
          <w:p w14:paraId="5725C042" w14:textId="77777777" w:rsidR="00DE0F9C" w:rsidRPr="004E3DBE" w:rsidRDefault="00DE0F9C" w:rsidP="004C1C2A">
            <w:r w:rsidRPr="004E3DBE">
              <w:t>2009–2010</w:t>
            </w:r>
          </w:p>
        </w:tc>
        <w:tc>
          <w:tcPr>
            <w:cnfStyle w:val="000010000000" w:firstRow="0" w:lastRow="0" w:firstColumn="0" w:lastColumn="0" w:oddVBand="1" w:evenVBand="0" w:oddHBand="0" w:evenHBand="0" w:firstRowFirstColumn="0" w:firstRowLastColumn="0" w:lastRowFirstColumn="0" w:lastRowLastColumn="0"/>
            <w:tcW w:w="1559" w:type="dxa"/>
          </w:tcPr>
          <w:p w14:paraId="5E4D8681" w14:textId="77777777" w:rsidR="00DE0F9C" w:rsidRPr="004E3DBE" w:rsidRDefault="00DE0F9C" w:rsidP="004C1C2A">
            <w:r w:rsidRPr="004E3DBE">
              <w:t>2,200,297</w:t>
            </w:r>
          </w:p>
        </w:tc>
      </w:tr>
      <w:tr w:rsidR="00DE0F9C" w:rsidRPr="00050253" w14:paraId="06B8B423" w14:textId="77777777" w:rsidTr="004C1C2A">
        <w:tc>
          <w:tcPr>
            <w:tcW w:w="1559" w:type="dxa"/>
          </w:tcPr>
          <w:p w14:paraId="02669E4B" w14:textId="77777777" w:rsidR="00DE0F9C" w:rsidRPr="004E3DBE" w:rsidRDefault="00DE0F9C" w:rsidP="004C1C2A">
            <w:r w:rsidRPr="004E3DBE">
              <w:t>2008–2009</w:t>
            </w:r>
          </w:p>
        </w:tc>
        <w:tc>
          <w:tcPr>
            <w:cnfStyle w:val="000010000000" w:firstRow="0" w:lastRow="0" w:firstColumn="0" w:lastColumn="0" w:oddVBand="1" w:evenVBand="0" w:oddHBand="0" w:evenHBand="0" w:firstRowFirstColumn="0" w:firstRowLastColumn="0" w:lastRowFirstColumn="0" w:lastRowLastColumn="0"/>
            <w:tcW w:w="1559" w:type="dxa"/>
          </w:tcPr>
          <w:p w14:paraId="35D35034" w14:textId="77777777" w:rsidR="00DE0F9C" w:rsidRPr="004E3DBE" w:rsidRDefault="00DE0F9C" w:rsidP="004C1C2A">
            <w:r w:rsidRPr="004E3DBE">
              <w:t>2,023,852</w:t>
            </w:r>
          </w:p>
        </w:tc>
      </w:tr>
      <w:tr w:rsidR="00DE0F9C" w:rsidRPr="00050253" w14:paraId="232A5611" w14:textId="77777777" w:rsidTr="004C1C2A">
        <w:tc>
          <w:tcPr>
            <w:tcW w:w="1559" w:type="dxa"/>
          </w:tcPr>
          <w:p w14:paraId="76E353A4" w14:textId="77777777" w:rsidR="00DE0F9C" w:rsidRPr="004E3DBE" w:rsidRDefault="00DE0F9C" w:rsidP="004C1C2A">
            <w:r w:rsidRPr="004E3DBE">
              <w:t>2007–2008</w:t>
            </w:r>
          </w:p>
        </w:tc>
        <w:tc>
          <w:tcPr>
            <w:cnfStyle w:val="000010000000" w:firstRow="0" w:lastRow="0" w:firstColumn="0" w:lastColumn="0" w:oddVBand="1" w:evenVBand="0" w:oddHBand="0" w:evenHBand="0" w:firstRowFirstColumn="0" w:firstRowLastColumn="0" w:lastRowFirstColumn="0" w:lastRowLastColumn="0"/>
            <w:tcW w:w="1559" w:type="dxa"/>
          </w:tcPr>
          <w:p w14:paraId="0A0CABE0" w14:textId="77777777" w:rsidR="00DE0F9C" w:rsidRPr="004E3DBE" w:rsidRDefault="00DE0F9C" w:rsidP="004C1C2A">
            <w:r w:rsidRPr="004E3DBE">
              <w:t>2,169,427</w:t>
            </w:r>
          </w:p>
        </w:tc>
      </w:tr>
      <w:tr w:rsidR="00DE0F9C" w:rsidRPr="00050253" w14:paraId="49D7D98C" w14:textId="77777777" w:rsidTr="004C1C2A">
        <w:tc>
          <w:tcPr>
            <w:tcW w:w="1559" w:type="dxa"/>
          </w:tcPr>
          <w:p w14:paraId="2A348BAA" w14:textId="77777777" w:rsidR="00DE0F9C" w:rsidRPr="004E3DBE" w:rsidRDefault="00DE0F9C" w:rsidP="004C1C2A">
            <w:r w:rsidRPr="004E3DBE">
              <w:t>2006–2007</w:t>
            </w:r>
          </w:p>
        </w:tc>
        <w:tc>
          <w:tcPr>
            <w:cnfStyle w:val="000010000000" w:firstRow="0" w:lastRow="0" w:firstColumn="0" w:lastColumn="0" w:oddVBand="1" w:evenVBand="0" w:oddHBand="0" w:evenHBand="0" w:firstRowFirstColumn="0" w:firstRowLastColumn="0" w:lastRowFirstColumn="0" w:lastRowLastColumn="0"/>
            <w:tcW w:w="1559" w:type="dxa"/>
          </w:tcPr>
          <w:p w14:paraId="3CDEC928" w14:textId="77777777" w:rsidR="00DE0F9C" w:rsidRPr="004E3DBE" w:rsidRDefault="00DE0F9C" w:rsidP="004C1C2A">
            <w:r w:rsidRPr="004E3DBE">
              <w:t>2,050,786</w:t>
            </w:r>
          </w:p>
        </w:tc>
      </w:tr>
      <w:tr w:rsidR="00DE0F9C" w:rsidRPr="00050253" w14:paraId="2D6FCC44" w14:textId="77777777" w:rsidTr="004C1C2A">
        <w:tc>
          <w:tcPr>
            <w:tcW w:w="1559" w:type="dxa"/>
          </w:tcPr>
          <w:p w14:paraId="78C1BDC7" w14:textId="77777777" w:rsidR="00DE0F9C" w:rsidRPr="004E3DBE" w:rsidRDefault="00DE0F9C" w:rsidP="004C1C2A">
            <w:r w:rsidRPr="004E3DBE">
              <w:t>2005–2006</w:t>
            </w:r>
          </w:p>
        </w:tc>
        <w:tc>
          <w:tcPr>
            <w:cnfStyle w:val="000010000000" w:firstRow="0" w:lastRow="0" w:firstColumn="0" w:lastColumn="0" w:oddVBand="1" w:evenVBand="0" w:oddHBand="0" w:evenHBand="0" w:firstRowFirstColumn="0" w:firstRowLastColumn="0" w:lastRowFirstColumn="0" w:lastRowLastColumn="0"/>
            <w:tcW w:w="1559" w:type="dxa"/>
          </w:tcPr>
          <w:p w14:paraId="3B9A670A" w14:textId="77777777" w:rsidR="00DE0F9C" w:rsidRPr="004E3DBE" w:rsidRDefault="00DE0F9C" w:rsidP="004C1C2A">
            <w:r w:rsidRPr="004E3DBE">
              <w:t>1,906,169</w:t>
            </w:r>
          </w:p>
        </w:tc>
      </w:tr>
      <w:tr w:rsidR="00DE0F9C" w:rsidRPr="00050253" w14:paraId="7D962F0C" w14:textId="77777777" w:rsidTr="004C1C2A">
        <w:tc>
          <w:tcPr>
            <w:tcW w:w="1559" w:type="dxa"/>
          </w:tcPr>
          <w:p w14:paraId="34FC1A2E" w14:textId="77777777" w:rsidR="00DE0F9C" w:rsidRPr="004E3DBE" w:rsidRDefault="00DE0F9C" w:rsidP="004C1C2A">
            <w:r w:rsidRPr="004E3DBE">
              <w:t>2004–2005</w:t>
            </w:r>
          </w:p>
        </w:tc>
        <w:tc>
          <w:tcPr>
            <w:cnfStyle w:val="000010000000" w:firstRow="0" w:lastRow="0" w:firstColumn="0" w:lastColumn="0" w:oddVBand="1" w:evenVBand="0" w:oddHBand="0" w:evenHBand="0" w:firstRowFirstColumn="0" w:firstRowLastColumn="0" w:lastRowFirstColumn="0" w:lastRowLastColumn="0"/>
            <w:tcW w:w="1559" w:type="dxa"/>
          </w:tcPr>
          <w:p w14:paraId="46852982" w14:textId="77777777" w:rsidR="00DE0F9C" w:rsidRDefault="00DE0F9C" w:rsidP="004C1C2A">
            <w:r w:rsidRPr="004E3DBE">
              <w:t>1,731,553</w:t>
            </w:r>
          </w:p>
        </w:tc>
      </w:tr>
    </w:tbl>
    <w:p w14:paraId="287B56A1" w14:textId="77777777" w:rsidR="00C021E6" w:rsidRDefault="00C021E6" w:rsidP="00C021E6">
      <w:pPr>
        <w:pStyle w:val="Heading2"/>
      </w:pPr>
    </w:p>
    <w:p w14:paraId="7E753D25" w14:textId="77777777" w:rsidR="00C021E6" w:rsidRDefault="00C021E6" w:rsidP="00C021E6">
      <w:pPr>
        <w:pStyle w:val="Heading2"/>
      </w:pPr>
    </w:p>
    <w:p w14:paraId="293B49DC" w14:textId="77777777" w:rsidR="00C021E6" w:rsidRDefault="00C021E6" w:rsidP="00C021E6">
      <w:pPr>
        <w:pStyle w:val="Heading2"/>
      </w:pPr>
    </w:p>
    <w:p w14:paraId="3C6065E3" w14:textId="77777777" w:rsidR="003345EF" w:rsidRDefault="003345EF" w:rsidP="00C021E6">
      <w:pPr>
        <w:pStyle w:val="Heading2"/>
      </w:pPr>
    </w:p>
    <w:p w14:paraId="68833C2E" w14:textId="77777777" w:rsidR="003345EF" w:rsidRDefault="003345EF" w:rsidP="00C021E6">
      <w:pPr>
        <w:pStyle w:val="Heading2"/>
      </w:pPr>
    </w:p>
    <w:p w14:paraId="05E0F342" w14:textId="77777777" w:rsidR="003345EF" w:rsidRDefault="003345EF" w:rsidP="00C021E6">
      <w:pPr>
        <w:pStyle w:val="Heading2"/>
      </w:pPr>
    </w:p>
    <w:p w14:paraId="1E9FA2AA" w14:textId="7A2F5BC8" w:rsidR="003345EF" w:rsidRDefault="00C021E6" w:rsidP="003345EF">
      <w:pPr>
        <w:pStyle w:val="BodyText"/>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32CC9AE4" w14:textId="77777777" w:rsidR="003345EF" w:rsidRDefault="003345EF" w:rsidP="00C021E6">
      <w:pPr>
        <w:pStyle w:val="Heading2"/>
      </w:pPr>
    </w:p>
    <w:p w14:paraId="0597E2DD" w14:textId="7A7D44FD" w:rsidR="004E68E1" w:rsidRDefault="004E68E1" w:rsidP="00C021E6">
      <w:pPr>
        <w:pStyle w:val="Heading2"/>
      </w:pPr>
      <w:bookmarkStart w:id="22" w:name="_Toc46161454"/>
      <w:bookmarkStart w:id="23" w:name="_Toc46822579"/>
      <w:r>
        <w:t>Financial year title searches (by month)</w:t>
      </w:r>
      <w:bookmarkEnd w:id="22"/>
      <w:bookmarkEnd w:id="23"/>
    </w:p>
    <w:p w14:paraId="2EE6E35F" w14:textId="4BC6FA7B" w:rsidR="004E68E1" w:rsidRDefault="004E68E1" w:rsidP="004E68E1">
      <w:pPr>
        <w:pStyle w:val="BodyText"/>
      </w:pPr>
    </w:p>
    <w:p w14:paraId="6AAD77FE" w14:textId="3871F0C4" w:rsidR="00DD25B9" w:rsidRDefault="005673ED">
      <w:pPr>
        <w:rPr>
          <w:rFonts w:cs="Times New Roman"/>
          <w:lang w:eastAsia="en-US"/>
        </w:rPr>
      </w:pPr>
      <w:r>
        <w:rPr>
          <w:noProof/>
        </w:rPr>
        <w:drawing>
          <wp:inline distT="0" distB="0" distL="0" distR="0" wp14:anchorId="3070652F" wp14:editId="1350DFC3">
            <wp:extent cx="5867400" cy="2971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67400" cy="2971800"/>
                    </a:xfrm>
                    <a:prstGeom prst="rect">
                      <a:avLst/>
                    </a:prstGeom>
                    <a:noFill/>
                  </pic:spPr>
                </pic:pic>
              </a:graphicData>
            </a:graphic>
          </wp:inline>
        </w:drawing>
      </w:r>
      <w:r w:rsidR="00DD25B9">
        <w:br w:type="page"/>
      </w:r>
    </w:p>
    <w:p w14:paraId="1BE14C3A" w14:textId="6D9C50CB" w:rsidR="00DD25B9" w:rsidRDefault="00DD25B9" w:rsidP="00DD25B9">
      <w:pPr>
        <w:pStyle w:val="Heading2"/>
      </w:pPr>
      <w:bookmarkStart w:id="24" w:name="_Toc46161455"/>
      <w:bookmarkStart w:id="25" w:name="_Toc46822580"/>
      <w:r>
        <w:t>Planning certificates</w:t>
      </w:r>
      <w:bookmarkEnd w:id="24"/>
      <w:bookmarkEnd w:id="25"/>
    </w:p>
    <w:p w14:paraId="2D3617B3" w14:textId="4DA507DA" w:rsidR="00DD25B9" w:rsidRDefault="00DD25B9" w:rsidP="00DD25B9">
      <w:pPr>
        <w:pStyle w:val="BodyText"/>
      </w:pPr>
      <w:r>
        <w:t>Planning certificate</w:t>
      </w:r>
      <w:r w:rsidR="00430822">
        <w:t xml:space="preserve">s </w:t>
      </w:r>
      <w:r w:rsidR="00BF4391">
        <w:t>in</w:t>
      </w:r>
      <w:r w:rsidR="00C57882">
        <w:t>c</w:t>
      </w:r>
      <w:r>
        <w:t>re</w:t>
      </w:r>
      <w:r w:rsidR="00C57882">
        <w:t>a</w:t>
      </w:r>
      <w:r w:rsidR="00FF12C8">
        <w:t xml:space="preserve">sed by </w:t>
      </w:r>
      <w:r w:rsidR="003909E9">
        <w:t>11.46</w:t>
      </w:r>
      <w:r w:rsidR="00D31E33">
        <w:t xml:space="preserve"> per cent in the 201</w:t>
      </w:r>
      <w:r w:rsidR="00BF4391">
        <w:t>9</w:t>
      </w:r>
      <w:r>
        <w:t>–20</w:t>
      </w:r>
      <w:r w:rsidR="00BF4391">
        <w:t>20</w:t>
      </w:r>
      <w:r>
        <w:t xml:space="preserve"> financial year.</w:t>
      </w:r>
      <w:r>
        <w:tab/>
      </w:r>
    </w:p>
    <w:tbl>
      <w:tblPr>
        <w:tblStyle w:val="TableGrid"/>
        <w:tblW w:w="0" w:type="auto"/>
        <w:tblLook w:val="00A0" w:firstRow="1" w:lastRow="0" w:firstColumn="1" w:lastColumn="0" w:noHBand="0" w:noVBand="0"/>
      </w:tblPr>
      <w:tblGrid>
        <w:gridCol w:w="1559"/>
        <w:gridCol w:w="1559"/>
      </w:tblGrid>
      <w:tr w:rsidR="000F370D" w:rsidRPr="00050253" w14:paraId="260215EE" w14:textId="77777777" w:rsidTr="004C1C2A">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59" w:type="dxa"/>
          </w:tcPr>
          <w:p w14:paraId="56D952F4" w14:textId="77777777" w:rsidR="000F370D" w:rsidRPr="00050253" w:rsidRDefault="000F370D" w:rsidP="004C1C2A">
            <w:pPr>
              <w:pStyle w:val="TableHeadingLeft"/>
            </w:pPr>
          </w:p>
        </w:tc>
        <w:tc>
          <w:tcPr>
            <w:cnfStyle w:val="000010000000" w:firstRow="0" w:lastRow="0" w:firstColumn="0" w:lastColumn="0" w:oddVBand="1" w:evenVBand="0" w:oddHBand="0" w:evenHBand="0" w:firstRowFirstColumn="0" w:firstRowLastColumn="0" w:lastRowFirstColumn="0" w:lastRowLastColumn="0"/>
            <w:tcW w:w="1559" w:type="dxa"/>
          </w:tcPr>
          <w:p w14:paraId="6A504F60" w14:textId="77777777" w:rsidR="000F370D" w:rsidRPr="00050253" w:rsidRDefault="000F370D" w:rsidP="004C1C2A">
            <w:pPr>
              <w:pStyle w:val="TableHeadingLeft"/>
            </w:pPr>
          </w:p>
        </w:tc>
      </w:tr>
      <w:tr w:rsidR="00812003" w:rsidRPr="00050253" w14:paraId="60B4A8D9" w14:textId="77777777" w:rsidTr="004C1C2A">
        <w:tc>
          <w:tcPr>
            <w:tcW w:w="1559" w:type="dxa"/>
          </w:tcPr>
          <w:p w14:paraId="581BF598" w14:textId="27872AC5" w:rsidR="00812003" w:rsidRDefault="00812003" w:rsidP="000F2107">
            <w:pPr>
              <w:pStyle w:val="BodyText"/>
            </w:pPr>
            <w:r>
              <w:t>2019-2020</w:t>
            </w:r>
          </w:p>
        </w:tc>
        <w:tc>
          <w:tcPr>
            <w:cnfStyle w:val="000010000000" w:firstRow="0" w:lastRow="0" w:firstColumn="0" w:lastColumn="0" w:oddVBand="1" w:evenVBand="0" w:oddHBand="0" w:evenHBand="0" w:firstRowFirstColumn="0" w:firstRowLastColumn="0" w:lastRowFirstColumn="0" w:lastRowLastColumn="0"/>
            <w:tcW w:w="1559" w:type="dxa"/>
          </w:tcPr>
          <w:p w14:paraId="43A9B5EA" w14:textId="3C65277E" w:rsidR="00812003" w:rsidRDefault="00812003" w:rsidP="000F2107">
            <w:pPr>
              <w:pStyle w:val="BodyText"/>
            </w:pPr>
            <w:r>
              <w:t>75</w:t>
            </w:r>
            <w:r w:rsidR="0048100F">
              <w:t>,695</w:t>
            </w:r>
          </w:p>
        </w:tc>
      </w:tr>
      <w:tr w:rsidR="000F2107" w:rsidRPr="00050253" w14:paraId="46C99A45" w14:textId="77777777" w:rsidTr="004C1C2A">
        <w:tc>
          <w:tcPr>
            <w:tcW w:w="1559" w:type="dxa"/>
          </w:tcPr>
          <w:p w14:paraId="21FBA28B" w14:textId="620D7928" w:rsidR="000F2107" w:rsidRPr="00050253" w:rsidRDefault="000F2107" w:rsidP="000F2107">
            <w:pPr>
              <w:pStyle w:val="BodyText"/>
            </w:pPr>
            <w:r>
              <w:t>2018-2019</w:t>
            </w:r>
          </w:p>
        </w:tc>
        <w:tc>
          <w:tcPr>
            <w:cnfStyle w:val="000010000000" w:firstRow="0" w:lastRow="0" w:firstColumn="0" w:lastColumn="0" w:oddVBand="1" w:evenVBand="0" w:oddHBand="0" w:evenHBand="0" w:firstRowFirstColumn="0" w:firstRowLastColumn="0" w:lastRowFirstColumn="0" w:lastRowLastColumn="0"/>
            <w:tcW w:w="1559" w:type="dxa"/>
          </w:tcPr>
          <w:p w14:paraId="4D977753" w14:textId="02667942" w:rsidR="000F2107" w:rsidRPr="00050253" w:rsidRDefault="000F2107" w:rsidP="000F2107">
            <w:pPr>
              <w:pStyle w:val="BodyText"/>
            </w:pPr>
            <w:r>
              <w:t>67,658</w:t>
            </w:r>
          </w:p>
        </w:tc>
      </w:tr>
      <w:tr w:rsidR="00DE0F9C" w:rsidRPr="00050253" w14:paraId="67296CFD" w14:textId="77777777" w:rsidTr="004C1C2A">
        <w:tc>
          <w:tcPr>
            <w:tcW w:w="1559" w:type="dxa"/>
          </w:tcPr>
          <w:p w14:paraId="0F380493" w14:textId="6FE7680B" w:rsidR="00DE0F9C" w:rsidRPr="00513E27" w:rsidRDefault="00513E27" w:rsidP="00513E27">
            <w:pPr>
              <w:pStyle w:val="BodyText"/>
            </w:pPr>
            <w:r w:rsidRPr="00513E27">
              <w:t>2017-2018</w:t>
            </w:r>
          </w:p>
        </w:tc>
        <w:tc>
          <w:tcPr>
            <w:cnfStyle w:val="000010000000" w:firstRow="0" w:lastRow="0" w:firstColumn="0" w:lastColumn="0" w:oddVBand="1" w:evenVBand="0" w:oddHBand="0" w:evenHBand="0" w:firstRowFirstColumn="0" w:firstRowLastColumn="0" w:lastRowFirstColumn="0" w:lastRowLastColumn="0"/>
            <w:tcW w:w="1559" w:type="dxa"/>
          </w:tcPr>
          <w:p w14:paraId="73142702" w14:textId="41347521" w:rsidR="00DE0F9C" w:rsidRPr="00513E27" w:rsidRDefault="00513E27" w:rsidP="004C1C2A">
            <w:pPr>
              <w:pStyle w:val="TableHeadingLeft"/>
              <w:rPr>
                <w:b w:val="0"/>
                <w:color w:val="363534" w:themeColor="text1"/>
              </w:rPr>
            </w:pPr>
            <w:r w:rsidRPr="00513E27">
              <w:rPr>
                <w:b w:val="0"/>
                <w:color w:val="363534" w:themeColor="text1"/>
              </w:rPr>
              <w:t>71,771</w:t>
            </w:r>
          </w:p>
        </w:tc>
      </w:tr>
      <w:tr w:rsidR="00B43EE3" w:rsidRPr="00050253" w14:paraId="53AD518E" w14:textId="77777777" w:rsidTr="004C1C2A">
        <w:tc>
          <w:tcPr>
            <w:tcW w:w="1559" w:type="dxa"/>
          </w:tcPr>
          <w:p w14:paraId="3754D72D" w14:textId="7F021BDE" w:rsidR="00B43EE3" w:rsidRPr="001C1A43" w:rsidRDefault="00570C5B" w:rsidP="004C1C2A">
            <w:r>
              <w:t>2016-2017</w:t>
            </w:r>
          </w:p>
        </w:tc>
        <w:tc>
          <w:tcPr>
            <w:cnfStyle w:val="000010000000" w:firstRow="0" w:lastRow="0" w:firstColumn="0" w:lastColumn="0" w:oddVBand="1" w:evenVBand="0" w:oddHBand="0" w:evenHBand="0" w:firstRowFirstColumn="0" w:firstRowLastColumn="0" w:lastRowFirstColumn="0" w:lastRowLastColumn="0"/>
            <w:tcW w:w="1559" w:type="dxa"/>
          </w:tcPr>
          <w:p w14:paraId="4CCF9C55" w14:textId="403E7D3E" w:rsidR="00B43EE3" w:rsidRPr="001C1A43" w:rsidRDefault="00197E77" w:rsidP="004C1C2A">
            <w:r>
              <w:t>63,161</w:t>
            </w:r>
          </w:p>
        </w:tc>
      </w:tr>
      <w:tr w:rsidR="00DE0F9C" w:rsidRPr="00050253" w14:paraId="4D992F89" w14:textId="77777777" w:rsidTr="004C1C2A">
        <w:tc>
          <w:tcPr>
            <w:tcW w:w="1559" w:type="dxa"/>
          </w:tcPr>
          <w:p w14:paraId="3B470A17" w14:textId="77777777" w:rsidR="00DE0F9C" w:rsidRPr="001C1A43" w:rsidRDefault="00DE0F9C" w:rsidP="004C1C2A">
            <w:r w:rsidRPr="001C1A43">
              <w:t>2015-2016</w:t>
            </w:r>
          </w:p>
        </w:tc>
        <w:tc>
          <w:tcPr>
            <w:cnfStyle w:val="000010000000" w:firstRow="0" w:lastRow="0" w:firstColumn="0" w:lastColumn="0" w:oddVBand="1" w:evenVBand="0" w:oddHBand="0" w:evenHBand="0" w:firstRowFirstColumn="0" w:firstRowLastColumn="0" w:lastRowFirstColumn="0" w:lastRowLastColumn="0"/>
            <w:tcW w:w="1559" w:type="dxa"/>
          </w:tcPr>
          <w:p w14:paraId="2F5AE894" w14:textId="77777777" w:rsidR="00DE0F9C" w:rsidRPr="001C1A43" w:rsidRDefault="00DE0F9C" w:rsidP="004C1C2A">
            <w:r w:rsidRPr="001C1A43">
              <w:t>57,078</w:t>
            </w:r>
          </w:p>
        </w:tc>
      </w:tr>
      <w:tr w:rsidR="00DE0F9C" w:rsidRPr="00050253" w14:paraId="7D87CAD7" w14:textId="77777777" w:rsidTr="004C1C2A">
        <w:tc>
          <w:tcPr>
            <w:tcW w:w="1559" w:type="dxa"/>
          </w:tcPr>
          <w:p w14:paraId="08C17656" w14:textId="77777777" w:rsidR="00DE0F9C" w:rsidRPr="001C1A43" w:rsidRDefault="00DE0F9C" w:rsidP="004C1C2A">
            <w:r w:rsidRPr="001C1A43">
              <w:t>2014-2015</w:t>
            </w:r>
          </w:p>
        </w:tc>
        <w:tc>
          <w:tcPr>
            <w:cnfStyle w:val="000010000000" w:firstRow="0" w:lastRow="0" w:firstColumn="0" w:lastColumn="0" w:oddVBand="1" w:evenVBand="0" w:oddHBand="0" w:evenHBand="0" w:firstRowFirstColumn="0" w:firstRowLastColumn="0" w:lastRowFirstColumn="0" w:lastRowLastColumn="0"/>
            <w:tcW w:w="1559" w:type="dxa"/>
          </w:tcPr>
          <w:p w14:paraId="00E57360" w14:textId="77777777" w:rsidR="00DE0F9C" w:rsidRPr="001C1A43" w:rsidRDefault="00DE0F9C" w:rsidP="004C1C2A">
            <w:r w:rsidRPr="001C1A43">
              <w:t>55,461</w:t>
            </w:r>
          </w:p>
        </w:tc>
      </w:tr>
      <w:tr w:rsidR="00DE0F9C" w:rsidRPr="00050253" w14:paraId="6B0D083A" w14:textId="77777777" w:rsidTr="004C1C2A">
        <w:tc>
          <w:tcPr>
            <w:tcW w:w="1559" w:type="dxa"/>
          </w:tcPr>
          <w:p w14:paraId="5D7D974F" w14:textId="77777777" w:rsidR="00DE0F9C" w:rsidRPr="001C1A43" w:rsidRDefault="00DE0F9C" w:rsidP="004C1C2A">
            <w:r w:rsidRPr="001C1A43">
              <w:t>2013–2014</w:t>
            </w:r>
          </w:p>
        </w:tc>
        <w:tc>
          <w:tcPr>
            <w:cnfStyle w:val="000010000000" w:firstRow="0" w:lastRow="0" w:firstColumn="0" w:lastColumn="0" w:oddVBand="1" w:evenVBand="0" w:oddHBand="0" w:evenHBand="0" w:firstRowFirstColumn="0" w:firstRowLastColumn="0" w:lastRowFirstColumn="0" w:lastRowLastColumn="0"/>
            <w:tcW w:w="1559" w:type="dxa"/>
          </w:tcPr>
          <w:p w14:paraId="3622AB29" w14:textId="77777777" w:rsidR="00DE0F9C" w:rsidRPr="001C1A43" w:rsidRDefault="00DE0F9C" w:rsidP="004C1C2A">
            <w:r w:rsidRPr="001C1A43">
              <w:t>50,090</w:t>
            </w:r>
          </w:p>
        </w:tc>
      </w:tr>
      <w:tr w:rsidR="00DE0F9C" w:rsidRPr="00050253" w14:paraId="4C12A606" w14:textId="77777777" w:rsidTr="004C1C2A">
        <w:tc>
          <w:tcPr>
            <w:tcW w:w="1559" w:type="dxa"/>
          </w:tcPr>
          <w:p w14:paraId="6E018C15" w14:textId="77777777" w:rsidR="00DE0F9C" w:rsidRPr="001C1A43" w:rsidRDefault="00DE0F9C" w:rsidP="004C1C2A">
            <w:r w:rsidRPr="001C1A43">
              <w:t>2012–2013</w:t>
            </w:r>
          </w:p>
        </w:tc>
        <w:tc>
          <w:tcPr>
            <w:cnfStyle w:val="000010000000" w:firstRow="0" w:lastRow="0" w:firstColumn="0" w:lastColumn="0" w:oddVBand="1" w:evenVBand="0" w:oddHBand="0" w:evenHBand="0" w:firstRowFirstColumn="0" w:firstRowLastColumn="0" w:lastRowFirstColumn="0" w:lastRowLastColumn="0"/>
            <w:tcW w:w="1559" w:type="dxa"/>
          </w:tcPr>
          <w:p w14:paraId="4C67FAF0" w14:textId="77777777" w:rsidR="00DE0F9C" w:rsidRPr="001C1A43" w:rsidRDefault="00DE0F9C" w:rsidP="004C1C2A">
            <w:r w:rsidRPr="001C1A43">
              <w:t>42,018</w:t>
            </w:r>
          </w:p>
        </w:tc>
      </w:tr>
      <w:tr w:rsidR="00DE0F9C" w:rsidRPr="00050253" w14:paraId="18996ADA" w14:textId="77777777" w:rsidTr="004C1C2A">
        <w:tc>
          <w:tcPr>
            <w:tcW w:w="1559" w:type="dxa"/>
          </w:tcPr>
          <w:p w14:paraId="0278100C" w14:textId="77777777" w:rsidR="00DE0F9C" w:rsidRPr="001C1A43" w:rsidRDefault="00DE0F9C" w:rsidP="004C1C2A">
            <w:r w:rsidRPr="001C1A43">
              <w:t>2011–2012</w:t>
            </w:r>
          </w:p>
        </w:tc>
        <w:tc>
          <w:tcPr>
            <w:cnfStyle w:val="000010000000" w:firstRow="0" w:lastRow="0" w:firstColumn="0" w:lastColumn="0" w:oddVBand="1" w:evenVBand="0" w:oddHBand="0" w:evenHBand="0" w:firstRowFirstColumn="0" w:firstRowLastColumn="0" w:lastRowFirstColumn="0" w:lastRowLastColumn="0"/>
            <w:tcW w:w="1559" w:type="dxa"/>
          </w:tcPr>
          <w:p w14:paraId="530C43FF" w14:textId="77777777" w:rsidR="00DE0F9C" w:rsidRPr="001C1A43" w:rsidRDefault="00DE0F9C" w:rsidP="004C1C2A">
            <w:r w:rsidRPr="001C1A43">
              <w:t>38,196</w:t>
            </w:r>
          </w:p>
        </w:tc>
      </w:tr>
      <w:tr w:rsidR="00DE0F9C" w:rsidRPr="00050253" w14:paraId="7E6CA68A" w14:textId="77777777" w:rsidTr="004C1C2A">
        <w:tc>
          <w:tcPr>
            <w:tcW w:w="1559" w:type="dxa"/>
          </w:tcPr>
          <w:p w14:paraId="50A4F62D" w14:textId="77777777" w:rsidR="00DE0F9C" w:rsidRPr="001C1A43" w:rsidRDefault="00DE0F9C" w:rsidP="004C1C2A">
            <w:r w:rsidRPr="001C1A43">
              <w:t>2010–2011</w:t>
            </w:r>
          </w:p>
        </w:tc>
        <w:tc>
          <w:tcPr>
            <w:cnfStyle w:val="000010000000" w:firstRow="0" w:lastRow="0" w:firstColumn="0" w:lastColumn="0" w:oddVBand="1" w:evenVBand="0" w:oddHBand="0" w:evenHBand="0" w:firstRowFirstColumn="0" w:firstRowLastColumn="0" w:lastRowFirstColumn="0" w:lastRowLastColumn="0"/>
            <w:tcW w:w="1559" w:type="dxa"/>
          </w:tcPr>
          <w:p w14:paraId="6384F30A" w14:textId="77777777" w:rsidR="00DE0F9C" w:rsidRPr="001C1A43" w:rsidRDefault="00DE0F9C" w:rsidP="004C1C2A">
            <w:r w:rsidRPr="001C1A43">
              <w:t>37,131</w:t>
            </w:r>
          </w:p>
        </w:tc>
      </w:tr>
      <w:tr w:rsidR="00DE0F9C" w:rsidRPr="00050253" w14:paraId="268E2643" w14:textId="77777777" w:rsidTr="004C1C2A">
        <w:tc>
          <w:tcPr>
            <w:tcW w:w="1559" w:type="dxa"/>
          </w:tcPr>
          <w:p w14:paraId="293DE928" w14:textId="77777777" w:rsidR="00DE0F9C" w:rsidRPr="001C1A43" w:rsidRDefault="00DE0F9C" w:rsidP="004C1C2A">
            <w:r w:rsidRPr="001C1A43">
              <w:t>2009–2010</w:t>
            </w:r>
          </w:p>
        </w:tc>
        <w:tc>
          <w:tcPr>
            <w:cnfStyle w:val="000010000000" w:firstRow="0" w:lastRow="0" w:firstColumn="0" w:lastColumn="0" w:oddVBand="1" w:evenVBand="0" w:oddHBand="0" w:evenHBand="0" w:firstRowFirstColumn="0" w:firstRowLastColumn="0" w:lastRowFirstColumn="0" w:lastRowLastColumn="0"/>
            <w:tcW w:w="1559" w:type="dxa"/>
          </w:tcPr>
          <w:p w14:paraId="47266219" w14:textId="77777777" w:rsidR="00DE0F9C" w:rsidRPr="001C1A43" w:rsidRDefault="00DE0F9C" w:rsidP="004C1C2A">
            <w:r w:rsidRPr="001C1A43">
              <w:t>37,695</w:t>
            </w:r>
          </w:p>
        </w:tc>
      </w:tr>
      <w:tr w:rsidR="00DE0F9C" w:rsidRPr="00050253" w14:paraId="09DFA7F2" w14:textId="77777777" w:rsidTr="004C1C2A">
        <w:tc>
          <w:tcPr>
            <w:tcW w:w="1559" w:type="dxa"/>
          </w:tcPr>
          <w:p w14:paraId="365E8F43" w14:textId="77777777" w:rsidR="00DE0F9C" w:rsidRPr="001C1A43" w:rsidRDefault="00DE0F9C" w:rsidP="004C1C2A">
            <w:r w:rsidRPr="001C1A43">
              <w:t>2008–2009</w:t>
            </w:r>
          </w:p>
        </w:tc>
        <w:tc>
          <w:tcPr>
            <w:cnfStyle w:val="000010000000" w:firstRow="0" w:lastRow="0" w:firstColumn="0" w:lastColumn="0" w:oddVBand="1" w:evenVBand="0" w:oddHBand="0" w:evenHBand="0" w:firstRowFirstColumn="0" w:firstRowLastColumn="0" w:lastRowFirstColumn="0" w:lastRowLastColumn="0"/>
            <w:tcW w:w="1559" w:type="dxa"/>
          </w:tcPr>
          <w:p w14:paraId="64AADCA6" w14:textId="77777777" w:rsidR="00DE0F9C" w:rsidRPr="001C1A43" w:rsidRDefault="00DE0F9C" w:rsidP="004C1C2A">
            <w:r w:rsidRPr="001C1A43">
              <w:t>32,893</w:t>
            </w:r>
          </w:p>
        </w:tc>
      </w:tr>
      <w:tr w:rsidR="00DE0F9C" w:rsidRPr="00050253" w14:paraId="3CFEE731" w14:textId="77777777" w:rsidTr="004C1C2A">
        <w:tc>
          <w:tcPr>
            <w:tcW w:w="1559" w:type="dxa"/>
          </w:tcPr>
          <w:p w14:paraId="643AA802" w14:textId="77777777" w:rsidR="00DE0F9C" w:rsidRPr="001C1A43" w:rsidRDefault="00DE0F9C" w:rsidP="004C1C2A">
            <w:r w:rsidRPr="001C1A43">
              <w:t>2007–2008</w:t>
            </w:r>
          </w:p>
        </w:tc>
        <w:tc>
          <w:tcPr>
            <w:cnfStyle w:val="000010000000" w:firstRow="0" w:lastRow="0" w:firstColumn="0" w:lastColumn="0" w:oddVBand="1" w:evenVBand="0" w:oddHBand="0" w:evenHBand="0" w:firstRowFirstColumn="0" w:firstRowLastColumn="0" w:lastRowFirstColumn="0" w:lastRowLastColumn="0"/>
            <w:tcW w:w="1559" w:type="dxa"/>
          </w:tcPr>
          <w:p w14:paraId="394C3E4D" w14:textId="77777777" w:rsidR="00DE0F9C" w:rsidRPr="001C1A43" w:rsidRDefault="00DE0F9C" w:rsidP="004C1C2A">
            <w:r w:rsidRPr="001C1A43">
              <w:t>40,716</w:t>
            </w:r>
          </w:p>
        </w:tc>
      </w:tr>
      <w:tr w:rsidR="00DE0F9C" w:rsidRPr="00050253" w14:paraId="30D35591" w14:textId="77777777" w:rsidTr="004C1C2A">
        <w:tc>
          <w:tcPr>
            <w:tcW w:w="1559" w:type="dxa"/>
          </w:tcPr>
          <w:p w14:paraId="19F806C3" w14:textId="77777777" w:rsidR="00DE0F9C" w:rsidRPr="001C1A43" w:rsidRDefault="00DE0F9C" w:rsidP="004C1C2A">
            <w:r w:rsidRPr="001C1A43">
              <w:t>2006–2007</w:t>
            </w:r>
          </w:p>
        </w:tc>
        <w:tc>
          <w:tcPr>
            <w:cnfStyle w:val="000010000000" w:firstRow="0" w:lastRow="0" w:firstColumn="0" w:lastColumn="0" w:oddVBand="1" w:evenVBand="0" w:oddHBand="0" w:evenHBand="0" w:firstRowFirstColumn="0" w:firstRowLastColumn="0" w:lastRowFirstColumn="0" w:lastRowLastColumn="0"/>
            <w:tcW w:w="1559" w:type="dxa"/>
          </w:tcPr>
          <w:p w14:paraId="5B283703" w14:textId="77777777" w:rsidR="00DE0F9C" w:rsidRPr="001C1A43" w:rsidRDefault="00DE0F9C" w:rsidP="004C1C2A">
            <w:r w:rsidRPr="001C1A43">
              <w:t>33,259</w:t>
            </w:r>
          </w:p>
        </w:tc>
      </w:tr>
      <w:tr w:rsidR="00DE0F9C" w:rsidRPr="00050253" w14:paraId="23EA9827" w14:textId="77777777" w:rsidTr="004C1C2A">
        <w:tc>
          <w:tcPr>
            <w:tcW w:w="1559" w:type="dxa"/>
          </w:tcPr>
          <w:p w14:paraId="36866F99" w14:textId="77777777" w:rsidR="00DE0F9C" w:rsidRPr="001C1A43" w:rsidRDefault="00DE0F9C" w:rsidP="004C1C2A">
            <w:r w:rsidRPr="001C1A43">
              <w:t>2005–2006</w:t>
            </w:r>
          </w:p>
        </w:tc>
        <w:tc>
          <w:tcPr>
            <w:cnfStyle w:val="000010000000" w:firstRow="0" w:lastRow="0" w:firstColumn="0" w:lastColumn="0" w:oddVBand="1" w:evenVBand="0" w:oddHBand="0" w:evenHBand="0" w:firstRowFirstColumn="0" w:firstRowLastColumn="0" w:lastRowFirstColumn="0" w:lastRowLastColumn="0"/>
            <w:tcW w:w="1559" w:type="dxa"/>
          </w:tcPr>
          <w:p w14:paraId="5E7404D7" w14:textId="77777777" w:rsidR="00DE0F9C" w:rsidRPr="001C1A43" w:rsidRDefault="00DE0F9C" w:rsidP="004C1C2A">
            <w:r w:rsidRPr="001C1A43">
              <w:t>37,301</w:t>
            </w:r>
          </w:p>
        </w:tc>
      </w:tr>
    </w:tbl>
    <w:p w14:paraId="009C75F0" w14:textId="77777777" w:rsidR="00DD25B9" w:rsidRDefault="00DD25B9" w:rsidP="00DD25B9">
      <w:pPr>
        <w:pStyle w:val="Heading2"/>
      </w:pPr>
      <w:bookmarkStart w:id="26" w:name="_Toc46161456"/>
      <w:bookmarkStart w:id="27" w:name="_Toc46822581"/>
      <w:r>
        <w:t>Instrument searches</w:t>
      </w:r>
      <w:bookmarkEnd w:id="26"/>
      <w:bookmarkEnd w:id="27"/>
    </w:p>
    <w:p w14:paraId="0D653050" w14:textId="004E1ADB" w:rsidR="00DD25B9" w:rsidRDefault="00DD25B9" w:rsidP="00DD25B9">
      <w:pPr>
        <w:pStyle w:val="BodyText"/>
      </w:pPr>
      <w:r>
        <w:t>Inst</w:t>
      </w:r>
      <w:r w:rsidR="00C26D68">
        <w:t xml:space="preserve">rument searches </w:t>
      </w:r>
      <w:r w:rsidR="00DC6130">
        <w:t>de</w:t>
      </w:r>
      <w:r w:rsidR="00795739">
        <w:t xml:space="preserve">creased by </w:t>
      </w:r>
      <w:r w:rsidR="007A140F">
        <w:t>19.</w:t>
      </w:r>
      <w:r w:rsidR="00036C3F">
        <w:t>79</w:t>
      </w:r>
      <w:r w:rsidR="002C5B3B">
        <w:t xml:space="preserve"> per cent in the 201</w:t>
      </w:r>
      <w:r w:rsidR="001E08A5">
        <w:t>9</w:t>
      </w:r>
      <w:r w:rsidR="002C5B3B">
        <w:t>-20</w:t>
      </w:r>
      <w:r w:rsidR="001E08A5">
        <w:t>20</w:t>
      </w:r>
      <w:r>
        <w:t xml:space="preserve"> financial year.</w:t>
      </w:r>
    </w:p>
    <w:tbl>
      <w:tblPr>
        <w:tblStyle w:val="TableGrid"/>
        <w:tblW w:w="0" w:type="auto"/>
        <w:tblLook w:val="00A0" w:firstRow="1" w:lastRow="0" w:firstColumn="1" w:lastColumn="0" w:noHBand="0" w:noVBand="0"/>
      </w:tblPr>
      <w:tblGrid>
        <w:gridCol w:w="1559"/>
        <w:gridCol w:w="1559"/>
      </w:tblGrid>
      <w:tr w:rsidR="00DE0F9C" w:rsidRPr="00050253" w14:paraId="66968EC0" w14:textId="77777777" w:rsidTr="004C1C2A">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59" w:type="dxa"/>
          </w:tcPr>
          <w:p w14:paraId="7DFB2269" w14:textId="77777777" w:rsidR="00DE0F9C" w:rsidRPr="00050253" w:rsidRDefault="00DE0F9C" w:rsidP="004C1C2A">
            <w:pPr>
              <w:pStyle w:val="TableHeadingLeft"/>
            </w:pPr>
          </w:p>
        </w:tc>
        <w:tc>
          <w:tcPr>
            <w:cnfStyle w:val="000010000000" w:firstRow="0" w:lastRow="0" w:firstColumn="0" w:lastColumn="0" w:oddVBand="1" w:evenVBand="0" w:oddHBand="0" w:evenHBand="0" w:firstRowFirstColumn="0" w:firstRowLastColumn="0" w:lastRowFirstColumn="0" w:lastRowLastColumn="0"/>
            <w:tcW w:w="1559" w:type="dxa"/>
          </w:tcPr>
          <w:p w14:paraId="26640813" w14:textId="77777777" w:rsidR="00DE0F9C" w:rsidRPr="00050253" w:rsidRDefault="00DE0F9C" w:rsidP="004C1C2A">
            <w:pPr>
              <w:pStyle w:val="TableHeadingLeft"/>
            </w:pPr>
          </w:p>
        </w:tc>
      </w:tr>
      <w:tr w:rsidR="00276C17" w:rsidRPr="00050253" w14:paraId="064CCDAA" w14:textId="77777777" w:rsidTr="004C1C2A">
        <w:tc>
          <w:tcPr>
            <w:tcW w:w="1559" w:type="dxa"/>
          </w:tcPr>
          <w:p w14:paraId="5607BA33" w14:textId="66611C5A" w:rsidR="00276C17" w:rsidRDefault="00276C17" w:rsidP="00057772">
            <w:pPr>
              <w:pStyle w:val="BodyText"/>
            </w:pPr>
            <w:r>
              <w:t>2019-2020</w:t>
            </w:r>
          </w:p>
        </w:tc>
        <w:tc>
          <w:tcPr>
            <w:cnfStyle w:val="000010000000" w:firstRow="0" w:lastRow="0" w:firstColumn="0" w:lastColumn="0" w:oddVBand="1" w:evenVBand="0" w:oddHBand="0" w:evenHBand="0" w:firstRowFirstColumn="0" w:firstRowLastColumn="0" w:lastRowFirstColumn="0" w:lastRowLastColumn="0"/>
            <w:tcW w:w="1559" w:type="dxa"/>
          </w:tcPr>
          <w:p w14:paraId="017F28CC" w14:textId="4F68F0E4" w:rsidR="00276C17" w:rsidRDefault="00B220AD" w:rsidP="00057772">
            <w:pPr>
              <w:pStyle w:val="BodyText"/>
            </w:pPr>
            <w:r>
              <w:t>4</w:t>
            </w:r>
            <w:r w:rsidR="00D45ED8">
              <w:t>6</w:t>
            </w:r>
            <w:r w:rsidR="00C775F2">
              <w:t>6</w:t>
            </w:r>
            <w:r w:rsidR="00D45ED8">
              <w:t>,912</w:t>
            </w:r>
          </w:p>
        </w:tc>
      </w:tr>
      <w:tr w:rsidR="00057772" w:rsidRPr="00050253" w14:paraId="0EEDF965" w14:textId="77777777" w:rsidTr="004C1C2A">
        <w:tc>
          <w:tcPr>
            <w:tcW w:w="1559" w:type="dxa"/>
          </w:tcPr>
          <w:p w14:paraId="4D58CF15" w14:textId="502BB524" w:rsidR="00057772" w:rsidRPr="00050253" w:rsidRDefault="00057772" w:rsidP="00057772">
            <w:pPr>
              <w:pStyle w:val="BodyText"/>
            </w:pPr>
            <w:r>
              <w:t>2018-2019</w:t>
            </w:r>
          </w:p>
        </w:tc>
        <w:tc>
          <w:tcPr>
            <w:cnfStyle w:val="000010000000" w:firstRow="0" w:lastRow="0" w:firstColumn="0" w:lastColumn="0" w:oddVBand="1" w:evenVBand="0" w:oddHBand="0" w:evenHBand="0" w:firstRowFirstColumn="0" w:firstRowLastColumn="0" w:lastRowFirstColumn="0" w:lastRowLastColumn="0"/>
            <w:tcW w:w="1559" w:type="dxa"/>
          </w:tcPr>
          <w:p w14:paraId="630D43C6" w14:textId="4F71E607" w:rsidR="00057772" w:rsidRPr="00050253" w:rsidRDefault="00057772" w:rsidP="00057772">
            <w:pPr>
              <w:pStyle w:val="BodyText"/>
            </w:pPr>
            <w:r>
              <w:t>582,125</w:t>
            </w:r>
          </w:p>
        </w:tc>
      </w:tr>
      <w:tr w:rsidR="00513E27" w:rsidRPr="00050253" w14:paraId="3C9B5D98" w14:textId="77777777" w:rsidTr="004C1C2A">
        <w:tc>
          <w:tcPr>
            <w:tcW w:w="1559" w:type="dxa"/>
          </w:tcPr>
          <w:p w14:paraId="561FB65C" w14:textId="6F79FA16" w:rsidR="00513E27" w:rsidRDefault="00513E27" w:rsidP="004C1C2A">
            <w:r>
              <w:t>2017-2018</w:t>
            </w:r>
          </w:p>
        </w:tc>
        <w:tc>
          <w:tcPr>
            <w:cnfStyle w:val="000010000000" w:firstRow="0" w:lastRow="0" w:firstColumn="0" w:lastColumn="0" w:oddVBand="1" w:evenVBand="0" w:oddHBand="0" w:evenHBand="0" w:firstRowFirstColumn="0" w:firstRowLastColumn="0" w:lastRowFirstColumn="0" w:lastRowLastColumn="0"/>
            <w:tcW w:w="1559" w:type="dxa"/>
          </w:tcPr>
          <w:p w14:paraId="19A3D126" w14:textId="6A2F946B" w:rsidR="00513E27" w:rsidRDefault="00513E27" w:rsidP="004C1C2A">
            <w:r>
              <w:t>677,407</w:t>
            </w:r>
          </w:p>
        </w:tc>
      </w:tr>
      <w:tr w:rsidR="009431BE" w:rsidRPr="00050253" w14:paraId="4E781745" w14:textId="77777777" w:rsidTr="004C1C2A">
        <w:tc>
          <w:tcPr>
            <w:tcW w:w="1559" w:type="dxa"/>
          </w:tcPr>
          <w:p w14:paraId="6131629F" w14:textId="275500D1" w:rsidR="009431BE" w:rsidRPr="009924C6" w:rsidRDefault="006008C0" w:rsidP="004C1C2A">
            <w:r>
              <w:t>2016-</w:t>
            </w:r>
            <w:r w:rsidR="009431BE">
              <w:t>2017</w:t>
            </w:r>
          </w:p>
        </w:tc>
        <w:tc>
          <w:tcPr>
            <w:cnfStyle w:val="000010000000" w:firstRow="0" w:lastRow="0" w:firstColumn="0" w:lastColumn="0" w:oddVBand="1" w:evenVBand="0" w:oddHBand="0" w:evenHBand="0" w:firstRowFirstColumn="0" w:firstRowLastColumn="0" w:lastRowFirstColumn="0" w:lastRowLastColumn="0"/>
            <w:tcW w:w="1559" w:type="dxa"/>
          </w:tcPr>
          <w:p w14:paraId="3EA15649" w14:textId="5453721C" w:rsidR="009431BE" w:rsidRPr="009924C6" w:rsidRDefault="009431BE" w:rsidP="004C1C2A">
            <w:r>
              <w:t>673,628</w:t>
            </w:r>
          </w:p>
        </w:tc>
      </w:tr>
      <w:tr w:rsidR="00DE0F9C" w:rsidRPr="00050253" w14:paraId="62EA90DE" w14:textId="77777777" w:rsidTr="004C1C2A">
        <w:tc>
          <w:tcPr>
            <w:tcW w:w="1559" w:type="dxa"/>
          </w:tcPr>
          <w:p w14:paraId="38EF5163" w14:textId="77777777" w:rsidR="00DE0F9C" w:rsidRPr="009924C6" w:rsidRDefault="00DE0F9C" w:rsidP="004C1C2A">
            <w:r w:rsidRPr="009924C6">
              <w:t>2015-2016</w:t>
            </w:r>
          </w:p>
        </w:tc>
        <w:tc>
          <w:tcPr>
            <w:cnfStyle w:val="000010000000" w:firstRow="0" w:lastRow="0" w:firstColumn="0" w:lastColumn="0" w:oddVBand="1" w:evenVBand="0" w:oddHBand="0" w:evenHBand="0" w:firstRowFirstColumn="0" w:firstRowLastColumn="0" w:lastRowFirstColumn="0" w:lastRowLastColumn="0"/>
            <w:tcW w:w="1559" w:type="dxa"/>
          </w:tcPr>
          <w:p w14:paraId="5012238C" w14:textId="77777777" w:rsidR="00DE0F9C" w:rsidRPr="009924C6" w:rsidRDefault="00DE0F9C" w:rsidP="004C1C2A">
            <w:r w:rsidRPr="009924C6">
              <w:t>667,018</w:t>
            </w:r>
          </w:p>
        </w:tc>
      </w:tr>
      <w:tr w:rsidR="00DE0F9C" w:rsidRPr="00050253" w14:paraId="6E006C16" w14:textId="77777777" w:rsidTr="004C1C2A">
        <w:tc>
          <w:tcPr>
            <w:tcW w:w="1559" w:type="dxa"/>
          </w:tcPr>
          <w:p w14:paraId="5BC47AC6" w14:textId="77777777" w:rsidR="00DE0F9C" w:rsidRPr="009924C6" w:rsidRDefault="00DE0F9C" w:rsidP="004C1C2A">
            <w:r w:rsidRPr="009924C6">
              <w:t>2014-2015</w:t>
            </w:r>
          </w:p>
        </w:tc>
        <w:tc>
          <w:tcPr>
            <w:cnfStyle w:val="000010000000" w:firstRow="0" w:lastRow="0" w:firstColumn="0" w:lastColumn="0" w:oddVBand="1" w:evenVBand="0" w:oddHBand="0" w:evenHBand="0" w:firstRowFirstColumn="0" w:firstRowLastColumn="0" w:lastRowFirstColumn="0" w:lastRowLastColumn="0"/>
            <w:tcW w:w="1559" w:type="dxa"/>
          </w:tcPr>
          <w:p w14:paraId="1BA6EDE0" w14:textId="77777777" w:rsidR="00DE0F9C" w:rsidRPr="009924C6" w:rsidRDefault="00DE0F9C" w:rsidP="004C1C2A">
            <w:r w:rsidRPr="009924C6">
              <w:t>667,648</w:t>
            </w:r>
          </w:p>
        </w:tc>
      </w:tr>
      <w:tr w:rsidR="00DE0F9C" w:rsidRPr="00050253" w14:paraId="4AD2E762" w14:textId="77777777" w:rsidTr="004C1C2A">
        <w:tc>
          <w:tcPr>
            <w:tcW w:w="1559" w:type="dxa"/>
          </w:tcPr>
          <w:p w14:paraId="213F6D4C" w14:textId="77777777" w:rsidR="00DE0F9C" w:rsidRPr="009924C6" w:rsidRDefault="00DE0F9C" w:rsidP="004C1C2A">
            <w:r w:rsidRPr="009924C6">
              <w:t>2013–2014</w:t>
            </w:r>
          </w:p>
        </w:tc>
        <w:tc>
          <w:tcPr>
            <w:cnfStyle w:val="000010000000" w:firstRow="0" w:lastRow="0" w:firstColumn="0" w:lastColumn="0" w:oddVBand="1" w:evenVBand="0" w:oddHBand="0" w:evenHBand="0" w:firstRowFirstColumn="0" w:firstRowLastColumn="0" w:lastRowFirstColumn="0" w:lastRowLastColumn="0"/>
            <w:tcW w:w="1559" w:type="dxa"/>
          </w:tcPr>
          <w:p w14:paraId="1950C644" w14:textId="77777777" w:rsidR="00DE0F9C" w:rsidRPr="009924C6" w:rsidRDefault="00DE0F9C" w:rsidP="004C1C2A">
            <w:r w:rsidRPr="009924C6">
              <w:t>682,478</w:t>
            </w:r>
          </w:p>
        </w:tc>
      </w:tr>
      <w:tr w:rsidR="00DE0F9C" w:rsidRPr="00050253" w14:paraId="09C5EFE3" w14:textId="77777777" w:rsidTr="004C1C2A">
        <w:tc>
          <w:tcPr>
            <w:tcW w:w="1559" w:type="dxa"/>
          </w:tcPr>
          <w:p w14:paraId="18037BC9" w14:textId="77777777" w:rsidR="00DE0F9C" w:rsidRPr="009924C6" w:rsidRDefault="00DE0F9C" w:rsidP="004C1C2A">
            <w:r w:rsidRPr="009924C6">
              <w:t>2012–2013</w:t>
            </w:r>
          </w:p>
        </w:tc>
        <w:tc>
          <w:tcPr>
            <w:cnfStyle w:val="000010000000" w:firstRow="0" w:lastRow="0" w:firstColumn="0" w:lastColumn="0" w:oddVBand="1" w:evenVBand="0" w:oddHBand="0" w:evenHBand="0" w:firstRowFirstColumn="0" w:firstRowLastColumn="0" w:lastRowFirstColumn="0" w:lastRowLastColumn="0"/>
            <w:tcW w:w="1559" w:type="dxa"/>
          </w:tcPr>
          <w:p w14:paraId="58B0980C" w14:textId="77777777" w:rsidR="00DE0F9C" w:rsidRPr="009924C6" w:rsidRDefault="00DE0F9C" w:rsidP="004C1C2A">
            <w:r w:rsidRPr="009924C6">
              <w:t>683,604</w:t>
            </w:r>
          </w:p>
        </w:tc>
      </w:tr>
      <w:tr w:rsidR="00DE0F9C" w:rsidRPr="00050253" w14:paraId="2F055A73" w14:textId="77777777" w:rsidTr="004C1C2A">
        <w:tc>
          <w:tcPr>
            <w:tcW w:w="1559" w:type="dxa"/>
          </w:tcPr>
          <w:p w14:paraId="09907DAF" w14:textId="77777777" w:rsidR="00DE0F9C" w:rsidRPr="009924C6" w:rsidRDefault="00DE0F9C" w:rsidP="004C1C2A">
            <w:r w:rsidRPr="009924C6">
              <w:t>2011–2012</w:t>
            </w:r>
          </w:p>
        </w:tc>
        <w:tc>
          <w:tcPr>
            <w:cnfStyle w:val="000010000000" w:firstRow="0" w:lastRow="0" w:firstColumn="0" w:lastColumn="0" w:oddVBand="1" w:evenVBand="0" w:oddHBand="0" w:evenHBand="0" w:firstRowFirstColumn="0" w:firstRowLastColumn="0" w:lastRowFirstColumn="0" w:lastRowLastColumn="0"/>
            <w:tcW w:w="1559" w:type="dxa"/>
          </w:tcPr>
          <w:p w14:paraId="0732481E" w14:textId="77777777" w:rsidR="00DE0F9C" w:rsidRPr="009924C6" w:rsidRDefault="00DE0F9C" w:rsidP="004C1C2A">
            <w:r w:rsidRPr="009924C6">
              <w:t>668,858</w:t>
            </w:r>
          </w:p>
        </w:tc>
      </w:tr>
      <w:tr w:rsidR="00DE0F9C" w:rsidRPr="00050253" w14:paraId="704F4FD3" w14:textId="77777777" w:rsidTr="004C1C2A">
        <w:tc>
          <w:tcPr>
            <w:tcW w:w="1559" w:type="dxa"/>
          </w:tcPr>
          <w:p w14:paraId="7B6BC66A" w14:textId="77777777" w:rsidR="00DE0F9C" w:rsidRPr="009924C6" w:rsidRDefault="00DE0F9C" w:rsidP="004C1C2A">
            <w:r w:rsidRPr="009924C6">
              <w:t>2010–2011</w:t>
            </w:r>
          </w:p>
        </w:tc>
        <w:tc>
          <w:tcPr>
            <w:cnfStyle w:val="000010000000" w:firstRow="0" w:lastRow="0" w:firstColumn="0" w:lastColumn="0" w:oddVBand="1" w:evenVBand="0" w:oddHBand="0" w:evenHBand="0" w:firstRowFirstColumn="0" w:firstRowLastColumn="0" w:lastRowFirstColumn="0" w:lastRowLastColumn="0"/>
            <w:tcW w:w="1559" w:type="dxa"/>
          </w:tcPr>
          <w:p w14:paraId="70A7CC23" w14:textId="77777777" w:rsidR="00DE0F9C" w:rsidRPr="009924C6" w:rsidRDefault="00DE0F9C" w:rsidP="004C1C2A">
            <w:r w:rsidRPr="009924C6">
              <w:t>721,380</w:t>
            </w:r>
          </w:p>
        </w:tc>
      </w:tr>
      <w:tr w:rsidR="00DE0F9C" w:rsidRPr="00050253" w14:paraId="009D85F2" w14:textId="77777777" w:rsidTr="004C1C2A">
        <w:tc>
          <w:tcPr>
            <w:tcW w:w="1559" w:type="dxa"/>
          </w:tcPr>
          <w:p w14:paraId="2DB64E42" w14:textId="77777777" w:rsidR="00DE0F9C" w:rsidRPr="009924C6" w:rsidRDefault="00DE0F9C" w:rsidP="004C1C2A">
            <w:r w:rsidRPr="009924C6">
              <w:t>2009–2010</w:t>
            </w:r>
          </w:p>
        </w:tc>
        <w:tc>
          <w:tcPr>
            <w:cnfStyle w:val="000010000000" w:firstRow="0" w:lastRow="0" w:firstColumn="0" w:lastColumn="0" w:oddVBand="1" w:evenVBand="0" w:oddHBand="0" w:evenHBand="0" w:firstRowFirstColumn="0" w:firstRowLastColumn="0" w:lastRowFirstColumn="0" w:lastRowLastColumn="0"/>
            <w:tcW w:w="1559" w:type="dxa"/>
          </w:tcPr>
          <w:p w14:paraId="45E51683" w14:textId="77777777" w:rsidR="00DE0F9C" w:rsidRPr="009924C6" w:rsidRDefault="00DE0F9C" w:rsidP="004C1C2A">
            <w:r w:rsidRPr="009924C6">
              <w:t>757,195</w:t>
            </w:r>
          </w:p>
        </w:tc>
      </w:tr>
      <w:tr w:rsidR="00DE0F9C" w:rsidRPr="00050253" w14:paraId="4490E813" w14:textId="77777777" w:rsidTr="004C1C2A">
        <w:tc>
          <w:tcPr>
            <w:tcW w:w="1559" w:type="dxa"/>
          </w:tcPr>
          <w:p w14:paraId="36284D09" w14:textId="77777777" w:rsidR="00DE0F9C" w:rsidRPr="009924C6" w:rsidRDefault="00DE0F9C" w:rsidP="004C1C2A">
            <w:r w:rsidRPr="009924C6">
              <w:t>2008–2009</w:t>
            </w:r>
          </w:p>
        </w:tc>
        <w:tc>
          <w:tcPr>
            <w:cnfStyle w:val="000010000000" w:firstRow="0" w:lastRow="0" w:firstColumn="0" w:lastColumn="0" w:oddVBand="1" w:evenVBand="0" w:oddHBand="0" w:evenHBand="0" w:firstRowFirstColumn="0" w:firstRowLastColumn="0" w:lastRowFirstColumn="0" w:lastRowLastColumn="0"/>
            <w:tcW w:w="1559" w:type="dxa"/>
          </w:tcPr>
          <w:p w14:paraId="43202DFC" w14:textId="77777777" w:rsidR="00DE0F9C" w:rsidRPr="009924C6" w:rsidRDefault="00DE0F9C" w:rsidP="004C1C2A">
            <w:r w:rsidRPr="009924C6">
              <w:t>618,854</w:t>
            </w:r>
          </w:p>
        </w:tc>
      </w:tr>
      <w:tr w:rsidR="00DE0F9C" w:rsidRPr="00050253" w14:paraId="2F288CCF" w14:textId="77777777" w:rsidTr="004C1C2A">
        <w:tc>
          <w:tcPr>
            <w:tcW w:w="1559" w:type="dxa"/>
          </w:tcPr>
          <w:p w14:paraId="0623FE57" w14:textId="77777777" w:rsidR="00DE0F9C" w:rsidRPr="009924C6" w:rsidRDefault="00DE0F9C" w:rsidP="004C1C2A">
            <w:r w:rsidRPr="009924C6">
              <w:t>2007–2008</w:t>
            </w:r>
          </w:p>
        </w:tc>
        <w:tc>
          <w:tcPr>
            <w:cnfStyle w:val="000010000000" w:firstRow="0" w:lastRow="0" w:firstColumn="0" w:lastColumn="0" w:oddVBand="1" w:evenVBand="0" w:oddHBand="0" w:evenHBand="0" w:firstRowFirstColumn="0" w:firstRowLastColumn="0" w:lastRowFirstColumn="0" w:lastRowLastColumn="0"/>
            <w:tcW w:w="1559" w:type="dxa"/>
          </w:tcPr>
          <w:p w14:paraId="2DE1167D" w14:textId="77777777" w:rsidR="00DE0F9C" w:rsidRPr="009924C6" w:rsidRDefault="00DE0F9C" w:rsidP="004C1C2A">
            <w:r w:rsidRPr="009924C6">
              <w:t>613,296</w:t>
            </w:r>
          </w:p>
        </w:tc>
      </w:tr>
      <w:tr w:rsidR="00DE0F9C" w:rsidRPr="00050253" w14:paraId="371F2A6A" w14:textId="77777777" w:rsidTr="004C1C2A">
        <w:tc>
          <w:tcPr>
            <w:tcW w:w="1559" w:type="dxa"/>
          </w:tcPr>
          <w:p w14:paraId="41AE9B0B" w14:textId="77777777" w:rsidR="00DE0F9C" w:rsidRPr="009924C6" w:rsidRDefault="00DE0F9C" w:rsidP="004C1C2A">
            <w:r w:rsidRPr="009924C6">
              <w:t>2006–2007</w:t>
            </w:r>
          </w:p>
        </w:tc>
        <w:tc>
          <w:tcPr>
            <w:cnfStyle w:val="000010000000" w:firstRow="0" w:lastRow="0" w:firstColumn="0" w:lastColumn="0" w:oddVBand="1" w:evenVBand="0" w:oddHBand="0" w:evenHBand="0" w:firstRowFirstColumn="0" w:firstRowLastColumn="0" w:lastRowFirstColumn="0" w:lastRowLastColumn="0"/>
            <w:tcW w:w="1559" w:type="dxa"/>
          </w:tcPr>
          <w:p w14:paraId="627ED786" w14:textId="77777777" w:rsidR="00DE0F9C" w:rsidRPr="009924C6" w:rsidRDefault="00DE0F9C" w:rsidP="004C1C2A">
            <w:r w:rsidRPr="009924C6">
              <w:t>587,682</w:t>
            </w:r>
          </w:p>
        </w:tc>
      </w:tr>
    </w:tbl>
    <w:p w14:paraId="3ACD898F" w14:textId="77777777" w:rsidR="00DE0F9C" w:rsidRDefault="00DE0F9C"/>
    <w:p w14:paraId="2D4F9753" w14:textId="1157F9F6" w:rsidR="00DD25B9" w:rsidRPr="005227B4" w:rsidRDefault="00DD25B9" w:rsidP="003345EF">
      <w:pPr>
        <w:pStyle w:val="BodyText100ThemeColour"/>
        <w:rPr>
          <w:b/>
          <w:bCs/>
          <w:iCs/>
          <w:kern w:val="20"/>
          <w:sz w:val="24"/>
          <w:szCs w:val="24"/>
        </w:rPr>
      </w:pPr>
      <w:r w:rsidRPr="005227B4">
        <w:rPr>
          <w:b/>
          <w:bCs/>
          <w:sz w:val="24"/>
          <w:szCs w:val="24"/>
        </w:rPr>
        <w:t>Property certificates</w:t>
      </w:r>
    </w:p>
    <w:p w14:paraId="616D1328" w14:textId="587C583D" w:rsidR="00DD25B9" w:rsidRDefault="00DD25B9" w:rsidP="00DD25B9">
      <w:pPr>
        <w:pStyle w:val="BodyText"/>
      </w:pPr>
      <w:r>
        <w:t xml:space="preserve">Property certificates </w:t>
      </w:r>
      <w:r w:rsidR="00027CEB">
        <w:t>in</w:t>
      </w:r>
      <w:r>
        <w:t>cre</w:t>
      </w:r>
      <w:r w:rsidR="00F66353">
        <w:t xml:space="preserve">ased by </w:t>
      </w:r>
      <w:r w:rsidR="00027CEB">
        <w:t>6.53</w:t>
      </w:r>
      <w:r w:rsidR="00F66353">
        <w:t xml:space="preserve"> per cent in the 201</w:t>
      </w:r>
      <w:r w:rsidR="00027CEB">
        <w:t>9</w:t>
      </w:r>
      <w:r w:rsidR="00F66353">
        <w:t>–20</w:t>
      </w:r>
      <w:r w:rsidR="00027CEB">
        <w:t>20</w:t>
      </w:r>
      <w:r w:rsidR="00021FCF">
        <w:t xml:space="preserve"> </w:t>
      </w:r>
      <w:r>
        <w:t>financial year.</w:t>
      </w:r>
    </w:p>
    <w:tbl>
      <w:tblPr>
        <w:tblStyle w:val="TableGrid"/>
        <w:tblW w:w="0" w:type="auto"/>
        <w:tblLook w:val="00A0" w:firstRow="1" w:lastRow="0" w:firstColumn="1" w:lastColumn="0" w:noHBand="0" w:noVBand="0"/>
      </w:tblPr>
      <w:tblGrid>
        <w:gridCol w:w="1559"/>
        <w:gridCol w:w="1559"/>
      </w:tblGrid>
      <w:tr w:rsidR="00014E1E" w:rsidRPr="00050253" w14:paraId="569CD44D" w14:textId="77777777" w:rsidTr="004C1C2A">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59" w:type="dxa"/>
          </w:tcPr>
          <w:p w14:paraId="3084D4BA" w14:textId="77777777" w:rsidR="00014E1E" w:rsidRPr="00050253" w:rsidRDefault="00014E1E" w:rsidP="004C1C2A">
            <w:pPr>
              <w:pStyle w:val="TableHeadingLeft"/>
            </w:pPr>
          </w:p>
        </w:tc>
        <w:tc>
          <w:tcPr>
            <w:cnfStyle w:val="000010000000" w:firstRow="0" w:lastRow="0" w:firstColumn="0" w:lastColumn="0" w:oddVBand="1" w:evenVBand="0" w:oddHBand="0" w:evenHBand="0" w:firstRowFirstColumn="0" w:firstRowLastColumn="0" w:lastRowFirstColumn="0" w:lastRowLastColumn="0"/>
            <w:tcW w:w="1559" w:type="dxa"/>
          </w:tcPr>
          <w:p w14:paraId="72E1AC53" w14:textId="77777777" w:rsidR="00014E1E" w:rsidRPr="00050253" w:rsidRDefault="00014E1E" w:rsidP="004C1C2A">
            <w:pPr>
              <w:pStyle w:val="TableHeadingLeft"/>
            </w:pPr>
          </w:p>
        </w:tc>
      </w:tr>
      <w:tr w:rsidR="00A25DA6" w:rsidRPr="00050253" w14:paraId="48AEF4C3" w14:textId="77777777" w:rsidTr="004C1C2A">
        <w:tc>
          <w:tcPr>
            <w:tcW w:w="1559" w:type="dxa"/>
          </w:tcPr>
          <w:p w14:paraId="17F1851C" w14:textId="2D222047" w:rsidR="00A25DA6" w:rsidRDefault="00A25DA6" w:rsidP="008E7E33">
            <w:pPr>
              <w:pStyle w:val="BodyText"/>
            </w:pPr>
            <w:r>
              <w:t>2019-2020</w:t>
            </w:r>
          </w:p>
        </w:tc>
        <w:tc>
          <w:tcPr>
            <w:cnfStyle w:val="000010000000" w:firstRow="0" w:lastRow="0" w:firstColumn="0" w:lastColumn="0" w:oddVBand="1" w:evenVBand="0" w:oddHBand="0" w:evenHBand="0" w:firstRowFirstColumn="0" w:firstRowLastColumn="0" w:lastRowFirstColumn="0" w:lastRowLastColumn="0"/>
            <w:tcW w:w="1559" w:type="dxa"/>
          </w:tcPr>
          <w:p w14:paraId="278C33E1" w14:textId="25DCB16B" w:rsidR="00A25DA6" w:rsidRDefault="00A25DA6" w:rsidP="004C1C2A">
            <w:r>
              <w:t>663,119</w:t>
            </w:r>
          </w:p>
        </w:tc>
      </w:tr>
      <w:tr w:rsidR="008E7E33" w:rsidRPr="00050253" w14:paraId="72DB1D87" w14:textId="77777777" w:rsidTr="004C1C2A">
        <w:tc>
          <w:tcPr>
            <w:tcW w:w="1559" w:type="dxa"/>
          </w:tcPr>
          <w:p w14:paraId="7BB15EDA" w14:textId="20238449" w:rsidR="008E7E33" w:rsidRDefault="00380457" w:rsidP="008E7E33">
            <w:pPr>
              <w:pStyle w:val="BodyText"/>
            </w:pPr>
            <w:r>
              <w:t>2018-2019</w:t>
            </w:r>
          </w:p>
        </w:tc>
        <w:tc>
          <w:tcPr>
            <w:cnfStyle w:val="000010000000" w:firstRow="0" w:lastRow="0" w:firstColumn="0" w:lastColumn="0" w:oddVBand="1" w:evenVBand="0" w:oddHBand="0" w:evenHBand="0" w:firstRowFirstColumn="0" w:firstRowLastColumn="0" w:lastRowFirstColumn="0" w:lastRowLastColumn="0"/>
            <w:tcW w:w="1559" w:type="dxa"/>
          </w:tcPr>
          <w:p w14:paraId="5E90C4CF" w14:textId="7ED37629" w:rsidR="008E7E33" w:rsidRDefault="00380457" w:rsidP="004C1C2A">
            <w:r>
              <w:t>622,465</w:t>
            </w:r>
          </w:p>
        </w:tc>
      </w:tr>
      <w:tr w:rsidR="00F6605C" w:rsidRPr="00050253" w14:paraId="759E8A73" w14:textId="77777777" w:rsidTr="004C1C2A">
        <w:tc>
          <w:tcPr>
            <w:tcW w:w="1559" w:type="dxa"/>
          </w:tcPr>
          <w:p w14:paraId="0A9A208C" w14:textId="22FF75FF" w:rsidR="00F6605C" w:rsidRDefault="00F6605C" w:rsidP="004C1C2A">
            <w:r>
              <w:t>2017-2018</w:t>
            </w:r>
          </w:p>
        </w:tc>
        <w:tc>
          <w:tcPr>
            <w:cnfStyle w:val="000010000000" w:firstRow="0" w:lastRow="0" w:firstColumn="0" w:lastColumn="0" w:oddVBand="1" w:evenVBand="0" w:oddHBand="0" w:evenHBand="0" w:firstRowFirstColumn="0" w:firstRowLastColumn="0" w:lastRowFirstColumn="0" w:lastRowLastColumn="0"/>
            <w:tcW w:w="1559" w:type="dxa"/>
          </w:tcPr>
          <w:p w14:paraId="55DF6124" w14:textId="27B4F585" w:rsidR="00F6605C" w:rsidRDefault="00F6605C" w:rsidP="004C1C2A">
            <w:r>
              <w:t>630,885</w:t>
            </w:r>
          </w:p>
        </w:tc>
      </w:tr>
      <w:tr w:rsidR="009431BE" w:rsidRPr="00050253" w14:paraId="7C2AC98C" w14:textId="77777777" w:rsidTr="004C1C2A">
        <w:tc>
          <w:tcPr>
            <w:tcW w:w="1559" w:type="dxa"/>
          </w:tcPr>
          <w:p w14:paraId="48FD3110" w14:textId="331D95BA" w:rsidR="009431BE" w:rsidRPr="00922575" w:rsidRDefault="009431BE" w:rsidP="004C1C2A">
            <w:r>
              <w:t>2016-2017</w:t>
            </w:r>
          </w:p>
        </w:tc>
        <w:tc>
          <w:tcPr>
            <w:cnfStyle w:val="000010000000" w:firstRow="0" w:lastRow="0" w:firstColumn="0" w:lastColumn="0" w:oddVBand="1" w:evenVBand="0" w:oddHBand="0" w:evenHBand="0" w:firstRowFirstColumn="0" w:firstRowLastColumn="0" w:lastRowFirstColumn="0" w:lastRowLastColumn="0"/>
            <w:tcW w:w="1559" w:type="dxa"/>
          </w:tcPr>
          <w:p w14:paraId="3450005D" w14:textId="5E2A7435" w:rsidR="009431BE" w:rsidRPr="00922575" w:rsidRDefault="005E3896" w:rsidP="004C1C2A">
            <w:r>
              <w:t>619,212</w:t>
            </w:r>
          </w:p>
        </w:tc>
      </w:tr>
      <w:tr w:rsidR="00014E1E" w:rsidRPr="00050253" w14:paraId="6CC23412" w14:textId="77777777" w:rsidTr="004C1C2A">
        <w:tc>
          <w:tcPr>
            <w:tcW w:w="1559" w:type="dxa"/>
          </w:tcPr>
          <w:p w14:paraId="59897A65" w14:textId="77777777" w:rsidR="00014E1E" w:rsidRPr="00922575" w:rsidRDefault="00014E1E" w:rsidP="004C1C2A">
            <w:r w:rsidRPr="00922575">
              <w:t>2015-2016</w:t>
            </w:r>
          </w:p>
        </w:tc>
        <w:tc>
          <w:tcPr>
            <w:cnfStyle w:val="000010000000" w:firstRow="0" w:lastRow="0" w:firstColumn="0" w:lastColumn="0" w:oddVBand="1" w:evenVBand="0" w:oddHBand="0" w:evenHBand="0" w:firstRowFirstColumn="0" w:firstRowLastColumn="0" w:lastRowFirstColumn="0" w:lastRowLastColumn="0"/>
            <w:tcW w:w="1559" w:type="dxa"/>
          </w:tcPr>
          <w:p w14:paraId="0A29482A" w14:textId="77777777" w:rsidR="00014E1E" w:rsidRPr="00922575" w:rsidRDefault="00014E1E" w:rsidP="004C1C2A">
            <w:r w:rsidRPr="00922575">
              <w:t>541,176</w:t>
            </w:r>
          </w:p>
        </w:tc>
      </w:tr>
      <w:tr w:rsidR="00014E1E" w:rsidRPr="00050253" w14:paraId="2C3EA171" w14:textId="77777777" w:rsidTr="004C1C2A">
        <w:tc>
          <w:tcPr>
            <w:tcW w:w="1559" w:type="dxa"/>
          </w:tcPr>
          <w:p w14:paraId="715474F2" w14:textId="77777777" w:rsidR="00014E1E" w:rsidRPr="00922575" w:rsidRDefault="00014E1E" w:rsidP="004C1C2A">
            <w:r w:rsidRPr="00922575">
              <w:t>2014-2015</w:t>
            </w:r>
          </w:p>
        </w:tc>
        <w:tc>
          <w:tcPr>
            <w:cnfStyle w:val="000010000000" w:firstRow="0" w:lastRow="0" w:firstColumn="0" w:lastColumn="0" w:oddVBand="1" w:evenVBand="0" w:oddHBand="0" w:evenHBand="0" w:firstRowFirstColumn="0" w:firstRowLastColumn="0" w:lastRowFirstColumn="0" w:lastRowLastColumn="0"/>
            <w:tcW w:w="1559" w:type="dxa"/>
          </w:tcPr>
          <w:p w14:paraId="50176305" w14:textId="77777777" w:rsidR="00014E1E" w:rsidRPr="00922575" w:rsidRDefault="00014E1E" w:rsidP="004C1C2A">
            <w:r w:rsidRPr="00922575">
              <w:t>521,891</w:t>
            </w:r>
          </w:p>
        </w:tc>
      </w:tr>
      <w:tr w:rsidR="00014E1E" w:rsidRPr="00050253" w14:paraId="11A77C61" w14:textId="77777777" w:rsidTr="004C1C2A">
        <w:tc>
          <w:tcPr>
            <w:tcW w:w="1559" w:type="dxa"/>
          </w:tcPr>
          <w:p w14:paraId="79C431BB" w14:textId="77777777" w:rsidR="00014E1E" w:rsidRPr="00922575" w:rsidRDefault="00014E1E" w:rsidP="004C1C2A">
            <w:r w:rsidRPr="00922575">
              <w:t>2013–2014</w:t>
            </w:r>
          </w:p>
        </w:tc>
        <w:tc>
          <w:tcPr>
            <w:cnfStyle w:val="000010000000" w:firstRow="0" w:lastRow="0" w:firstColumn="0" w:lastColumn="0" w:oddVBand="1" w:evenVBand="0" w:oddHBand="0" w:evenHBand="0" w:firstRowFirstColumn="0" w:firstRowLastColumn="0" w:lastRowFirstColumn="0" w:lastRowLastColumn="0"/>
            <w:tcW w:w="1559" w:type="dxa"/>
          </w:tcPr>
          <w:p w14:paraId="76B4D049" w14:textId="77777777" w:rsidR="00014E1E" w:rsidRPr="00922575" w:rsidRDefault="00014E1E" w:rsidP="004C1C2A">
            <w:r w:rsidRPr="00922575">
              <w:t>367,172</w:t>
            </w:r>
          </w:p>
        </w:tc>
      </w:tr>
      <w:tr w:rsidR="00014E1E" w:rsidRPr="00050253" w14:paraId="7E7A8557" w14:textId="77777777" w:rsidTr="004C1C2A">
        <w:tc>
          <w:tcPr>
            <w:tcW w:w="1559" w:type="dxa"/>
          </w:tcPr>
          <w:p w14:paraId="615B5274" w14:textId="77777777" w:rsidR="00014E1E" w:rsidRPr="00922575" w:rsidRDefault="00014E1E" w:rsidP="004C1C2A">
            <w:r w:rsidRPr="00922575">
              <w:t>2012–2013</w:t>
            </w:r>
          </w:p>
        </w:tc>
        <w:tc>
          <w:tcPr>
            <w:cnfStyle w:val="000010000000" w:firstRow="0" w:lastRow="0" w:firstColumn="0" w:lastColumn="0" w:oddVBand="1" w:evenVBand="0" w:oddHBand="0" w:evenHBand="0" w:firstRowFirstColumn="0" w:firstRowLastColumn="0" w:lastRowFirstColumn="0" w:lastRowLastColumn="0"/>
            <w:tcW w:w="1559" w:type="dxa"/>
          </w:tcPr>
          <w:p w14:paraId="07771558" w14:textId="77777777" w:rsidR="00014E1E" w:rsidRPr="00922575" w:rsidRDefault="00014E1E" w:rsidP="004C1C2A">
            <w:r w:rsidRPr="00922575">
              <w:t>271,449</w:t>
            </w:r>
          </w:p>
        </w:tc>
      </w:tr>
      <w:tr w:rsidR="00014E1E" w:rsidRPr="00050253" w14:paraId="2F9A6401" w14:textId="77777777" w:rsidTr="004C1C2A">
        <w:tc>
          <w:tcPr>
            <w:tcW w:w="1559" w:type="dxa"/>
          </w:tcPr>
          <w:p w14:paraId="3D5A5989" w14:textId="77777777" w:rsidR="00014E1E" w:rsidRPr="00922575" w:rsidRDefault="00014E1E" w:rsidP="004C1C2A">
            <w:r w:rsidRPr="00922575">
              <w:t>2011–2012</w:t>
            </w:r>
          </w:p>
        </w:tc>
        <w:tc>
          <w:tcPr>
            <w:cnfStyle w:val="000010000000" w:firstRow="0" w:lastRow="0" w:firstColumn="0" w:lastColumn="0" w:oddVBand="1" w:evenVBand="0" w:oddHBand="0" w:evenHBand="0" w:firstRowFirstColumn="0" w:firstRowLastColumn="0" w:lastRowFirstColumn="0" w:lastRowLastColumn="0"/>
            <w:tcW w:w="1559" w:type="dxa"/>
          </w:tcPr>
          <w:p w14:paraId="4E29AB38" w14:textId="77777777" w:rsidR="00014E1E" w:rsidRPr="00922575" w:rsidRDefault="00014E1E" w:rsidP="004C1C2A">
            <w:r w:rsidRPr="00922575">
              <w:t>213,692</w:t>
            </w:r>
          </w:p>
        </w:tc>
      </w:tr>
      <w:tr w:rsidR="00014E1E" w:rsidRPr="00050253" w14:paraId="0ADB47F9" w14:textId="77777777" w:rsidTr="004C1C2A">
        <w:tc>
          <w:tcPr>
            <w:tcW w:w="1559" w:type="dxa"/>
          </w:tcPr>
          <w:p w14:paraId="50FB39FA" w14:textId="77777777" w:rsidR="00014E1E" w:rsidRPr="00922575" w:rsidRDefault="00014E1E" w:rsidP="004C1C2A">
            <w:r w:rsidRPr="00922575">
              <w:t>2010–2011</w:t>
            </w:r>
          </w:p>
        </w:tc>
        <w:tc>
          <w:tcPr>
            <w:cnfStyle w:val="000010000000" w:firstRow="0" w:lastRow="0" w:firstColumn="0" w:lastColumn="0" w:oddVBand="1" w:evenVBand="0" w:oddHBand="0" w:evenHBand="0" w:firstRowFirstColumn="0" w:firstRowLastColumn="0" w:lastRowFirstColumn="0" w:lastRowLastColumn="0"/>
            <w:tcW w:w="1559" w:type="dxa"/>
          </w:tcPr>
          <w:p w14:paraId="50EC0DD3" w14:textId="77777777" w:rsidR="00014E1E" w:rsidRPr="00922575" w:rsidRDefault="00014E1E" w:rsidP="004C1C2A">
            <w:r w:rsidRPr="00922575">
              <w:t>243,917</w:t>
            </w:r>
          </w:p>
        </w:tc>
      </w:tr>
      <w:tr w:rsidR="00014E1E" w:rsidRPr="00050253" w14:paraId="5B679FE4" w14:textId="77777777" w:rsidTr="004C1C2A">
        <w:tc>
          <w:tcPr>
            <w:tcW w:w="1559" w:type="dxa"/>
          </w:tcPr>
          <w:p w14:paraId="1964D9A6" w14:textId="77777777" w:rsidR="00014E1E" w:rsidRPr="00922575" w:rsidRDefault="00014E1E" w:rsidP="004C1C2A">
            <w:r w:rsidRPr="00922575">
              <w:t>2009–2010</w:t>
            </w:r>
          </w:p>
        </w:tc>
        <w:tc>
          <w:tcPr>
            <w:cnfStyle w:val="000010000000" w:firstRow="0" w:lastRow="0" w:firstColumn="0" w:lastColumn="0" w:oddVBand="1" w:evenVBand="0" w:oddHBand="0" w:evenHBand="0" w:firstRowFirstColumn="0" w:firstRowLastColumn="0" w:lastRowFirstColumn="0" w:lastRowLastColumn="0"/>
            <w:tcW w:w="1559" w:type="dxa"/>
          </w:tcPr>
          <w:p w14:paraId="4CFE8601" w14:textId="77777777" w:rsidR="00014E1E" w:rsidRPr="00922575" w:rsidRDefault="00014E1E" w:rsidP="004C1C2A">
            <w:r w:rsidRPr="00922575">
              <w:t>188,155</w:t>
            </w:r>
          </w:p>
        </w:tc>
      </w:tr>
      <w:tr w:rsidR="00014E1E" w:rsidRPr="00050253" w14:paraId="2E386BE4" w14:textId="77777777" w:rsidTr="004C1C2A">
        <w:tc>
          <w:tcPr>
            <w:tcW w:w="1559" w:type="dxa"/>
          </w:tcPr>
          <w:p w14:paraId="316DCB44" w14:textId="77777777" w:rsidR="00014E1E" w:rsidRPr="00922575" w:rsidRDefault="00014E1E" w:rsidP="004C1C2A">
            <w:r w:rsidRPr="00922575">
              <w:t>2008–2009</w:t>
            </w:r>
          </w:p>
        </w:tc>
        <w:tc>
          <w:tcPr>
            <w:cnfStyle w:val="000010000000" w:firstRow="0" w:lastRow="0" w:firstColumn="0" w:lastColumn="0" w:oddVBand="1" w:evenVBand="0" w:oddHBand="0" w:evenHBand="0" w:firstRowFirstColumn="0" w:firstRowLastColumn="0" w:lastRowFirstColumn="0" w:lastRowLastColumn="0"/>
            <w:tcW w:w="1559" w:type="dxa"/>
          </w:tcPr>
          <w:p w14:paraId="5C1BB695" w14:textId="77777777" w:rsidR="00014E1E" w:rsidRPr="00922575" w:rsidRDefault="00014E1E" w:rsidP="004C1C2A">
            <w:r w:rsidRPr="00922575">
              <w:t>126,380</w:t>
            </w:r>
          </w:p>
        </w:tc>
      </w:tr>
      <w:tr w:rsidR="00014E1E" w:rsidRPr="00050253" w14:paraId="7305EDD2" w14:textId="77777777" w:rsidTr="004C1C2A">
        <w:tc>
          <w:tcPr>
            <w:tcW w:w="1559" w:type="dxa"/>
          </w:tcPr>
          <w:p w14:paraId="458FC3AC" w14:textId="77777777" w:rsidR="00014E1E" w:rsidRPr="00922575" w:rsidRDefault="00014E1E" w:rsidP="004C1C2A">
            <w:r w:rsidRPr="00922575">
              <w:t>2007–2008</w:t>
            </w:r>
          </w:p>
        </w:tc>
        <w:tc>
          <w:tcPr>
            <w:cnfStyle w:val="000010000000" w:firstRow="0" w:lastRow="0" w:firstColumn="0" w:lastColumn="0" w:oddVBand="1" w:evenVBand="0" w:oddHBand="0" w:evenHBand="0" w:firstRowFirstColumn="0" w:firstRowLastColumn="0" w:lastRowFirstColumn="0" w:lastRowLastColumn="0"/>
            <w:tcW w:w="1559" w:type="dxa"/>
          </w:tcPr>
          <w:p w14:paraId="37528004" w14:textId="77777777" w:rsidR="00014E1E" w:rsidRPr="00922575" w:rsidRDefault="00014E1E" w:rsidP="004C1C2A">
            <w:r w:rsidRPr="00922575">
              <w:t>134,288</w:t>
            </w:r>
          </w:p>
        </w:tc>
      </w:tr>
      <w:tr w:rsidR="00014E1E" w:rsidRPr="00050253" w14:paraId="556E9522" w14:textId="77777777" w:rsidTr="004C1C2A">
        <w:tc>
          <w:tcPr>
            <w:tcW w:w="1559" w:type="dxa"/>
          </w:tcPr>
          <w:p w14:paraId="45817F5C" w14:textId="77777777" w:rsidR="00014E1E" w:rsidRPr="00922575" w:rsidRDefault="00014E1E" w:rsidP="004C1C2A">
            <w:r w:rsidRPr="00922575">
              <w:t>2006–2007</w:t>
            </w:r>
          </w:p>
        </w:tc>
        <w:tc>
          <w:tcPr>
            <w:cnfStyle w:val="000010000000" w:firstRow="0" w:lastRow="0" w:firstColumn="0" w:lastColumn="0" w:oddVBand="1" w:evenVBand="0" w:oddHBand="0" w:evenHBand="0" w:firstRowFirstColumn="0" w:firstRowLastColumn="0" w:lastRowFirstColumn="0" w:lastRowLastColumn="0"/>
            <w:tcW w:w="1559" w:type="dxa"/>
          </w:tcPr>
          <w:p w14:paraId="13FFBFD2" w14:textId="77777777" w:rsidR="00014E1E" w:rsidRPr="00922575" w:rsidRDefault="00014E1E" w:rsidP="004C1C2A">
            <w:r w:rsidRPr="00922575">
              <w:t>109,355</w:t>
            </w:r>
          </w:p>
        </w:tc>
      </w:tr>
    </w:tbl>
    <w:p w14:paraId="2F911A3A" w14:textId="77777777" w:rsidR="00DD25B9" w:rsidRDefault="00DD25B9" w:rsidP="00DD25B9">
      <w:pPr>
        <w:pStyle w:val="Heading2"/>
      </w:pPr>
      <w:bookmarkStart w:id="28" w:name="_Toc46161457"/>
      <w:bookmarkStart w:id="29" w:name="_Toc46822582"/>
      <w:r>
        <w:t>Land Index searches</w:t>
      </w:r>
      <w:bookmarkEnd w:id="28"/>
      <w:bookmarkEnd w:id="29"/>
    </w:p>
    <w:p w14:paraId="6CA7F1D1" w14:textId="067DA57A" w:rsidR="00DD25B9" w:rsidRDefault="00DD25B9" w:rsidP="00DD25B9">
      <w:pPr>
        <w:pStyle w:val="BodyText"/>
      </w:pPr>
      <w:r>
        <w:t>Land</w:t>
      </w:r>
      <w:r w:rsidR="007D1F09">
        <w:t xml:space="preserve"> Index searches </w:t>
      </w:r>
      <w:r w:rsidR="001E00C3">
        <w:t>in</w:t>
      </w:r>
      <w:r w:rsidR="007D1F09">
        <w:t xml:space="preserve">creased by </w:t>
      </w:r>
      <w:r w:rsidR="00D81F28">
        <w:t>1.15</w:t>
      </w:r>
      <w:r w:rsidR="005C1021">
        <w:t xml:space="preserve"> per cent in the 201</w:t>
      </w:r>
      <w:r w:rsidR="00D81F28">
        <w:t>9</w:t>
      </w:r>
      <w:r>
        <w:t>–20</w:t>
      </w:r>
      <w:r w:rsidR="00D81F28">
        <w:t>20</w:t>
      </w:r>
      <w:r w:rsidR="00DF547F">
        <w:t xml:space="preserve"> </w:t>
      </w:r>
      <w:r>
        <w:t>financial year.</w:t>
      </w:r>
    </w:p>
    <w:tbl>
      <w:tblPr>
        <w:tblStyle w:val="TableGrid"/>
        <w:tblW w:w="0" w:type="auto"/>
        <w:tblLook w:val="00A0" w:firstRow="1" w:lastRow="0" w:firstColumn="1" w:lastColumn="0" w:noHBand="0" w:noVBand="0"/>
      </w:tblPr>
      <w:tblGrid>
        <w:gridCol w:w="1559"/>
        <w:gridCol w:w="1559"/>
      </w:tblGrid>
      <w:tr w:rsidR="00014E1E" w:rsidRPr="00050253" w14:paraId="2AFD95E3" w14:textId="77777777" w:rsidTr="004C1C2A">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59" w:type="dxa"/>
          </w:tcPr>
          <w:p w14:paraId="01F4DB76" w14:textId="77777777" w:rsidR="00014E1E" w:rsidRPr="00050253" w:rsidRDefault="00014E1E" w:rsidP="004C1C2A">
            <w:pPr>
              <w:pStyle w:val="TableHeadingLeft"/>
            </w:pPr>
          </w:p>
        </w:tc>
        <w:tc>
          <w:tcPr>
            <w:cnfStyle w:val="000010000000" w:firstRow="0" w:lastRow="0" w:firstColumn="0" w:lastColumn="0" w:oddVBand="1" w:evenVBand="0" w:oddHBand="0" w:evenHBand="0" w:firstRowFirstColumn="0" w:firstRowLastColumn="0" w:lastRowFirstColumn="0" w:lastRowLastColumn="0"/>
            <w:tcW w:w="1559" w:type="dxa"/>
          </w:tcPr>
          <w:p w14:paraId="2993ED26" w14:textId="77777777" w:rsidR="00014E1E" w:rsidRPr="00050253" w:rsidRDefault="00014E1E" w:rsidP="004C1C2A">
            <w:pPr>
              <w:pStyle w:val="TableHeadingLeft"/>
            </w:pPr>
          </w:p>
        </w:tc>
      </w:tr>
      <w:tr w:rsidR="00392E5A" w:rsidRPr="00050253" w14:paraId="43C358B9" w14:textId="77777777" w:rsidTr="004C1C2A">
        <w:tc>
          <w:tcPr>
            <w:tcW w:w="1559" w:type="dxa"/>
          </w:tcPr>
          <w:p w14:paraId="5F623B9B" w14:textId="4AC181FF" w:rsidR="00392E5A" w:rsidRDefault="00392E5A" w:rsidP="00DF547F">
            <w:pPr>
              <w:pStyle w:val="BodyText"/>
            </w:pPr>
            <w:r>
              <w:t>2019-2020</w:t>
            </w:r>
          </w:p>
        </w:tc>
        <w:tc>
          <w:tcPr>
            <w:cnfStyle w:val="000010000000" w:firstRow="0" w:lastRow="0" w:firstColumn="0" w:lastColumn="0" w:oddVBand="1" w:evenVBand="0" w:oddHBand="0" w:evenHBand="0" w:firstRowFirstColumn="0" w:firstRowLastColumn="0" w:lastRowFirstColumn="0" w:lastRowLastColumn="0"/>
            <w:tcW w:w="1559" w:type="dxa"/>
          </w:tcPr>
          <w:p w14:paraId="569596B4" w14:textId="382187E7" w:rsidR="00392E5A" w:rsidRDefault="00392E5A" w:rsidP="00DF547F">
            <w:pPr>
              <w:pStyle w:val="BodyText"/>
            </w:pPr>
            <w:r>
              <w:t>1,3</w:t>
            </w:r>
            <w:r w:rsidR="0048100F">
              <w:t>52,415</w:t>
            </w:r>
          </w:p>
        </w:tc>
      </w:tr>
      <w:tr w:rsidR="00DF547F" w:rsidRPr="00050253" w14:paraId="29A4CFD8" w14:textId="77777777" w:rsidTr="004C1C2A">
        <w:tc>
          <w:tcPr>
            <w:tcW w:w="1559" w:type="dxa"/>
          </w:tcPr>
          <w:p w14:paraId="4A14AA46" w14:textId="0B829102" w:rsidR="00DF547F" w:rsidRPr="00050253" w:rsidRDefault="00DF547F" w:rsidP="00DF547F">
            <w:pPr>
              <w:pStyle w:val="BodyText"/>
            </w:pPr>
            <w:r>
              <w:t>2018-2019</w:t>
            </w:r>
          </w:p>
        </w:tc>
        <w:tc>
          <w:tcPr>
            <w:cnfStyle w:val="000010000000" w:firstRow="0" w:lastRow="0" w:firstColumn="0" w:lastColumn="0" w:oddVBand="1" w:evenVBand="0" w:oddHBand="0" w:evenHBand="0" w:firstRowFirstColumn="0" w:firstRowLastColumn="0" w:lastRowFirstColumn="0" w:lastRowLastColumn="0"/>
            <w:tcW w:w="1559" w:type="dxa"/>
          </w:tcPr>
          <w:p w14:paraId="15D50EC8" w14:textId="1012AE33" w:rsidR="00DF547F" w:rsidRPr="00050253" w:rsidRDefault="00DF547F" w:rsidP="00DF547F">
            <w:pPr>
              <w:pStyle w:val="BodyText"/>
            </w:pPr>
            <w:r>
              <w:t>1,319,785</w:t>
            </w:r>
          </w:p>
        </w:tc>
      </w:tr>
      <w:tr w:rsidR="006D1B0E" w:rsidRPr="00050253" w14:paraId="3ABE40A5" w14:textId="77777777" w:rsidTr="004C1C2A">
        <w:tc>
          <w:tcPr>
            <w:tcW w:w="1559" w:type="dxa"/>
          </w:tcPr>
          <w:p w14:paraId="28A2FE76" w14:textId="1503E9B9" w:rsidR="006D1B0E" w:rsidRDefault="006D1B0E" w:rsidP="004C1C2A">
            <w:r>
              <w:t>2017-2018</w:t>
            </w:r>
          </w:p>
        </w:tc>
        <w:tc>
          <w:tcPr>
            <w:cnfStyle w:val="000010000000" w:firstRow="0" w:lastRow="0" w:firstColumn="0" w:lastColumn="0" w:oddVBand="1" w:evenVBand="0" w:oddHBand="0" w:evenHBand="0" w:firstRowFirstColumn="0" w:firstRowLastColumn="0" w:lastRowFirstColumn="0" w:lastRowLastColumn="0"/>
            <w:tcW w:w="1559" w:type="dxa"/>
          </w:tcPr>
          <w:p w14:paraId="1008C019" w14:textId="5DE8239E" w:rsidR="006D1B0E" w:rsidRDefault="006D1B0E" w:rsidP="004C1C2A">
            <w:r>
              <w:t>1,374,961</w:t>
            </w:r>
          </w:p>
        </w:tc>
      </w:tr>
      <w:tr w:rsidR="009431BE" w:rsidRPr="00050253" w14:paraId="1457FE8E" w14:textId="77777777" w:rsidTr="004C1C2A">
        <w:tc>
          <w:tcPr>
            <w:tcW w:w="1559" w:type="dxa"/>
          </w:tcPr>
          <w:p w14:paraId="29EEEF31" w14:textId="1B7BEC37" w:rsidR="009431BE" w:rsidRPr="000A4595" w:rsidRDefault="009431BE" w:rsidP="004C1C2A">
            <w:r>
              <w:t>2016-20</w:t>
            </w:r>
            <w:r w:rsidR="006008C0">
              <w:t>1</w:t>
            </w:r>
            <w:r>
              <w:t>7</w:t>
            </w:r>
          </w:p>
        </w:tc>
        <w:tc>
          <w:tcPr>
            <w:cnfStyle w:val="000010000000" w:firstRow="0" w:lastRow="0" w:firstColumn="0" w:lastColumn="0" w:oddVBand="1" w:evenVBand="0" w:oddHBand="0" w:evenHBand="0" w:firstRowFirstColumn="0" w:firstRowLastColumn="0" w:lastRowFirstColumn="0" w:lastRowLastColumn="0"/>
            <w:tcW w:w="1559" w:type="dxa"/>
          </w:tcPr>
          <w:p w14:paraId="4E5B0191" w14:textId="04ED0E7F" w:rsidR="009431BE" w:rsidRPr="000A4595" w:rsidRDefault="009431BE" w:rsidP="004C1C2A">
            <w:r>
              <w:t>1,345,345</w:t>
            </w:r>
          </w:p>
        </w:tc>
      </w:tr>
      <w:tr w:rsidR="00014E1E" w:rsidRPr="00050253" w14:paraId="7A789F4F" w14:textId="77777777" w:rsidTr="004C1C2A">
        <w:tc>
          <w:tcPr>
            <w:tcW w:w="1559" w:type="dxa"/>
          </w:tcPr>
          <w:p w14:paraId="5D6BF018" w14:textId="77777777" w:rsidR="00014E1E" w:rsidRPr="000A4595" w:rsidRDefault="00014E1E" w:rsidP="004C1C2A">
            <w:r w:rsidRPr="000A4595">
              <w:t>2015-2016</w:t>
            </w:r>
          </w:p>
        </w:tc>
        <w:tc>
          <w:tcPr>
            <w:cnfStyle w:val="000010000000" w:firstRow="0" w:lastRow="0" w:firstColumn="0" w:lastColumn="0" w:oddVBand="1" w:evenVBand="0" w:oddHBand="0" w:evenHBand="0" w:firstRowFirstColumn="0" w:firstRowLastColumn="0" w:lastRowFirstColumn="0" w:lastRowLastColumn="0"/>
            <w:tcW w:w="1559" w:type="dxa"/>
          </w:tcPr>
          <w:p w14:paraId="10E69F44" w14:textId="77777777" w:rsidR="00014E1E" w:rsidRPr="000A4595" w:rsidRDefault="00014E1E" w:rsidP="004C1C2A">
            <w:r w:rsidRPr="000A4595">
              <w:t>1,153,439</w:t>
            </w:r>
          </w:p>
        </w:tc>
      </w:tr>
      <w:tr w:rsidR="00014E1E" w:rsidRPr="00050253" w14:paraId="15C46A15" w14:textId="77777777" w:rsidTr="004C1C2A">
        <w:tc>
          <w:tcPr>
            <w:tcW w:w="1559" w:type="dxa"/>
          </w:tcPr>
          <w:p w14:paraId="00848EF7" w14:textId="77777777" w:rsidR="00014E1E" w:rsidRPr="000A4595" w:rsidRDefault="00014E1E" w:rsidP="004C1C2A">
            <w:r w:rsidRPr="000A4595">
              <w:t>2014-2015</w:t>
            </w:r>
          </w:p>
        </w:tc>
        <w:tc>
          <w:tcPr>
            <w:cnfStyle w:val="000010000000" w:firstRow="0" w:lastRow="0" w:firstColumn="0" w:lastColumn="0" w:oddVBand="1" w:evenVBand="0" w:oddHBand="0" w:evenHBand="0" w:firstRowFirstColumn="0" w:firstRowLastColumn="0" w:lastRowFirstColumn="0" w:lastRowLastColumn="0"/>
            <w:tcW w:w="1559" w:type="dxa"/>
          </w:tcPr>
          <w:p w14:paraId="786D578B" w14:textId="77777777" w:rsidR="00014E1E" w:rsidRPr="000A4595" w:rsidRDefault="00014E1E" w:rsidP="004C1C2A">
            <w:r w:rsidRPr="000A4595">
              <w:t>1,070,323</w:t>
            </w:r>
          </w:p>
        </w:tc>
      </w:tr>
      <w:tr w:rsidR="00014E1E" w:rsidRPr="00050253" w14:paraId="0DD0760E" w14:textId="77777777" w:rsidTr="004C1C2A">
        <w:tc>
          <w:tcPr>
            <w:tcW w:w="1559" w:type="dxa"/>
          </w:tcPr>
          <w:p w14:paraId="2B266CF0" w14:textId="77777777" w:rsidR="00014E1E" w:rsidRPr="000A4595" w:rsidRDefault="00014E1E" w:rsidP="004C1C2A">
            <w:r w:rsidRPr="000A4595">
              <w:t>2013–2014</w:t>
            </w:r>
          </w:p>
        </w:tc>
        <w:tc>
          <w:tcPr>
            <w:cnfStyle w:val="000010000000" w:firstRow="0" w:lastRow="0" w:firstColumn="0" w:lastColumn="0" w:oddVBand="1" w:evenVBand="0" w:oddHBand="0" w:evenHBand="0" w:firstRowFirstColumn="0" w:firstRowLastColumn="0" w:lastRowFirstColumn="0" w:lastRowLastColumn="0"/>
            <w:tcW w:w="1559" w:type="dxa"/>
          </w:tcPr>
          <w:p w14:paraId="7C2E0DB3" w14:textId="77777777" w:rsidR="00014E1E" w:rsidRPr="000A4595" w:rsidRDefault="00014E1E" w:rsidP="004C1C2A">
            <w:r w:rsidRPr="000A4595">
              <w:t>998,803</w:t>
            </w:r>
          </w:p>
        </w:tc>
      </w:tr>
      <w:tr w:rsidR="00014E1E" w:rsidRPr="00050253" w14:paraId="7F78BE9F" w14:textId="77777777" w:rsidTr="004C1C2A">
        <w:tc>
          <w:tcPr>
            <w:tcW w:w="1559" w:type="dxa"/>
          </w:tcPr>
          <w:p w14:paraId="114DAB77" w14:textId="77777777" w:rsidR="00014E1E" w:rsidRPr="000A4595" w:rsidRDefault="00014E1E" w:rsidP="004C1C2A">
            <w:r w:rsidRPr="000A4595">
              <w:t>2012–2013</w:t>
            </w:r>
          </w:p>
        </w:tc>
        <w:tc>
          <w:tcPr>
            <w:cnfStyle w:val="000010000000" w:firstRow="0" w:lastRow="0" w:firstColumn="0" w:lastColumn="0" w:oddVBand="1" w:evenVBand="0" w:oddHBand="0" w:evenHBand="0" w:firstRowFirstColumn="0" w:firstRowLastColumn="0" w:lastRowFirstColumn="0" w:lastRowLastColumn="0"/>
            <w:tcW w:w="1559" w:type="dxa"/>
          </w:tcPr>
          <w:p w14:paraId="6BB7A66E" w14:textId="77777777" w:rsidR="00014E1E" w:rsidRPr="000A4595" w:rsidRDefault="00014E1E" w:rsidP="004C1C2A">
            <w:r w:rsidRPr="000A4595">
              <w:t>1,056,131</w:t>
            </w:r>
          </w:p>
        </w:tc>
      </w:tr>
      <w:tr w:rsidR="00014E1E" w:rsidRPr="00050253" w14:paraId="3C7908F5" w14:textId="77777777" w:rsidTr="004C1C2A">
        <w:tc>
          <w:tcPr>
            <w:tcW w:w="1559" w:type="dxa"/>
          </w:tcPr>
          <w:p w14:paraId="5635D2EB" w14:textId="77777777" w:rsidR="00014E1E" w:rsidRPr="000A4595" w:rsidRDefault="00014E1E" w:rsidP="004C1C2A">
            <w:r w:rsidRPr="000A4595">
              <w:t>2011–2012</w:t>
            </w:r>
          </w:p>
        </w:tc>
        <w:tc>
          <w:tcPr>
            <w:cnfStyle w:val="000010000000" w:firstRow="0" w:lastRow="0" w:firstColumn="0" w:lastColumn="0" w:oddVBand="1" w:evenVBand="0" w:oddHBand="0" w:evenHBand="0" w:firstRowFirstColumn="0" w:firstRowLastColumn="0" w:lastRowFirstColumn="0" w:lastRowLastColumn="0"/>
            <w:tcW w:w="1559" w:type="dxa"/>
          </w:tcPr>
          <w:p w14:paraId="69E976A2" w14:textId="77777777" w:rsidR="00014E1E" w:rsidRPr="000A4595" w:rsidRDefault="00014E1E" w:rsidP="004C1C2A">
            <w:r w:rsidRPr="000A4595">
              <w:t>1,053,140</w:t>
            </w:r>
          </w:p>
        </w:tc>
      </w:tr>
      <w:tr w:rsidR="00014E1E" w:rsidRPr="00050253" w14:paraId="073E68D7" w14:textId="77777777" w:rsidTr="004C1C2A">
        <w:tc>
          <w:tcPr>
            <w:tcW w:w="1559" w:type="dxa"/>
          </w:tcPr>
          <w:p w14:paraId="0A596C42" w14:textId="77777777" w:rsidR="00014E1E" w:rsidRPr="000A4595" w:rsidRDefault="00014E1E" w:rsidP="004C1C2A">
            <w:r w:rsidRPr="000A4595">
              <w:t>2010–2011</w:t>
            </w:r>
          </w:p>
        </w:tc>
        <w:tc>
          <w:tcPr>
            <w:cnfStyle w:val="000010000000" w:firstRow="0" w:lastRow="0" w:firstColumn="0" w:lastColumn="0" w:oddVBand="1" w:evenVBand="0" w:oddHBand="0" w:evenHBand="0" w:firstRowFirstColumn="0" w:firstRowLastColumn="0" w:lastRowFirstColumn="0" w:lastRowLastColumn="0"/>
            <w:tcW w:w="1559" w:type="dxa"/>
          </w:tcPr>
          <w:p w14:paraId="239ADDDF" w14:textId="77777777" w:rsidR="00014E1E" w:rsidRPr="000A4595" w:rsidRDefault="00014E1E" w:rsidP="004C1C2A">
            <w:r w:rsidRPr="000A4595">
              <w:t>1,103,887</w:t>
            </w:r>
          </w:p>
        </w:tc>
      </w:tr>
      <w:tr w:rsidR="00014E1E" w:rsidRPr="00050253" w14:paraId="1EA38CB2" w14:textId="77777777" w:rsidTr="004C1C2A">
        <w:tc>
          <w:tcPr>
            <w:tcW w:w="1559" w:type="dxa"/>
          </w:tcPr>
          <w:p w14:paraId="0048B5C2" w14:textId="77777777" w:rsidR="00014E1E" w:rsidRPr="000A4595" w:rsidRDefault="00014E1E" w:rsidP="004C1C2A">
            <w:r w:rsidRPr="000A4595">
              <w:t>2009–2010</w:t>
            </w:r>
          </w:p>
        </w:tc>
        <w:tc>
          <w:tcPr>
            <w:cnfStyle w:val="000010000000" w:firstRow="0" w:lastRow="0" w:firstColumn="0" w:lastColumn="0" w:oddVBand="1" w:evenVBand="0" w:oddHBand="0" w:evenHBand="0" w:firstRowFirstColumn="0" w:firstRowLastColumn="0" w:lastRowFirstColumn="0" w:lastRowLastColumn="0"/>
            <w:tcW w:w="1559" w:type="dxa"/>
          </w:tcPr>
          <w:p w14:paraId="0071890E" w14:textId="77777777" w:rsidR="00014E1E" w:rsidRPr="000A4595" w:rsidRDefault="00014E1E" w:rsidP="004C1C2A">
            <w:r w:rsidRPr="000A4595">
              <w:t>1,137,876</w:t>
            </w:r>
          </w:p>
        </w:tc>
      </w:tr>
      <w:tr w:rsidR="00014E1E" w:rsidRPr="00050253" w14:paraId="3E427B8B" w14:textId="77777777" w:rsidTr="004C1C2A">
        <w:tc>
          <w:tcPr>
            <w:tcW w:w="1559" w:type="dxa"/>
          </w:tcPr>
          <w:p w14:paraId="035949C5" w14:textId="77777777" w:rsidR="00014E1E" w:rsidRPr="000A4595" w:rsidRDefault="00014E1E" w:rsidP="004C1C2A">
            <w:r w:rsidRPr="000A4595">
              <w:t>2008–2009</w:t>
            </w:r>
          </w:p>
        </w:tc>
        <w:tc>
          <w:tcPr>
            <w:cnfStyle w:val="000010000000" w:firstRow="0" w:lastRow="0" w:firstColumn="0" w:lastColumn="0" w:oddVBand="1" w:evenVBand="0" w:oddHBand="0" w:evenHBand="0" w:firstRowFirstColumn="0" w:firstRowLastColumn="0" w:lastRowFirstColumn="0" w:lastRowLastColumn="0"/>
            <w:tcW w:w="1559" w:type="dxa"/>
          </w:tcPr>
          <w:p w14:paraId="136FACBD" w14:textId="77777777" w:rsidR="00014E1E" w:rsidRPr="000A4595" w:rsidRDefault="00014E1E" w:rsidP="004C1C2A">
            <w:r w:rsidRPr="000A4595">
              <w:t>1,278,727</w:t>
            </w:r>
          </w:p>
        </w:tc>
      </w:tr>
      <w:tr w:rsidR="00014E1E" w:rsidRPr="00050253" w14:paraId="47C28C71" w14:textId="77777777" w:rsidTr="004C1C2A">
        <w:tc>
          <w:tcPr>
            <w:tcW w:w="1559" w:type="dxa"/>
          </w:tcPr>
          <w:p w14:paraId="178A55C5" w14:textId="77777777" w:rsidR="00014E1E" w:rsidRPr="000A4595" w:rsidRDefault="00014E1E" w:rsidP="004C1C2A">
            <w:r w:rsidRPr="000A4595">
              <w:t>2007–2008</w:t>
            </w:r>
          </w:p>
        </w:tc>
        <w:tc>
          <w:tcPr>
            <w:cnfStyle w:val="000010000000" w:firstRow="0" w:lastRow="0" w:firstColumn="0" w:lastColumn="0" w:oddVBand="1" w:evenVBand="0" w:oddHBand="0" w:evenHBand="0" w:firstRowFirstColumn="0" w:firstRowLastColumn="0" w:lastRowFirstColumn="0" w:lastRowLastColumn="0"/>
            <w:tcW w:w="1559" w:type="dxa"/>
          </w:tcPr>
          <w:p w14:paraId="31092AFA" w14:textId="77777777" w:rsidR="00014E1E" w:rsidRPr="000A4595" w:rsidRDefault="00014E1E" w:rsidP="004C1C2A">
            <w:r w:rsidRPr="000A4595">
              <w:t>1,488,230</w:t>
            </w:r>
          </w:p>
        </w:tc>
      </w:tr>
      <w:tr w:rsidR="00014E1E" w:rsidRPr="00050253" w14:paraId="7B1B2011" w14:textId="77777777" w:rsidTr="004C1C2A">
        <w:tc>
          <w:tcPr>
            <w:tcW w:w="1559" w:type="dxa"/>
          </w:tcPr>
          <w:p w14:paraId="0D9299CE" w14:textId="77777777" w:rsidR="00014E1E" w:rsidRPr="000A4595" w:rsidRDefault="00014E1E" w:rsidP="004C1C2A">
            <w:r w:rsidRPr="000A4595">
              <w:t>2006–2007</w:t>
            </w:r>
          </w:p>
        </w:tc>
        <w:tc>
          <w:tcPr>
            <w:cnfStyle w:val="000010000000" w:firstRow="0" w:lastRow="0" w:firstColumn="0" w:lastColumn="0" w:oddVBand="1" w:evenVBand="0" w:oddHBand="0" w:evenHBand="0" w:firstRowFirstColumn="0" w:firstRowLastColumn="0" w:lastRowFirstColumn="0" w:lastRowLastColumn="0"/>
            <w:tcW w:w="1559" w:type="dxa"/>
          </w:tcPr>
          <w:p w14:paraId="4C2323A4" w14:textId="77777777" w:rsidR="00014E1E" w:rsidRPr="000A4595" w:rsidRDefault="00014E1E" w:rsidP="004C1C2A">
            <w:r w:rsidRPr="000A4595">
              <w:t>1,466,544</w:t>
            </w:r>
          </w:p>
        </w:tc>
      </w:tr>
    </w:tbl>
    <w:p w14:paraId="2A5A01A5" w14:textId="77777777" w:rsidR="00014E1E" w:rsidRDefault="00014E1E"/>
    <w:p w14:paraId="0E72AED1" w14:textId="07EE308D" w:rsidR="00B5223B" w:rsidRDefault="00DD25B9" w:rsidP="00B5223B">
      <w:pPr>
        <w:pStyle w:val="Heading2"/>
      </w:pPr>
      <w:r>
        <w:br w:type="page"/>
      </w:r>
      <w:bookmarkStart w:id="30" w:name="_Toc46822583"/>
      <w:bookmarkStart w:id="31" w:name="_Toc45977540"/>
      <w:bookmarkStart w:id="32" w:name="_Toc46161458"/>
      <w:r w:rsidR="00B5223B">
        <w:t>L</w:t>
      </w:r>
      <w:r w:rsidR="006A55C7">
        <w:t xml:space="preserve">odgement </w:t>
      </w:r>
      <w:r w:rsidR="00D22DD3">
        <w:t>and Support Services 1 (L</w:t>
      </w:r>
      <w:r w:rsidR="00B5223B">
        <w:t>SS1</w:t>
      </w:r>
      <w:r w:rsidR="00D22DD3">
        <w:t>)</w:t>
      </w:r>
      <w:bookmarkEnd w:id="30"/>
    </w:p>
    <w:p w14:paraId="549F585C" w14:textId="07A72A44" w:rsidR="00D56F0E" w:rsidRPr="00E57AE9" w:rsidRDefault="00D56F0E" w:rsidP="00E57AE9">
      <w:pPr>
        <w:pStyle w:val="BodyText"/>
      </w:pPr>
      <w:r>
        <w:rPr>
          <w:lang w:eastAsia="en-AU"/>
        </w:rPr>
        <w:t>This stat</w:t>
      </w:r>
      <w:r w:rsidR="0037201B">
        <w:rPr>
          <w:lang w:eastAsia="en-AU"/>
        </w:rPr>
        <w:t xml:space="preserve">istic refers to </w:t>
      </w:r>
      <w:r w:rsidR="00AC533C">
        <w:rPr>
          <w:lang w:eastAsia="en-AU"/>
        </w:rPr>
        <w:t>services provided to Electronic Lodgement Networks (ELN) on the creation of a</w:t>
      </w:r>
      <w:r w:rsidR="000C3A61">
        <w:rPr>
          <w:lang w:eastAsia="en-AU"/>
        </w:rPr>
        <w:t xml:space="preserve"> </w:t>
      </w:r>
      <w:r w:rsidR="00AC533C">
        <w:rPr>
          <w:lang w:eastAsia="en-AU"/>
        </w:rPr>
        <w:t xml:space="preserve"> </w:t>
      </w:r>
      <w:r w:rsidR="0037201B">
        <w:rPr>
          <w:lang w:eastAsia="en-AU"/>
        </w:rPr>
        <w:t xml:space="preserve"> </w:t>
      </w:r>
      <w:r w:rsidR="00A30A4D">
        <w:rPr>
          <w:lang w:eastAsia="en-AU"/>
        </w:rPr>
        <w:t>workspace</w:t>
      </w:r>
      <w:r w:rsidR="00AC533C">
        <w:rPr>
          <w:lang w:eastAsia="en-AU"/>
        </w:rPr>
        <w:t>,</w:t>
      </w:r>
      <w:r w:rsidR="00A30A4D">
        <w:rPr>
          <w:lang w:eastAsia="en-AU"/>
        </w:rPr>
        <w:t xml:space="preserve"> </w:t>
      </w:r>
      <w:r w:rsidR="00462D6F">
        <w:rPr>
          <w:lang w:eastAsia="en-AU"/>
        </w:rPr>
        <w:t>consisting of</w:t>
      </w:r>
      <w:r w:rsidR="009C34F2">
        <w:rPr>
          <w:lang w:eastAsia="en-AU"/>
        </w:rPr>
        <w:t xml:space="preserve"> pre-</w:t>
      </w:r>
      <w:proofErr w:type="spellStart"/>
      <w:r w:rsidR="009C34F2">
        <w:rPr>
          <w:lang w:eastAsia="en-AU"/>
        </w:rPr>
        <w:t>populaion</w:t>
      </w:r>
      <w:proofErr w:type="spellEnd"/>
      <w:r w:rsidR="009C34F2">
        <w:rPr>
          <w:lang w:eastAsia="en-AU"/>
        </w:rPr>
        <w:t xml:space="preserve"> of title dat</w:t>
      </w:r>
      <w:r w:rsidR="003854C8">
        <w:rPr>
          <w:lang w:eastAsia="en-AU"/>
        </w:rPr>
        <w:t>a</w:t>
      </w:r>
      <w:r w:rsidR="009C34F2">
        <w:rPr>
          <w:lang w:eastAsia="en-AU"/>
        </w:rPr>
        <w:t>,</w:t>
      </w:r>
      <w:r w:rsidR="00462D6F">
        <w:rPr>
          <w:lang w:eastAsia="en-AU"/>
        </w:rPr>
        <w:t xml:space="preserve"> title activity checks</w:t>
      </w:r>
      <w:r w:rsidR="009C34F2">
        <w:rPr>
          <w:lang w:eastAsia="en-AU"/>
        </w:rPr>
        <w:t xml:space="preserve"> and lodgement ver</w:t>
      </w:r>
      <w:r w:rsidR="005573DA">
        <w:rPr>
          <w:lang w:eastAsia="en-AU"/>
        </w:rPr>
        <w:t>ification.</w:t>
      </w:r>
      <w:r w:rsidR="00AC533C">
        <w:rPr>
          <w:lang w:eastAsia="en-AU"/>
        </w:rPr>
        <w:t xml:space="preserve">  As LSS1 is required on the creation of a workspace in an ELN, this statistic is a measure of the number of such worksp</w:t>
      </w:r>
      <w:r w:rsidR="00B95812">
        <w:rPr>
          <w:lang w:eastAsia="en-AU"/>
        </w:rPr>
        <w:t>a</w:t>
      </w:r>
      <w:r w:rsidR="00AC533C">
        <w:rPr>
          <w:lang w:eastAsia="en-AU"/>
        </w:rPr>
        <w:t>ces created.</w:t>
      </w:r>
    </w:p>
    <w:tbl>
      <w:tblPr>
        <w:tblStyle w:val="TableGrid"/>
        <w:tblW w:w="0" w:type="auto"/>
        <w:tblLook w:val="00A0" w:firstRow="1" w:lastRow="0" w:firstColumn="1" w:lastColumn="0" w:noHBand="0" w:noVBand="0"/>
      </w:tblPr>
      <w:tblGrid>
        <w:gridCol w:w="1559"/>
        <w:gridCol w:w="1559"/>
      </w:tblGrid>
      <w:tr w:rsidR="00B5223B" w:rsidRPr="00050253" w14:paraId="1B288056" w14:textId="77777777" w:rsidTr="00530C7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59" w:type="dxa"/>
          </w:tcPr>
          <w:p w14:paraId="4E0C9065" w14:textId="77777777" w:rsidR="00B5223B" w:rsidRPr="00050253" w:rsidRDefault="00B5223B" w:rsidP="00530C71">
            <w:pPr>
              <w:pStyle w:val="TableHeadingLeft"/>
            </w:pPr>
          </w:p>
        </w:tc>
        <w:tc>
          <w:tcPr>
            <w:cnfStyle w:val="000010000000" w:firstRow="0" w:lastRow="0" w:firstColumn="0" w:lastColumn="0" w:oddVBand="1" w:evenVBand="0" w:oddHBand="0" w:evenHBand="0" w:firstRowFirstColumn="0" w:firstRowLastColumn="0" w:lastRowFirstColumn="0" w:lastRowLastColumn="0"/>
            <w:tcW w:w="1559" w:type="dxa"/>
          </w:tcPr>
          <w:p w14:paraId="530C5512" w14:textId="77777777" w:rsidR="00B5223B" w:rsidRPr="00050253" w:rsidRDefault="00B5223B" w:rsidP="00530C71">
            <w:pPr>
              <w:pStyle w:val="TableHeadingLeft"/>
            </w:pPr>
          </w:p>
        </w:tc>
      </w:tr>
      <w:tr w:rsidR="00B5223B" w14:paraId="68C969F1" w14:textId="77777777" w:rsidTr="00530C71">
        <w:tc>
          <w:tcPr>
            <w:tcW w:w="1559" w:type="dxa"/>
          </w:tcPr>
          <w:p w14:paraId="7BD03330" w14:textId="77777777" w:rsidR="00B5223B" w:rsidRDefault="00B5223B" w:rsidP="00530C71">
            <w:pPr>
              <w:pStyle w:val="BodyText"/>
            </w:pPr>
            <w:r>
              <w:t>2019-2020</w:t>
            </w:r>
          </w:p>
        </w:tc>
        <w:tc>
          <w:tcPr>
            <w:cnfStyle w:val="000010000000" w:firstRow="0" w:lastRow="0" w:firstColumn="0" w:lastColumn="0" w:oddVBand="1" w:evenVBand="0" w:oddHBand="0" w:evenHBand="0" w:firstRowFirstColumn="0" w:firstRowLastColumn="0" w:lastRowFirstColumn="0" w:lastRowLastColumn="0"/>
            <w:tcW w:w="1559" w:type="dxa"/>
          </w:tcPr>
          <w:p w14:paraId="7D48B15E" w14:textId="6A74D19A" w:rsidR="00B5223B" w:rsidRDefault="00992FD0" w:rsidP="00530C71">
            <w:pPr>
              <w:pStyle w:val="BodyText"/>
            </w:pPr>
            <w:r>
              <w:t>4</w:t>
            </w:r>
            <w:r w:rsidR="00103877">
              <w:t>76,167</w:t>
            </w:r>
          </w:p>
        </w:tc>
      </w:tr>
    </w:tbl>
    <w:p w14:paraId="55BAA447" w14:textId="77777777" w:rsidR="00B5223B" w:rsidRDefault="00B5223B" w:rsidP="000226F1">
      <w:pPr>
        <w:pStyle w:val="Heading1"/>
        <w:rPr>
          <w:noProof/>
        </w:rPr>
      </w:pPr>
    </w:p>
    <w:p w14:paraId="598F1729" w14:textId="51148A46" w:rsidR="000226F1" w:rsidRPr="0064342E" w:rsidRDefault="000226F1" w:rsidP="000226F1">
      <w:pPr>
        <w:pStyle w:val="Heading1"/>
        <w:rPr>
          <w:noProof/>
        </w:rPr>
      </w:pPr>
      <w:bookmarkStart w:id="33" w:name="_Toc46822584"/>
      <w:r w:rsidRPr="0064342E">
        <w:t>Landata Statistic</w:t>
      </w:r>
      <w:r w:rsidR="00AC533C">
        <w:t>s</w:t>
      </w:r>
      <w:r w:rsidRPr="0064342E">
        <w:t xml:space="preserve"> with trend line</w:t>
      </w:r>
      <w:bookmarkEnd w:id="31"/>
      <w:bookmarkEnd w:id="32"/>
      <w:bookmarkEnd w:id="33"/>
      <w:r w:rsidR="00AC533C">
        <w:t>s</w:t>
      </w:r>
    </w:p>
    <w:p w14:paraId="59FDE371" w14:textId="36DC2C96" w:rsidR="00DD25B9" w:rsidRDefault="00F35CDC">
      <w:pPr>
        <w:rPr>
          <w:rFonts w:cs="Times New Roman"/>
          <w:lang w:eastAsia="en-US"/>
        </w:rPr>
      </w:pPr>
      <w:r>
        <w:rPr>
          <w:noProof/>
        </w:rPr>
        <w:drawing>
          <wp:inline distT="0" distB="0" distL="0" distR="0" wp14:anchorId="37A74159" wp14:editId="63F0B0A4">
            <wp:extent cx="6120765" cy="3862070"/>
            <wp:effectExtent l="0" t="0" r="13335" b="5080"/>
            <wp:docPr id="24" name="Chart 24">
              <a:extLst xmlns:a="http://schemas.openxmlformats.org/drawingml/2006/main">
                <a:ext uri="{FF2B5EF4-FFF2-40B4-BE49-F238E27FC236}">
                  <a16:creationId xmlns:a16="http://schemas.microsoft.com/office/drawing/2014/main" id="{DA97599E-0A17-4C1C-B328-23B578FC6A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B61F368" w14:textId="601E9D08" w:rsidR="0064342E" w:rsidRDefault="003A7865" w:rsidP="0064342E">
      <w:pPr>
        <w:pStyle w:val="BodyText100ThemeColour"/>
        <w:rPr>
          <w:sz w:val="40"/>
          <w:szCs w:val="40"/>
        </w:rPr>
      </w:pPr>
      <w:r>
        <w:rPr>
          <w:sz w:val="40"/>
          <w:szCs w:val="40"/>
        </w:rPr>
        <w:t xml:space="preserve">                                                                                                                                                   </w:t>
      </w:r>
    </w:p>
    <w:p w14:paraId="37B739B2" w14:textId="77777777" w:rsidR="003A7865" w:rsidRDefault="003A7865" w:rsidP="0064342E">
      <w:pPr>
        <w:pStyle w:val="BodyText100ThemeColour"/>
        <w:rPr>
          <w:b/>
          <w:bCs/>
          <w:sz w:val="40"/>
          <w:szCs w:val="40"/>
        </w:rPr>
      </w:pPr>
    </w:p>
    <w:p w14:paraId="7BBA6B88" w14:textId="77777777" w:rsidR="003A7865" w:rsidRDefault="003A7865" w:rsidP="0064342E">
      <w:pPr>
        <w:pStyle w:val="BodyText100ThemeColour"/>
        <w:rPr>
          <w:b/>
          <w:bCs/>
          <w:sz w:val="40"/>
          <w:szCs w:val="40"/>
        </w:rPr>
      </w:pPr>
    </w:p>
    <w:p w14:paraId="7BED1EF0" w14:textId="77777777" w:rsidR="003A7865" w:rsidRDefault="003A7865" w:rsidP="0064342E">
      <w:pPr>
        <w:pStyle w:val="BodyText100ThemeColour"/>
        <w:rPr>
          <w:b/>
          <w:bCs/>
          <w:sz w:val="40"/>
          <w:szCs w:val="40"/>
        </w:rPr>
      </w:pPr>
    </w:p>
    <w:p w14:paraId="215C2DCC" w14:textId="77777777" w:rsidR="003A7865" w:rsidRDefault="003A7865" w:rsidP="0064342E">
      <w:pPr>
        <w:pStyle w:val="BodyText100ThemeColour"/>
        <w:rPr>
          <w:b/>
          <w:bCs/>
          <w:sz w:val="40"/>
          <w:szCs w:val="40"/>
        </w:rPr>
      </w:pPr>
    </w:p>
    <w:p w14:paraId="1730B7F3" w14:textId="77777777" w:rsidR="003A7865" w:rsidRDefault="003A7865" w:rsidP="0064342E">
      <w:pPr>
        <w:pStyle w:val="BodyText100ThemeColour"/>
        <w:rPr>
          <w:b/>
          <w:bCs/>
          <w:sz w:val="40"/>
          <w:szCs w:val="40"/>
        </w:rPr>
      </w:pPr>
    </w:p>
    <w:p w14:paraId="4FBF881B" w14:textId="77777777" w:rsidR="003A7865" w:rsidRDefault="003A7865" w:rsidP="0064342E">
      <w:pPr>
        <w:pStyle w:val="BodyText100ThemeColour"/>
        <w:rPr>
          <w:b/>
          <w:bCs/>
          <w:sz w:val="40"/>
          <w:szCs w:val="40"/>
        </w:rPr>
      </w:pPr>
    </w:p>
    <w:p w14:paraId="593CA15E" w14:textId="2CB5A674" w:rsidR="00DD25B9" w:rsidRPr="0064342E" w:rsidRDefault="002A6509" w:rsidP="0064342E">
      <w:pPr>
        <w:pStyle w:val="BodyText100ThemeColour"/>
        <w:rPr>
          <w:b/>
          <w:bCs/>
          <w:sz w:val="40"/>
          <w:szCs w:val="40"/>
        </w:rPr>
      </w:pPr>
      <w:r w:rsidRPr="0064342E">
        <w:rPr>
          <w:b/>
          <w:bCs/>
          <w:sz w:val="40"/>
          <w:szCs w:val="40"/>
        </w:rPr>
        <w:t>Water Register</w:t>
      </w:r>
    </w:p>
    <w:p w14:paraId="06076B7E" w14:textId="08E79D49" w:rsidR="00DD25B9" w:rsidRPr="002A6509" w:rsidRDefault="00DD25B9" w:rsidP="002A6509">
      <w:pPr>
        <w:pStyle w:val="BodyText"/>
      </w:pPr>
      <w:r>
        <w:t>Water share r</w:t>
      </w:r>
      <w:r w:rsidR="00660123">
        <w:t xml:space="preserve">ecords searches </w:t>
      </w:r>
      <w:r w:rsidR="003B0207">
        <w:t>de</w:t>
      </w:r>
      <w:r w:rsidR="00212582">
        <w:t xml:space="preserve">creased by </w:t>
      </w:r>
      <w:r w:rsidR="0044038D">
        <w:t>36.93</w:t>
      </w:r>
      <w:r w:rsidR="00660123">
        <w:t xml:space="preserve"> per cent in the 201</w:t>
      </w:r>
      <w:r w:rsidR="0044038D">
        <w:t>9</w:t>
      </w:r>
      <w:r w:rsidR="00660123">
        <w:t>–20</w:t>
      </w:r>
      <w:r w:rsidR="0044038D">
        <w:t>20</w:t>
      </w:r>
      <w:r>
        <w:t xml:space="preserve"> financial year.</w:t>
      </w:r>
    </w:p>
    <w:tbl>
      <w:tblPr>
        <w:tblStyle w:val="TableGrid"/>
        <w:tblW w:w="0" w:type="auto"/>
        <w:tblLook w:val="00A0" w:firstRow="1" w:lastRow="0" w:firstColumn="1" w:lastColumn="0" w:noHBand="0" w:noVBand="0"/>
      </w:tblPr>
      <w:tblGrid>
        <w:gridCol w:w="1559"/>
        <w:gridCol w:w="1559"/>
      </w:tblGrid>
      <w:tr w:rsidR="004B2865" w:rsidRPr="00050253" w14:paraId="6BAEA7CC" w14:textId="77777777" w:rsidTr="004C1C2A">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59" w:type="dxa"/>
          </w:tcPr>
          <w:p w14:paraId="1A090538" w14:textId="77777777" w:rsidR="004B2865" w:rsidRPr="00050253" w:rsidRDefault="004B2865" w:rsidP="004C1C2A">
            <w:pPr>
              <w:pStyle w:val="TableHeadingLeft"/>
            </w:pPr>
          </w:p>
        </w:tc>
        <w:tc>
          <w:tcPr>
            <w:cnfStyle w:val="000010000000" w:firstRow="0" w:lastRow="0" w:firstColumn="0" w:lastColumn="0" w:oddVBand="1" w:evenVBand="0" w:oddHBand="0" w:evenHBand="0" w:firstRowFirstColumn="0" w:firstRowLastColumn="0" w:lastRowFirstColumn="0" w:lastRowLastColumn="0"/>
            <w:tcW w:w="1559" w:type="dxa"/>
          </w:tcPr>
          <w:p w14:paraId="671A013E" w14:textId="77777777" w:rsidR="004B2865" w:rsidRPr="00050253" w:rsidRDefault="004B2865" w:rsidP="004C1C2A">
            <w:pPr>
              <w:pStyle w:val="TableHeadingLeft"/>
            </w:pPr>
          </w:p>
        </w:tc>
      </w:tr>
      <w:tr w:rsidR="005411C9" w:rsidRPr="00050253" w14:paraId="23226280" w14:textId="77777777" w:rsidTr="004C1C2A">
        <w:tc>
          <w:tcPr>
            <w:tcW w:w="1559" w:type="dxa"/>
          </w:tcPr>
          <w:p w14:paraId="20407F05" w14:textId="6766B850" w:rsidR="005411C9" w:rsidRDefault="005411C9" w:rsidP="004B2865">
            <w:pPr>
              <w:pStyle w:val="BodyText"/>
            </w:pPr>
            <w:r>
              <w:t>2019-2020</w:t>
            </w:r>
          </w:p>
        </w:tc>
        <w:tc>
          <w:tcPr>
            <w:cnfStyle w:val="000010000000" w:firstRow="0" w:lastRow="0" w:firstColumn="0" w:lastColumn="0" w:oddVBand="1" w:evenVBand="0" w:oddHBand="0" w:evenHBand="0" w:firstRowFirstColumn="0" w:firstRowLastColumn="0" w:lastRowFirstColumn="0" w:lastRowLastColumn="0"/>
            <w:tcW w:w="1559" w:type="dxa"/>
          </w:tcPr>
          <w:p w14:paraId="6555AEDE" w14:textId="1FEE1AC9" w:rsidR="005411C9" w:rsidRDefault="004A57B8" w:rsidP="004B2865">
            <w:pPr>
              <w:pStyle w:val="BodyText"/>
            </w:pPr>
            <w:r>
              <w:t>7,491</w:t>
            </w:r>
          </w:p>
        </w:tc>
      </w:tr>
      <w:tr w:rsidR="00014E1E" w:rsidRPr="00050253" w14:paraId="3008C07D" w14:textId="77777777" w:rsidTr="004C1C2A">
        <w:tc>
          <w:tcPr>
            <w:tcW w:w="1559" w:type="dxa"/>
          </w:tcPr>
          <w:p w14:paraId="65B37A2B" w14:textId="341FB710" w:rsidR="00014E1E" w:rsidRPr="00050253" w:rsidRDefault="004B2865" w:rsidP="004B2865">
            <w:pPr>
              <w:pStyle w:val="BodyText"/>
            </w:pPr>
            <w:r>
              <w:t>2018-2019</w:t>
            </w:r>
          </w:p>
        </w:tc>
        <w:tc>
          <w:tcPr>
            <w:cnfStyle w:val="000010000000" w:firstRow="0" w:lastRow="0" w:firstColumn="0" w:lastColumn="0" w:oddVBand="1" w:evenVBand="0" w:oddHBand="0" w:evenHBand="0" w:firstRowFirstColumn="0" w:firstRowLastColumn="0" w:lastRowFirstColumn="0" w:lastRowLastColumn="0"/>
            <w:tcW w:w="1559" w:type="dxa"/>
          </w:tcPr>
          <w:p w14:paraId="3162A2B5" w14:textId="026D83B0" w:rsidR="00014E1E" w:rsidRPr="00050253" w:rsidRDefault="004B2865" w:rsidP="004B2865">
            <w:pPr>
              <w:pStyle w:val="BodyText"/>
            </w:pPr>
            <w:r>
              <w:t>11,876</w:t>
            </w:r>
          </w:p>
        </w:tc>
      </w:tr>
      <w:tr w:rsidR="008850E8" w:rsidRPr="00050253" w14:paraId="47E30FF8" w14:textId="77777777" w:rsidTr="004C1C2A">
        <w:tc>
          <w:tcPr>
            <w:tcW w:w="1559" w:type="dxa"/>
          </w:tcPr>
          <w:p w14:paraId="19971333" w14:textId="3D54F2E3" w:rsidR="008850E8" w:rsidRDefault="008850E8" w:rsidP="004C1C2A">
            <w:r>
              <w:t>2017-2018</w:t>
            </w:r>
          </w:p>
        </w:tc>
        <w:tc>
          <w:tcPr>
            <w:cnfStyle w:val="000010000000" w:firstRow="0" w:lastRow="0" w:firstColumn="0" w:lastColumn="0" w:oddVBand="1" w:evenVBand="0" w:oddHBand="0" w:evenHBand="0" w:firstRowFirstColumn="0" w:firstRowLastColumn="0" w:lastRowFirstColumn="0" w:lastRowLastColumn="0"/>
            <w:tcW w:w="1559" w:type="dxa"/>
          </w:tcPr>
          <w:p w14:paraId="53C857F4" w14:textId="3889E2D7" w:rsidR="008850E8" w:rsidRDefault="00D4087A" w:rsidP="004C1C2A">
            <w:r>
              <w:t>9,648</w:t>
            </w:r>
          </w:p>
        </w:tc>
      </w:tr>
      <w:tr w:rsidR="00617730" w:rsidRPr="00050253" w14:paraId="7DC17EF4" w14:textId="77777777" w:rsidTr="004C1C2A">
        <w:tc>
          <w:tcPr>
            <w:tcW w:w="1559" w:type="dxa"/>
          </w:tcPr>
          <w:p w14:paraId="05AFA782" w14:textId="74933569" w:rsidR="00617730" w:rsidRPr="002F09E5" w:rsidRDefault="00B12D51" w:rsidP="004C1C2A">
            <w:r>
              <w:t>2016-2017</w:t>
            </w:r>
          </w:p>
        </w:tc>
        <w:tc>
          <w:tcPr>
            <w:cnfStyle w:val="000010000000" w:firstRow="0" w:lastRow="0" w:firstColumn="0" w:lastColumn="0" w:oddVBand="1" w:evenVBand="0" w:oddHBand="0" w:evenHBand="0" w:firstRowFirstColumn="0" w:firstRowLastColumn="0" w:lastRowFirstColumn="0" w:lastRowLastColumn="0"/>
            <w:tcW w:w="1559" w:type="dxa"/>
          </w:tcPr>
          <w:p w14:paraId="3EB9ECE2" w14:textId="3722F5A8" w:rsidR="00617730" w:rsidRPr="002F09E5" w:rsidRDefault="00B12D51" w:rsidP="004C1C2A">
            <w:r>
              <w:t>6,162</w:t>
            </w:r>
          </w:p>
        </w:tc>
      </w:tr>
      <w:tr w:rsidR="00014E1E" w:rsidRPr="00050253" w14:paraId="68EC39DC" w14:textId="77777777" w:rsidTr="004C1C2A">
        <w:tc>
          <w:tcPr>
            <w:tcW w:w="1559" w:type="dxa"/>
          </w:tcPr>
          <w:p w14:paraId="5ACD40DE" w14:textId="77777777" w:rsidR="00014E1E" w:rsidRPr="002F09E5" w:rsidRDefault="00014E1E" w:rsidP="004C1C2A">
            <w:r w:rsidRPr="002F09E5">
              <w:t>2015-2016</w:t>
            </w:r>
          </w:p>
        </w:tc>
        <w:tc>
          <w:tcPr>
            <w:cnfStyle w:val="000010000000" w:firstRow="0" w:lastRow="0" w:firstColumn="0" w:lastColumn="0" w:oddVBand="1" w:evenVBand="0" w:oddHBand="0" w:evenHBand="0" w:firstRowFirstColumn="0" w:firstRowLastColumn="0" w:lastRowFirstColumn="0" w:lastRowLastColumn="0"/>
            <w:tcW w:w="1559" w:type="dxa"/>
          </w:tcPr>
          <w:p w14:paraId="0F3E6D1A" w14:textId="77777777" w:rsidR="00014E1E" w:rsidRPr="002F09E5" w:rsidRDefault="00014E1E" w:rsidP="004C1C2A">
            <w:r w:rsidRPr="002F09E5">
              <w:t>7,013</w:t>
            </w:r>
          </w:p>
        </w:tc>
      </w:tr>
      <w:tr w:rsidR="00014E1E" w:rsidRPr="00050253" w14:paraId="7CE7CAB3" w14:textId="77777777" w:rsidTr="004C1C2A">
        <w:tc>
          <w:tcPr>
            <w:tcW w:w="1559" w:type="dxa"/>
          </w:tcPr>
          <w:p w14:paraId="4974AEB3" w14:textId="77777777" w:rsidR="00014E1E" w:rsidRPr="002F09E5" w:rsidRDefault="00014E1E" w:rsidP="004C1C2A">
            <w:r w:rsidRPr="002F09E5">
              <w:t xml:space="preserve">2014-2015  </w:t>
            </w:r>
          </w:p>
        </w:tc>
        <w:tc>
          <w:tcPr>
            <w:cnfStyle w:val="000010000000" w:firstRow="0" w:lastRow="0" w:firstColumn="0" w:lastColumn="0" w:oddVBand="1" w:evenVBand="0" w:oddHBand="0" w:evenHBand="0" w:firstRowFirstColumn="0" w:firstRowLastColumn="0" w:lastRowFirstColumn="0" w:lastRowLastColumn="0"/>
            <w:tcW w:w="1559" w:type="dxa"/>
          </w:tcPr>
          <w:p w14:paraId="1C5ED395" w14:textId="77777777" w:rsidR="00014E1E" w:rsidRPr="002F09E5" w:rsidRDefault="00014E1E" w:rsidP="004C1C2A">
            <w:r w:rsidRPr="002F09E5">
              <w:t>7,670</w:t>
            </w:r>
          </w:p>
        </w:tc>
      </w:tr>
      <w:tr w:rsidR="00014E1E" w:rsidRPr="00050253" w14:paraId="49AA1889" w14:textId="77777777" w:rsidTr="004C1C2A">
        <w:tc>
          <w:tcPr>
            <w:tcW w:w="1559" w:type="dxa"/>
          </w:tcPr>
          <w:p w14:paraId="6358317B" w14:textId="77777777" w:rsidR="00014E1E" w:rsidRPr="002F09E5" w:rsidRDefault="00014E1E" w:rsidP="004C1C2A">
            <w:r w:rsidRPr="002F09E5">
              <w:t>2013–2014</w:t>
            </w:r>
          </w:p>
        </w:tc>
        <w:tc>
          <w:tcPr>
            <w:cnfStyle w:val="000010000000" w:firstRow="0" w:lastRow="0" w:firstColumn="0" w:lastColumn="0" w:oddVBand="1" w:evenVBand="0" w:oddHBand="0" w:evenHBand="0" w:firstRowFirstColumn="0" w:firstRowLastColumn="0" w:lastRowFirstColumn="0" w:lastRowLastColumn="0"/>
            <w:tcW w:w="1559" w:type="dxa"/>
          </w:tcPr>
          <w:p w14:paraId="496F30A5" w14:textId="77777777" w:rsidR="00014E1E" w:rsidRPr="002F09E5" w:rsidRDefault="00014E1E" w:rsidP="004C1C2A">
            <w:r w:rsidRPr="002F09E5">
              <w:t>7,529</w:t>
            </w:r>
          </w:p>
        </w:tc>
      </w:tr>
      <w:tr w:rsidR="00014E1E" w:rsidRPr="00050253" w14:paraId="28DE56AD" w14:textId="77777777" w:rsidTr="004C1C2A">
        <w:tc>
          <w:tcPr>
            <w:tcW w:w="1559" w:type="dxa"/>
          </w:tcPr>
          <w:p w14:paraId="1D7C1D82" w14:textId="77777777" w:rsidR="00014E1E" w:rsidRPr="002F09E5" w:rsidRDefault="00014E1E" w:rsidP="004C1C2A">
            <w:r w:rsidRPr="002F09E5">
              <w:t>2012–2013</w:t>
            </w:r>
          </w:p>
        </w:tc>
        <w:tc>
          <w:tcPr>
            <w:cnfStyle w:val="000010000000" w:firstRow="0" w:lastRow="0" w:firstColumn="0" w:lastColumn="0" w:oddVBand="1" w:evenVBand="0" w:oddHBand="0" w:evenHBand="0" w:firstRowFirstColumn="0" w:firstRowLastColumn="0" w:lastRowFirstColumn="0" w:lastRowLastColumn="0"/>
            <w:tcW w:w="1559" w:type="dxa"/>
          </w:tcPr>
          <w:p w14:paraId="3D84C09F" w14:textId="77777777" w:rsidR="00014E1E" w:rsidRPr="002F09E5" w:rsidRDefault="00014E1E" w:rsidP="004C1C2A">
            <w:r w:rsidRPr="002F09E5">
              <w:t>8,800</w:t>
            </w:r>
          </w:p>
        </w:tc>
      </w:tr>
      <w:tr w:rsidR="00014E1E" w:rsidRPr="00050253" w14:paraId="04DBD1A4" w14:textId="77777777" w:rsidTr="004C1C2A">
        <w:tc>
          <w:tcPr>
            <w:tcW w:w="1559" w:type="dxa"/>
          </w:tcPr>
          <w:p w14:paraId="74AFE630" w14:textId="77777777" w:rsidR="00014E1E" w:rsidRPr="002F09E5" w:rsidRDefault="00014E1E" w:rsidP="004C1C2A">
            <w:r w:rsidRPr="002F09E5">
              <w:t>2011–2012</w:t>
            </w:r>
          </w:p>
        </w:tc>
        <w:tc>
          <w:tcPr>
            <w:cnfStyle w:val="000010000000" w:firstRow="0" w:lastRow="0" w:firstColumn="0" w:lastColumn="0" w:oddVBand="1" w:evenVBand="0" w:oddHBand="0" w:evenHBand="0" w:firstRowFirstColumn="0" w:firstRowLastColumn="0" w:lastRowFirstColumn="0" w:lastRowLastColumn="0"/>
            <w:tcW w:w="1559" w:type="dxa"/>
          </w:tcPr>
          <w:p w14:paraId="1B1EBA3F" w14:textId="77777777" w:rsidR="00014E1E" w:rsidRPr="002F09E5" w:rsidRDefault="00014E1E" w:rsidP="004C1C2A">
            <w:r w:rsidRPr="002F09E5">
              <w:t>9,871</w:t>
            </w:r>
          </w:p>
        </w:tc>
      </w:tr>
      <w:tr w:rsidR="00014E1E" w:rsidRPr="00050253" w14:paraId="70197D39" w14:textId="77777777" w:rsidTr="004C1C2A">
        <w:tc>
          <w:tcPr>
            <w:tcW w:w="1559" w:type="dxa"/>
          </w:tcPr>
          <w:p w14:paraId="00063063" w14:textId="77777777" w:rsidR="00014E1E" w:rsidRPr="002F09E5" w:rsidRDefault="00014E1E" w:rsidP="004C1C2A">
            <w:r w:rsidRPr="002F09E5">
              <w:t>2010–2011</w:t>
            </w:r>
          </w:p>
        </w:tc>
        <w:tc>
          <w:tcPr>
            <w:cnfStyle w:val="000010000000" w:firstRow="0" w:lastRow="0" w:firstColumn="0" w:lastColumn="0" w:oddVBand="1" w:evenVBand="0" w:oddHBand="0" w:evenHBand="0" w:firstRowFirstColumn="0" w:firstRowLastColumn="0" w:lastRowFirstColumn="0" w:lastRowLastColumn="0"/>
            <w:tcW w:w="1559" w:type="dxa"/>
          </w:tcPr>
          <w:p w14:paraId="087AF519" w14:textId="77777777" w:rsidR="00014E1E" w:rsidRPr="002F09E5" w:rsidRDefault="00014E1E" w:rsidP="004C1C2A">
            <w:r w:rsidRPr="002F09E5">
              <w:t>9,990</w:t>
            </w:r>
          </w:p>
        </w:tc>
      </w:tr>
      <w:tr w:rsidR="00014E1E" w:rsidRPr="00050253" w14:paraId="06EB89E7" w14:textId="77777777" w:rsidTr="004C1C2A">
        <w:tc>
          <w:tcPr>
            <w:tcW w:w="1559" w:type="dxa"/>
          </w:tcPr>
          <w:p w14:paraId="1CE5E399" w14:textId="77777777" w:rsidR="00014E1E" w:rsidRPr="002F09E5" w:rsidRDefault="00014E1E" w:rsidP="004C1C2A">
            <w:r w:rsidRPr="002F09E5">
              <w:t>2009–2010</w:t>
            </w:r>
          </w:p>
        </w:tc>
        <w:tc>
          <w:tcPr>
            <w:cnfStyle w:val="000010000000" w:firstRow="0" w:lastRow="0" w:firstColumn="0" w:lastColumn="0" w:oddVBand="1" w:evenVBand="0" w:oddHBand="0" w:evenHBand="0" w:firstRowFirstColumn="0" w:firstRowLastColumn="0" w:lastRowFirstColumn="0" w:lastRowLastColumn="0"/>
            <w:tcW w:w="1559" w:type="dxa"/>
          </w:tcPr>
          <w:p w14:paraId="3A59179C" w14:textId="77777777" w:rsidR="00014E1E" w:rsidRPr="002F09E5" w:rsidRDefault="00014E1E" w:rsidP="004C1C2A">
            <w:r w:rsidRPr="002F09E5">
              <w:t>10,983</w:t>
            </w:r>
          </w:p>
        </w:tc>
      </w:tr>
      <w:tr w:rsidR="00014E1E" w:rsidRPr="00050253" w14:paraId="6559EFBA" w14:textId="77777777" w:rsidTr="004C1C2A">
        <w:tc>
          <w:tcPr>
            <w:tcW w:w="1559" w:type="dxa"/>
          </w:tcPr>
          <w:p w14:paraId="1516084F" w14:textId="77777777" w:rsidR="00014E1E" w:rsidRPr="002F09E5" w:rsidRDefault="00014E1E" w:rsidP="004C1C2A">
            <w:r w:rsidRPr="002F09E5">
              <w:t>2008–2009</w:t>
            </w:r>
          </w:p>
        </w:tc>
        <w:tc>
          <w:tcPr>
            <w:cnfStyle w:val="000010000000" w:firstRow="0" w:lastRow="0" w:firstColumn="0" w:lastColumn="0" w:oddVBand="1" w:evenVBand="0" w:oddHBand="0" w:evenHBand="0" w:firstRowFirstColumn="0" w:firstRowLastColumn="0" w:lastRowFirstColumn="0" w:lastRowLastColumn="0"/>
            <w:tcW w:w="1559" w:type="dxa"/>
          </w:tcPr>
          <w:p w14:paraId="09498AAE" w14:textId="77777777" w:rsidR="00014E1E" w:rsidRPr="002F09E5" w:rsidRDefault="00014E1E" w:rsidP="004C1C2A">
            <w:r w:rsidRPr="002F09E5">
              <w:t>13,391</w:t>
            </w:r>
          </w:p>
        </w:tc>
      </w:tr>
      <w:tr w:rsidR="00014E1E" w:rsidRPr="00050253" w14:paraId="4DCDBA19" w14:textId="77777777" w:rsidTr="004C1C2A">
        <w:tc>
          <w:tcPr>
            <w:tcW w:w="1559" w:type="dxa"/>
          </w:tcPr>
          <w:p w14:paraId="464EAD74" w14:textId="77777777" w:rsidR="00014E1E" w:rsidRPr="002F09E5" w:rsidRDefault="00014E1E" w:rsidP="004C1C2A">
            <w:r w:rsidRPr="002F09E5">
              <w:t>2007–2008</w:t>
            </w:r>
          </w:p>
        </w:tc>
        <w:tc>
          <w:tcPr>
            <w:cnfStyle w:val="000010000000" w:firstRow="0" w:lastRow="0" w:firstColumn="0" w:lastColumn="0" w:oddVBand="1" w:evenVBand="0" w:oddHBand="0" w:evenHBand="0" w:firstRowFirstColumn="0" w:firstRowLastColumn="0" w:lastRowFirstColumn="0" w:lastRowLastColumn="0"/>
            <w:tcW w:w="1559" w:type="dxa"/>
          </w:tcPr>
          <w:p w14:paraId="536110C8" w14:textId="77777777" w:rsidR="00014E1E" w:rsidRDefault="00014E1E" w:rsidP="004C1C2A">
            <w:r w:rsidRPr="002F09E5">
              <w:t>5,259</w:t>
            </w:r>
          </w:p>
        </w:tc>
      </w:tr>
    </w:tbl>
    <w:p w14:paraId="68692B12" w14:textId="77777777" w:rsidR="00DD25B9" w:rsidRDefault="00DD25B9" w:rsidP="00DD25B9">
      <w:pPr>
        <w:pStyle w:val="BodyText"/>
        <w:tabs>
          <w:tab w:val="left" w:pos="1701"/>
        </w:tabs>
      </w:pPr>
    </w:p>
    <w:p w14:paraId="25A63126" w14:textId="77777777" w:rsidR="00014E1E" w:rsidRDefault="00014E1E" w:rsidP="00DD25B9">
      <w:pPr>
        <w:pStyle w:val="BodyText"/>
        <w:tabs>
          <w:tab w:val="left" w:pos="1701"/>
        </w:tabs>
      </w:pPr>
    </w:p>
    <w:p w14:paraId="73B84FF3" w14:textId="77777777" w:rsidR="00DD25B9" w:rsidRDefault="00DD25B9">
      <w:pPr>
        <w:rPr>
          <w:b/>
          <w:bCs/>
          <w:iCs/>
          <w:color w:val="B3272F" w:themeColor="text2"/>
          <w:kern w:val="20"/>
          <w:sz w:val="24"/>
          <w:szCs w:val="28"/>
        </w:rPr>
      </w:pPr>
      <w:r>
        <w:br w:type="page"/>
      </w:r>
    </w:p>
    <w:p w14:paraId="00E0129F" w14:textId="77777777" w:rsidR="00DD25B9" w:rsidRDefault="00DD25B9" w:rsidP="00DD25B9">
      <w:pPr>
        <w:pStyle w:val="Heading2"/>
      </w:pPr>
      <w:bookmarkStart w:id="34" w:name="_Toc46161459"/>
      <w:bookmarkStart w:id="35" w:name="_Toc46822585"/>
      <w:r>
        <w:t>Water share transactions</w:t>
      </w:r>
      <w:bookmarkEnd w:id="34"/>
      <w:bookmarkEnd w:id="35"/>
    </w:p>
    <w:p w14:paraId="2F36FC42" w14:textId="77777777" w:rsidR="00DD25B9" w:rsidRDefault="00DD25B9" w:rsidP="00DD25B9">
      <w:pPr>
        <w:pStyle w:val="BodyText"/>
      </w:pPr>
      <w:r>
        <w:t xml:space="preserve">There are </w:t>
      </w:r>
      <w:proofErr w:type="gramStart"/>
      <w:r>
        <w:t>a number of</w:t>
      </w:r>
      <w:proofErr w:type="gramEnd"/>
      <w:r>
        <w:t xml:space="preserve"> water share transactions recorded each year. The total numbers in each category are shown below.</w:t>
      </w:r>
    </w:p>
    <w:p w14:paraId="6B78470B" w14:textId="77777777" w:rsidR="00DD25B9" w:rsidRPr="000718D3" w:rsidRDefault="00DD25B9" w:rsidP="000718D3">
      <w:pPr>
        <w:pStyle w:val="BodyText"/>
        <w:tabs>
          <w:tab w:val="left" w:pos="7230"/>
        </w:tabs>
        <w:spacing w:before="240"/>
        <w:rPr>
          <w:b/>
        </w:rPr>
      </w:pPr>
      <w:r w:rsidRPr="000718D3">
        <w:rPr>
          <w:b/>
        </w:rPr>
        <w:t>Type of Transaction</w:t>
      </w:r>
      <w:r w:rsidRPr="000718D3">
        <w:rPr>
          <w:b/>
        </w:rPr>
        <w:tab/>
        <w:t>Number Lodged</w:t>
      </w:r>
    </w:p>
    <w:p w14:paraId="004A58E3" w14:textId="77777777" w:rsidR="00DD25B9" w:rsidRDefault="00DD25B9" w:rsidP="00DD25B9">
      <w:pPr>
        <w:pStyle w:val="Heading4"/>
      </w:pPr>
      <w:r>
        <w:t>Transfers</w:t>
      </w:r>
    </w:p>
    <w:p w14:paraId="3F40BD47" w14:textId="171DCF53" w:rsidR="00DD25B9" w:rsidRDefault="00DD25B9" w:rsidP="000718D3">
      <w:pPr>
        <w:pStyle w:val="BodyText"/>
        <w:tabs>
          <w:tab w:val="right" w:pos="7797"/>
        </w:tabs>
      </w:pPr>
      <w:r>
        <w:t>Transfer within authority (including limited term transfers)</w:t>
      </w:r>
      <w:r w:rsidR="001E56EF">
        <w:tab/>
      </w:r>
      <w:r w:rsidR="000660FF">
        <w:t>2,</w:t>
      </w:r>
      <w:r w:rsidR="000A2C36">
        <w:t>257</w:t>
      </w:r>
    </w:p>
    <w:p w14:paraId="31AA2B35" w14:textId="7130CCF0" w:rsidR="00DD25B9" w:rsidRDefault="00DD25B9" w:rsidP="000718D3">
      <w:pPr>
        <w:pStyle w:val="BodyText"/>
        <w:tabs>
          <w:tab w:val="right" w:pos="7797"/>
        </w:tabs>
      </w:pPr>
      <w:r>
        <w:t>Transfer between authority (including limited term transfers)</w:t>
      </w:r>
      <w:r>
        <w:tab/>
        <w:t xml:space="preserve"> </w:t>
      </w:r>
      <w:r w:rsidR="000A2C36">
        <w:t>171</w:t>
      </w:r>
    </w:p>
    <w:p w14:paraId="68484D05" w14:textId="3FAD364F" w:rsidR="00DD25B9" w:rsidRDefault="008428D4" w:rsidP="000718D3">
      <w:pPr>
        <w:pStyle w:val="Heading4"/>
        <w:tabs>
          <w:tab w:val="right" w:pos="7797"/>
        </w:tabs>
      </w:pPr>
      <w:r>
        <w:t>Total Transfers</w:t>
      </w:r>
      <w:r>
        <w:tab/>
      </w:r>
      <w:r w:rsidR="000A2C36">
        <w:t>2,428</w:t>
      </w:r>
    </w:p>
    <w:p w14:paraId="38BF9E92" w14:textId="77777777" w:rsidR="00DD25B9" w:rsidRDefault="00DD25B9" w:rsidP="000718D3">
      <w:pPr>
        <w:pStyle w:val="Heading4"/>
        <w:tabs>
          <w:tab w:val="right" w:pos="7797"/>
        </w:tabs>
      </w:pPr>
      <w:r>
        <w:t>Party amendments</w:t>
      </w:r>
    </w:p>
    <w:p w14:paraId="2A331424" w14:textId="0853C945" w:rsidR="00DD25B9" w:rsidRDefault="00DD25B9" w:rsidP="000718D3">
      <w:pPr>
        <w:pStyle w:val="BodyText"/>
        <w:tabs>
          <w:tab w:val="right" w:pos="7797"/>
        </w:tabs>
      </w:pPr>
      <w:r>
        <w:t>Address amendment</w:t>
      </w:r>
      <w:r>
        <w:tab/>
      </w:r>
      <w:r w:rsidR="008A110F">
        <w:t>3,3</w:t>
      </w:r>
      <w:r w:rsidR="00A50D81">
        <w:t>50</w:t>
      </w:r>
    </w:p>
    <w:p w14:paraId="04987F66" w14:textId="0CFA7DF0" w:rsidR="00DD25B9" w:rsidRDefault="008428D4" w:rsidP="000718D3">
      <w:pPr>
        <w:pStyle w:val="BodyText"/>
        <w:tabs>
          <w:tab w:val="right" w:pos="7797"/>
        </w:tabs>
      </w:pPr>
      <w:r>
        <w:t>Name and address amendment</w:t>
      </w:r>
      <w:r>
        <w:tab/>
      </w:r>
      <w:r w:rsidR="00A50D81">
        <w:t>355</w:t>
      </w:r>
    </w:p>
    <w:p w14:paraId="695C291E" w14:textId="71800648" w:rsidR="00DD25B9" w:rsidRDefault="008428D4" w:rsidP="000718D3">
      <w:pPr>
        <w:pStyle w:val="BodyText"/>
        <w:tabs>
          <w:tab w:val="right" w:pos="7797"/>
        </w:tabs>
      </w:pPr>
      <w:r>
        <w:t>Party merge</w:t>
      </w:r>
      <w:r>
        <w:tab/>
        <w:t xml:space="preserve"> </w:t>
      </w:r>
      <w:r w:rsidR="00FF2A9B">
        <w:t>4</w:t>
      </w:r>
    </w:p>
    <w:p w14:paraId="0FA26587" w14:textId="4623DB1C" w:rsidR="00DD25B9" w:rsidRDefault="008428D4" w:rsidP="000718D3">
      <w:pPr>
        <w:pStyle w:val="Heading4"/>
        <w:tabs>
          <w:tab w:val="right" w:pos="7797"/>
        </w:tabs>
      </w:pPr>
      <w:r>
        <w:t>Total party amendments</w:t>
      </w:r>
      <w:r w:rsidR="00E57AE9">
        <w:t xml:space="preserve">    </w:t>
      </w:r>
      <w:r w:rsidR="009F5F49">
        <w:t>3,709</w:t>
      </w:r>
    </w:p>
    <w:p w14:paraId="641DA8A8" w14:textId="77777777" w:rsidR="00DD25B9" w:rsidRDefault="00DD25B9" w:rsidP="000718D3">
      <w:pPr>
        <w:pStyle w:val="Heading4"/>
        <w:tabs>
          <w:tab w:val="right" w:pos="7797"/>
        </w:tabs>
      </w:pPr>
      <w:r>
        <w:t>Mortgages</w:t>
      </w:r>
      <w:r>
        <w:tab/>
      </w:r>
    </w:p>
    <w:p w14:paraId="60DC3335" w14:textId="096606E1" w:rsidR="00DD25B9" w:rsidRDefault="008A110F" w:rsidP="000718D3">
      <w:pPr>
        <w:pStyle w:val="BodyText"/>
        <w:tabs>
          <w:tab w:val="right" w:pos="7797"/>
        </w:tabs>
      </w:pPr>
      <w:r>
        <w:t>Mortgage create</w:t>
      </w:r>
      <w:r>
        <w:tab/>
        <w:t xml:space="preserve"> 3</w:t>
      </w:r>
      <w:r w:rsidR="00E4690F">
        <w:t>5</w:t>
      </w:r>
      <w:r>
        <w:t>1</w:t>
      </w:r>
    </w:p>
    <w:p w14:paraId="7AA573F5" w14:textId="5F579DB2" w:rsidR="00DD25B9" w:rsidRDefault="008A110F" w:rsidP="000718D3">
      <w:pPr>
        <w:pStyle w:val="BodyText"/>
        <w:tabs>
          <w:tab w:val="right" w:pos="7797"/>
        </w:tabs>
      </w:pPr>
      <w:r>
        <w:t>Mortgage discharge</w:t>
      </w:r>
      <w:r>
        <w:tab/>
      </w:r>
      <w:r w:rsidR="00E4690F">
        <w:t>772</w:t>
      </w:r>
    </w:p>
    <w:p w14:paraId="385E79F0" w14:textId="048CB633" w:rsidR="00DD25B9" w:rsidRDefault="00DD25B9" w:rsidP="000718D3">
      <w:pPr>
        <w:pStyle w:val="BodyText"/>
        <w:tabs>
          <w:tab w:val="right" w:pos="7797"/>
        </w:tabs>
      </w:pPr>
      <w:r>
        <w:t>Mortgage variation</w:t>
      </w:r>
      <w:r>
        <w:tab/>
      </w:r>
      <w:r w:rsidR="00E4690F">
        <w:t>1</w:t>
      </w:r>
    </w:p>
    <w:p w14:paraId="1B78B073" w14:textId="3EAAC2CF" w:rsidR="00DD25B9" w:rsidRDefault="008A110F" w:rsidP="000718D3">
      <w:pPr>
        <w:pStyle w:val="BodyText"/>
        <w:tabs>
          <w:tab w:val="right" w:pos="7797"/>
        </w:tabs>
      </w:pPr>
      <w:r>
        <w:t>Mortgage amendment</w:t>
      </w:r>
      <w:r>
        <w:tab/>
      </w:r>
      <w:r w:rsidR="00E4690F">
        <w:t>5</w:t>
      </w:r>
    </w:p>
    <w:p w14:paraId="0015F177" w14:textId="77777777" w:rsidR="00DD25B9" w:rsidRDefault="00DD25B9" w:rsidP="000718D3">
      <w:pPr>
        <w:pStyle w:val="BodyText"/>
        <w:tabs>
          <w:tab w:val="right" w:pos="7797"/>
        </w:tabs>
      </w:pPr>
      <w:r>
        <w:t>Mortgage priority</w:t>
      </w:r>
      <w:r>
        <w:tab/>
        <w:t>0</w:t>
      </w:r>
    </w:p>
    <w:p w14:paraId="64DD12DB" w14:textId="42C062D9" w:rsidR="00DD25B9" w:rsidRDefault="00783EBB" w:rsidP="000718D3">
      <w:pPr>
        <w:pStyle w:val="BodyText"/>
        <w:tabs>
          <w:tab w:val="right" w:pos="7797"/>
        </w:tabs>
      </w:pPr>
      <w:r>
        <w:t>Create MCP</w:t>
      </w:r>
      <w:r>
        <w:tab/>
      </w:r>
      <w:r w:rsidR="008A110F">
        <w:t>2</w:t>
      </w:r>
    </w:p>
    <w:p w14:paraId="10295758" w14:textId="1154E3DB" w:rsidR="00DD25B9" w:rsidRDefault="00783EBB" w:rsidP="000718D3">
      <w:pPr>
        <w:pStyle w:val="Heading4"/>
        <w:tabs>
          <w:tab w:val="right" w:pos="7797"/>
        </w:tabs>
      </w:pPr>
      <w:r>
        <w:t>Total Mortgages</w:t>
      </w:r>
      <w:r>
        <w:tab/>
      </w:r>
      <w:r w:rsidR="008A110F">
        <w:t>1,</w:t>
      </w:r>
      <w:r w:rsidR="00E4690F">
        <w:t>131</w:t>
      </w:r>
    </w:p>
    <w:p w14:paraId="1D088EC8" w14:textId="77777777" w:rsidR="00DD25B9" w:rsidRDefault="00DD25B9" w:rsidP="000718D3">
      <w:pPr>
        <w:pStyle w:val="Heading4"/>
        <w:tabs>
          <w:tab w:val="right" w:pos="7797"/>
        </w:tabs>
      </w:pPr>
      <w:r>
        <w:t>Survivorships</w:t>
      </w:r>
    </w:p>
    <w:p w14:paraId="6C5A50E4" w14:textId="1582030B" w:rsidR="00DD25B9" w:rsidRDefault="00783EBB" w:rsidP="000718D3">
      <w:pPr>
        <w:pStyle w:val="BodyText"/>
        <w:tabs>
          <w:tab w:val="right" w:pos="7797"/>
        </w:tabs>
      </w:pPr>
      <w:r>
        <w:t>Recording of LPR</w:t>
      </w:r>
      <w:r>
        <w:tab/>
      </w:r>
      <w:r w:rsidR="008A110F">
        <w:t>1</w:t>
      </w:r>
      <w:r w:rsidR="00E4690F">
        <w:t>53</w:t>
      </w:r>
    </w:p>
    <w:p w14:paraId="5FDE2A8B" w14:textId="4A629261" w:rsidR="00DD25B9" w:rsidRDefault="00783EBB" w:rsidP="000718D3">
      <w:pPr>
        <w:pStyle w:val="BodyText"/>
        <w:tabs>
          <w:tab w:val="right" w:pos="7797"/>
        </w:tabs>
      </w:pPr>
      <w:r>
        <w:t>Recording of survivorship</w:t>
      </w:r>
      <w:r>
        <w:tab/>
      </w:r>
      <w:r w:rsidR="00E4690F">
        <w:t>61</w:t>
      </w:r>
    </w:p>
    <w:p w14:paraId="6913101A" w14:textId="3D00B791" w:rsidR="00DD25B9" w:rsidRDefault="00DD25B9" w:rsidP="000718D3">
      <w:pPr>
        <w:pStyle w:val="BodyText"/>
        <w:tabs>
          <w:tab w:val="right" w:pos="7797"/>
        </w:tabs>
      </w:pPr>
      <w:r>
        <w:t>Recording of trustee in Bankruptcy</w:t>
      </w:r>
      <w:r>
        <w:tab/>
      </w:r>
      <w:r w:rsidR="008A110F">
        <w:t>4</w:t>
      </w:r>
    </w:p>
    <w:p w14:paraId="1B5DAE15" w14:textId="7F009686" w:rsidR="00DD25B9" w:rsidRDefault="00783EBB" w:rsidP="000718D3">
      <w:pPr>
        <w:pStyle w:val="Heading4"/>
        <w:tabs>
          <w:tab w:val="right" w:pos="7797"/>
        </w:tabs>
      </w:pPr>
      <w:r>
        <w:t>Total survivorships</w:t>
      </w:r>
      <w:r>
        <w:tab/>
      </w:r>
      <w:r w:rsidR="008A110F">
        <w:t>2</w:t>
      </w:r>
      <w:r w:rsidR="00807571">
        <w:t>18</w:t>
      </w:r>
    </w:p>
    <w:p w14:paraId="73EC2009" w14:textId="77777777" w:rsidR="00DD25B9" w:rsidRDefault="00DD25B9" w:rsidP="000718D3">
      <w:pPr>
        <w:pStyle w:val="Heading4"/>
        <w:tabs>
          <w:tab w:val="right" w:pos="7797"/>
        </w:tabs>
      </w:pPr>
      <w:r>
        <w:t>Registrar notification on water share</w:t>
      </w:r>
    </w:p>
    <w:p w14:paraId="4495F341" w14:textId="46BCBDBF" w:rsidR="00DD25B9" w:rsidRDefault="00DD25B9" w:rsidP="000718D3">
      <w:pPr>
        <w:pStyle w:val="BodyText"/>
        <w:tabs>
          <w:tab w:val="right" w:pos="7797"/>
        </w:tabs>
      </w:pPr>
      <w:r>
        <w:t>Create notification</w:t>
      </w:r>
      <w:r>
        <w:tab/>
      </w:r>
      <w:r w:rsidR="00807571">
        <w:t>0</w:t>
      </w:r>
    </w:p>
    <w:p w14:paraId="47A1D35D" w14:textId="78B499EF" w:rsidR="00DD25B9" w:rsidRDefault="00783EBB" w:rsidP="000718D3">
      <w:pPr>
        <w:pStyle w:val="BodyText"/>
        <w:tabs>
          <w:tab w:val="right" w:pos="7797"/>
        </w:tabs>
      </w:pPr>
      <w:r>
        <w:t>Remove notification</w:t>
      </w:r>
      <w:r>
        <w:tab/>
      </w:r>
      <w:r w:rsidR="00807571">
        <w:t>5</w:t>
      </w:r>
    </w:p>
    <w:p w14:paraId="26366CF4" w14:textId="5CC03FD6" w:rsidR="00DD25B9" w:rsidRDefault="00783EBB" w:rsidP="000718D3">
      <w:pPr>
        <w:pStyle w:val="Heading4"/>
        <w:tabs>
          <w:tab w:val="right" w:pos="7797"/>
        </w:tabs>
      </w:pPr>
      <w:r>
        <w:t>Total notifications</w:t>
      </w:r>
      <w:r>
        <w:tab/>
      </w:r>
      <w:r w:rsidR="00807571">
        <w:t>5</w:t>
      </w:r>
    </w:p>
    <w:p w14:paraId="10FEA223" w14:textId="77777777" w:rsidR="00DD25B9" w:rsidRDefault="00DD25B9" w:rsidP="00DD25B9">
      <w:pPr>
        <w:pStyle w:val="BodyText"/>
        <w:tabs>
          <w:tab w:val="left" w:pos="7371"/>
        </w:tabs>
      </w:pPr>
    </w:p>
    <w:p w14:paraId="139ED5DC" w14:textId="77777777" w:rsidR="000718D3" w:rsidRDefault="000718D3">
      <w:pPr>
        <w:rPr>
          <w:rFonts w:cs="Times New Roman"/>
          <w:lang w:eastAsia="en-US"/>
        </w:rPr>
      </w:pPr>
      <w:r>
        <w:br w:type="page"/>
      </w:r>
    </w:p>
    <w:p w14:paraId="4F7F14CA" w14:textId="77777777" w:rsidR="000718D3" w:rsidRDefault="000718D3" w:rsidP="000718D3">
      <w:pPr>
        <w:pStyle w:val="Heading1"/>
      </w:pPr>
      <w:bookmarkStart w:id="36" w:name="_Toc46161460"/>
      <w:bookmarkStart w:id="37" w:name="_Toc46822586"/>
      <w:r>
        <w:t>Lodgement by specific dealing types</w:t>
      </w:r>
      <w:bookmarkEnd w:id="36"/>
      <w:bookmarkEnd w:id="37"/>
    </w:p>
    <w:p w14:paraId="594D683E" w14:textId="77777777" w:rsidR="000718D3" w:rsidRDefault="000718D3" w:rsidP="000718D3">
      <w:pPr>
        <w:pStyle w:val="Heading2"/>
      </w:pPr>
      <w:bookmarkStart w:id="38" w:name="_Toc46161461"/>
      <w:bookmarkStart w:id="39" w:name="_Toc46822587"/>
      <w:r>
        <w:t>Discharges of mortgage</w:t>
      </w:r>
      <w:bookmarkEnd w:id="38"/>
      <w:bookmarkEnd w:id="39"/>
    </w:p>
    <w:p w14:paraId="09A4EAB8" w14:textId="4AB9F6FB" w:rsidR="000718D3" w:rsidRDefault="00363D56" w:rsidP="000718D3">
      <w:pPr>
        <w:pStyle w:val="BodyText"/>
      </w:pPr>
      <w:r>
        <w:t>For the 201</w:t>
      </w:r>
      <w:r w:rsidR="00F9289C">
        <w:t>9</w:t>
      </w:r>
      <w:r>
        <w:t>–20</w:t>
      </w:r>
      <w:r w:rsidR="00F9289C">
        <w:t>20</w:t>
      </w:r>
      <w:r w:rsidR="00810976">
        <w:t xml:space="preserve"> </w:t>
      </w:r>
      <w:r w:rsidR="000718D3">
        <w:t>financial year, d</w:t>
      </w:r>
      <w:r>
        <w:t xml:space="preserve">ischarges of mortgage were </w:t>
      </w:r>
      <w:r w:rsidR="008E0997">
        <w:t>31.98</w:t>
      </w:r>
      <w:r w:rsidR="000718D3">
        <w:t xml:space="preserve"> per cent of all dealings lodged </w:t>
      </w:r>
    </w:p>
    <w:p w14:paraId="16CD404E" w14:textId="4CBEEFB4" w:rsidR="004E68E1" w:rsidRDefault="002E14C7" w:rsidP="004E68E1">
      <w:pPr>
        <w:pStyle w:val="BodyText"/>
      </w:pPr>
      <w:r>
        <w:rPr>
          <w:noProof/>
        </w:rPr>
        <w:drawing>
          <wp:inline distT="0" distB="0" distL="0" distR="0" wp14:anchorId="1541D97F" wp14:editId="68CA88F7">
            <wp:extent cx="5582652" cy="31826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86585" cy="3184862"/>
                    </a:xfrm>
                    <a:prstGeom prst="rect">
                      <a:avLst/>
                    </a:prstGeom>
                    <a:noFill/>
                  </pic:spPr>
                </pic:pic>
              </a:graphicData>
            </a:graphic>
          </wp:inline>
        </w:drawing>
      </w:r>
    </w:p>
    <w:p w14:paraId="5B28B14C" w14:textId="1A11994C" w:rsidR="000718D3" w:rsidRDefault="000718D3" w:rsidP="008B290C">
      <w:pPr>
        <w:pStyle w:val="Heading2"/>
      </w:pPr>
      <w:bookmarkStart w:id="40" w:name="_Toc46161462"/>
      <w:bookmarkStart w:id="41" w:name="_Toc46822588"/>
      <w:r>
        <w:t>Transfers of land</w:t>
      </w:r>
      <w:bookmarkEnd w:id="40"/>
      <w:bookmarkEnd w:id="41"/>
    </w:p>
    <w:p w14:paraId="43269CF5" w14:textId="3684356F" w:rsidR="004E68E1" w:rsidRDefault="00DF3665" w:rsidP="000718D3">
      <w:pPr>
        <w:pStyle w:val="BodyText"/>
      </w:pPr>
      <w:r>
        <w:t>For the 201</w:t>
      </w:r>
      <w:r w:rsidR="008135A3">
        <w:t>9</w:t>
      </w:r>
      <w:r>
        <w:t>–20</w:t>
      </w:r>
      <w:r w:rsidR="008135A3">
        <w:t>20</w:t>
      </w:r>
      <w:r w:rsidR="00095896">
        <w:t xml:space="preserve"> financial year, transfers (</w:t>
      </w:r>
      <w:r w:rsidR="004827DB">
        <w:t>45 and 45NM) were 2</w:t>
      </w:r>
      <w:r w:rsidR="002D6D0E">
        <w:t>3.</w:t>
      </w:r>
      <w:r w:rsidR="008135A3">
        <w:t>72</w:t>
      </w:r>
      <w:r w:rsidR="000718D3">
        <w:t xml:space="preserve"> per cent of all dealings lodged</w:t>
      </w:r>
    </w:p>
    <w:p w14:paraId="740B5328" w14:textId="735311A1" w:rsidR="000718D3" w:rsidRDefault="00B9105B" w:rsidP="00B125A6">
      <w:pPr>
        <w:pStyle w:val="BodyText"/>
      </w:pPr>
      <w:r>
        <w:rPr>
          <w:noProof/>
        </w:rPr>
        <w:drawing>
          <wp:inline distT="0" distB="0" distL="0" distR="0" wp14:anchorId="146C5B10" wp14:editId="3BDB9CF5">
            <wp:extent cx="5715000" cy="324358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21375" cy="3247198"/>
                    </a:xfrm>
                    <a:prstGeom prst="rect">
                      <a:avLst/>
                    </a:prstGeom>
                    <a:noFill/>
                  </pic:spPr>
                </pic:pic>
              </a:graphicData>
            </a:graphic>
          </wp:inline>
        </w:drawing>
      </w:r>
      <w:r w:rsidR="000718D3">
        <w:br w:type="page"/>
      </w:r>
    </w:p>
    <w:p w14:paraId="718229ED" w14:textId="5B699DA2" w:rsidR="000718D3" w:rsidRDefault="000718D3" w:rsidP="00B125A6">
      <w:pPr>
        <w:pStyle w:val="Heading2"/>
      </w:pPr>
      <w:bookmarkStart w:id="42" w:name="_Toc46161463"/>
      <w:bookmarkStart w:id="43" w:name="_Toc46822589"/>
      <w:r>
        <w:t>Mortgages</w:t>
      </w:r>
      <w:bookmarkEnd w:id="42"/>
      <w:bookmarkEnd w:id="43"/>
      <w:r>
        <w:t xml:space="preserve"> </w:t>
      </w:r>
    </w:p>
    <w:p w14:paraId="298F67CE" w14:textId="42F6A8EB" w:rsidR="004E68E1" w:rsidRDefault="00495936" w:rsidP="000718D3">
      <w:pPr>
        <w:pStyle w:val="BodyText"/>
      </w:pPr>
      <w:r>
        <w:t>F</w:t>
      </w:r>
      <w:r w:rsidR="00F811EC">
        <w:t>or the 201</w:t>
      </w:r>
      <w:r w:rsidR="008135A3">
        <w:t>9</w:t>
      </w:r>
      <w:r w:rsidR="00F811EC">
        <w:t>–20</w:t>
      </w:r>
      <w:r w:rsidR="008135A3">
        <w:t>20</w:t>
      </w:r>
      <w:r w:rsidR="00095896">
        <w:t xml:space="preserve"> financial year, mortgages (</w:t>
      </w:r>
      <w:r w:rsidR="004E5048">
        <w:t>includ</w:t>
      </w:r>
      <w:r w:rsidR="003B32F8">
        <w:t xml:space="preserve">es 74 and 74D) were </w:t>
      </w:r>
      <w:r w:rsidR="007669EE">
        <w:t>30.80</w:t>
      </w:r>
      <w:r w:rsidR="000718D3">
        <w:t xml:space="preserve"> per cent of all dealings lodged.</w:t>
      </w:r>
    </w:p>
    <w:p w14:paraId="7D8E034D" w14:textId="56E6BD6E" w:rsidR="004E68E1" w:rsidRDefault="00AF45C7" w:rsidP="004E68E1">
      <w:pPr>
        <w:pStyle w:val="BodyText"/>
      </w:pPr>
      <w:r>
        <w:rPr>
          <w:noProof/>
        </w:rPr>
        <w:drawing>
          <wp:inline distT="0" distB="0" distL="0" distR="0" wp14:anchorId="2E67C69B" wp14:editId="157C8D56">
            <wp:extent cx="5847347" cy="3194685"/>
            <wp:effectExtent l="0" t="0" r="127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55371" cy="3199069"/>
                    </a:xfrm>
                    <a:prstGeom prst="rect">
                      <a:avLst/>
                    </a:prstGeom>
                    <a:noFill/>
                  </pic:spPr>
                </pic:pic>
              </a:graphicData>
            </a:graphic>
          </wp:inline>
        </w:drawing>
      </w:r>
    </w:p>
    <w:p w14:paraId="49C01892" w14:textId="77777777" w:rsidR="00A17238" w:rsidRDefault="00A17238" w:rsidP="000718D3">
      <w:pPr>
        <w:pStyle w:val="Heading2"/>
      </w:pPr>
      <w:bookmarkStart w:id="44" w:name="_Toc46161464"/>
    </w:p>
    <w:p w14:paraId="4C21AD63" w14:textId="6C7F4A32" w:rsidR="000718D3" w:rsidRDefault="000718D3" w:rsidP="00C93C8C">
      <w:pPr>
        <w:pStyle w:val="Heading2"/>
        <w:numPr>
          <w:ilvl w:val="0"/>
          <w:numId w:val="0"/>
        </w:numPr>
      </w:pPr>
      <w:bookmarkStart w:id="45" w:name="_Toc46822590"/>
      <w:r>
        <w:t>Differences in lodging levels and percentages of discharges, transfers and mortgages</w:t>
      </w:r>
      <w:bookmarkEnd w:id="44"/>
      <w:bookmarkEnd w:id="45"/>
    </w:p>
    <w:p w14:paraId="43059817" w14:textId="77777777" w:rsidR="000718D3" w:rsidRDefault="000718D3" w:rsidP="000718D3">
      <w:pPr>
        <w:pStyle w:val="BodyText"/>
      </w:pPr>
      <w:r>
        <w:t>Over time, the number and relative percentages in the lodgement levels of the three most common transactions vary.</w:t>
      </w:r>
    </w:p>
    <w:p w14:paraId="48A87E20" w14:textId="77777777" w:rsidR="000718D3" w:rsidRDefault="000718D3" w:rsidP="000718D3">
      <w:pPr>
        <w:pStyle w:val="BodyText"/>
      </w:pPr>
      <w:r>
        <w:t>These variations are shown below.</w:t>
      </w:r>
    </w:p>
    <w:p w14:paraId="02FB6E51" w14:textId="77777777" w:rsidR="000718D3" w:rsidRDefault="000718D3" w:rsidP="000718D3">
      <w:pPr>
        <w:pStyle w:val="BodyText"/>
      </w:pPr>
      <w:r>
        <w:t>The average for each of the dealing types for this financial year is as follows:</w:t>
      </w:r>
    </w:p>
    <w:tbl>
      <w:tblPr>
        <w:tblStyle w:val="TableGrid"/>
        <w:tblW w:w="0" w:type="auto"/>
        <w:tblLook w:val="00A0" w:firstRow="1" w:lastRow="0" w:firstColumn="1" w:lastColumn="0" w:noHBand="0" w:noVBand="0"/>
      </w:tblPr>
      <w:tblGrid>
        <w:gridCol w:w="3118"/>
        <w:gridCol w:w="1559"/>
      </w:tblGrid>
      <w:tr w:rsidR="004C1C2A" w:rsidRPr="00050253" w14:paraId="75744BA0" w14:textId="77777777" w:rsidTr="004C1C2A">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118" w:type="dxa"/>
          </w:tcPr>
          <w:p w14:paraId="02C3C0FE" w14:textId="77777777" w:rsidR="004C1C2A" w:rsidRPr="00050253" w:rsidRDefault="004C1C2A" w:rsidP="004C1C2A">
            <w:pPr>
              <w:pStyle w:val="TableHeadingLeft"/>
            </w:pPr>
          </w:p>
        </w:tc>
        <w:tc>
          <w:tcPr>
            <w:cnfStyle w:val="000010000000" w:firstRow="0" w:lastRow="0" w:firstColumn="0" w:lastColumn="0" w:oddVBand="1" w:evenVBand="0" w:oddHBand="0" w:evenHBand="0" w:firstRowFirstColumn="0" w:firstRowLastColumn="0" w:lastRowFirstColumn="0" w:lastRowLastColumn="0"/>
            <w:tcW w:w="1559" w:type="dxa"/>
          </w:tcPr>
          <w:p w14:paraId="2ACF8028" w14:textId="77777777" w:rsidR="004C1C2A" w:rsidRPr="00050253" w:rsidRDefault="004C1C2A" w:rsidP="004C1C2A">
            <w:pPr>
              <w:pStyle w:val="TableHeadingLeft"/>
            </w:pPr>
          </w:p>
        </w:tc>
      </w:tr>
      <w:tr w:rsidR="004C1C2A" w:rsidRPr="00050253" w14:paraId="2340B1DD" w14:textId="77777777" w:rsidTr="004C1C2A">
        <w:tc>
          <w:tcPr>
            <w:tcW w:w="3118" w:type="dxa"/>
          </w:tcPr>
          <w:p w14:paraId="09862E2B" w14:textId="77777777" w:rsidR="004C1C2A" w:rsidRPr="00FC134F" w:rsidRDefault="004C1C2A" w:rsidP="004C1C2A">
            <w:r w:rsidRPr="00FC134F">
              <w:t>Transfers</w:t>
            </w:r>
          </w:p>
        </w:tc>
        <w:tc>
          <w:tcPr>
            <w:cnfStyle w:val="000010000000" w:firstRow="0" w:lastRow="0" w:firstColumn="0" w:lastColumn="0" w:oddVBand="1" w:evenVBand="0" w:oddHBand="0" w:evenHBand="0" w:firstRowFirstColumn="0" w:firstRowLastColumn="0" w:lastRowFirstColumn="0" w:lastRowLastColumn="0"/>
            <w:tcW w:w="1559" w:type="dxa"/>
          </w:tcPr>
          <w:p w14:paraId="7BA5D09B" w14:textId="6EF7ADF8" w:rsidR="004C1C2A" w:rsidRPr="00FC134F" w:rsidRDefault="001F4BC9" w:rsidP="004C1C2A">
            <w:r>
              <w:t>2</w:t>
            </w:r>
            <w:r w:rsidR="00880E15">
              <w:t>3.72</w:t>
            </w:r>
            <w:r w:rsidR="004C1C2A" w:rsidRPr="00FC134F">
              <w:t xml:space="preserve"> per cent</w:t>
            </w:r>
          </w:p>
        </w:tc>
      </w:tr>
      <w:tr w:rsidR="004C1C2A" w:rsidRPr="00050253" w14:paraId="521A493B" w14:textId="77777777" w:rsidTr="004C1C2A">
        <w:tc>
          <w:tcPr>
            <w:tcW w:w="3118" w:type="dxa"/>
          </w:tcPr>
          <w:p w14:paraId="03F41FF7" w14:textId="77777777" w:rsidR="004C1C2A" w:rsidRPr="00FC134F" w:rsidRDefault="004C1C2A" w:rsidP="004C1C2A">
            <w:r w:rsidRPr="00FC134F">
              <w:t>Discharges</w:t>
            </w:r>
          </w:p>
        </w:tc>
        <w:tc>
          <w:tcPr>
            <w:cnfStyle w:val="000010000000" w:firstRow="0" w:lastRow="0" w:firstColumn="0" w:lastColumn="0" w:oddVBand="1" w:evenVBand="0" w:oddHBand="0" w:evenHBand="0" w:firstRowFirstColumn="0" w:firstRowLastColumn="0" w:lastRowFirstColumn="0" w:lastRowLastColumn="0"/>
            <w:tcW w:w="1559" w:type="dxa"/>
          </w:tcPr>
          <w:p w14:paraId="477AEE71" w14:textId="60901FA4" w:rsidR="004C1C2A" w:rsidRPr="00FC134F" w:rsidRDefault="00880E15" w:rsidP="004C1C2A">
            <w:r>
              <w:t>31.98</w:t>
            </w:r>
            <w:r w:rsidR="004C1C2A" w:rsidRPr="00FC134F">
              <w:t xml:space="preserve"> per cent</w:t>
            </w:r>
          </w:p>
        </w:tc>
      </w:tr>
      <w:tr w:rsidR="004C1C2A" w:rsidRPr="00050253" w14:paraId="3EE1D209" w14:textId="77777777" w:rsidTr="004C1C2A">
        <w:tc>
          <w:tcPr>
            <w:tcW w:w="3118" w:type="dxa"/>
          </w:tcPr>
          <w:p w14:paraId="557830A7" w14:textId="77777777" w:rsidR="004C1C2A" w:rsidRPr="00FC134F" w:rsidRDefault="004C1C2A" w:rsidP="004C1C2A">
            <w:r w:rsidRPr="00FC134F">
              <w:t>Mortgages</w:t>
            </w:r>
          </w:p>
        </w:tc>
        <w:tc>
          <w:tcPr>
            <w:cnfStyle w:val="000010000000" w:firstRow="0" w:lastRow="0" w:firstColumn="0" w:lastColumn="0" w:oddVBand="1" w:evenVBand="0" w:oddHBand="0" w:evenHBand="0" w:firstRowFirstColumn="0" w:firstRowLastColumn="0" w:lastRowFirstColumn="0" w:lastRowLastColumn="0"/>
            <w:tcW w:w="1559" w:type="dxa"/>
          </w:tcPr>
          <w:p w14:paraId="7EEF56CC" w14:textId="5DEB1639" w:rsidR="004C1C2A" w:rsidRDefault="00880E15" w:rsidP="004C1C2A">
            <w:r>
              <w:t>30.80</w:t>
            </w:r>
            <w:r w:rsidR="009A2E01">
              <w:t xml:space="preserve"> </w:t>
            </w:r>
            <w:r w:rsidR="004C1C2A" w:rsidRPr="00FC134F">
              <w:t>per cent</w:t>
            </w:r>
          </w:p>
        </w:tc>
      </w:tr>
    </w:tbl>
    <w:p w14:paraId="78437BE8" w14:textId="77777777" w:rsidR="00C6404D" w:rsidRDefault="00C6404D" w:rsidP="00C6404D">
      <w:pPr>
        <w:pStyle w:val="BodyText"/>
      </w:pPr>
    </w:p>
    <w:p w14:paraId="4FF56EEA" w14:textId="77777777" w:rsidR="00C6404D" w:rsidRDefault="00C6404D" w:rsidP="00C6404D">
      <w:pPr>
        <w:pStyle w:val="BodyText"/>
      </w:pPr>
    </w:p>
    <w:p w14:paraId="3F00F4D2" w14:textId="77777777" w:rsidR="00461654" w:rsidRDefault="00461654" w:rsidP="008D315C"/>
    <w:p w14:paraId="30B31885" w14:textId="77777777" w:rsidR="00461654" w:rsidRDefault="00461654" w:rsidP="008D315C"/>
    <w:p w14:paraId="0556E8D6" w14:textId="77777777" w:rsidR="00461654" w:rsidRDefault="00461654" w:rsidP="008D315C"/>
    <w:p w14:paraId="2E183942" w14:textId="77777777" w:rsidR="00461654" w:rsidRDefault="00461654" w:rsidP="008D315C"/>
    <w:p w14:paraId="528B8207" w14:textId="77777777" w:rsidR="00461654" w:rsidRDefault="00461654" w:rsidP="008D315C"/>
    <w:p w14:paraId="286C700F" w14:textId="77777777" w:rsidR="00461654" w:rsidRDefault="00461654" w:rsidP="008D315C"/>
    <w:p w14:paraId="4946A328" w14:textId="77777777" w:rsidR="00461654" w:rsidRDefault="00461654" w:rsidP="008D315C"/>
    <w:p w14:paraId="229149A5" w14:textId="4B943BB8" w:rsidR="000718D3" w:rsidRDefault="000718D3" w:rsidP="008D315C">
      <w:r>
        <w:t xml:space="preserve">The three main dealing types as a percentage of all dealings lodged since </w:t>
      </w:r>
      <w:r w:rsidR="005A17B4">
        <w:t>2000</w:t>
      </w:r>
      <w:r>
        <w:t>–</w:t>
      </w:r>
      <w:r w:rsidR="00461654">
        <w:t>2001</w:t>
      </w:r>
      <w:r>
        <w:t xml:space="preserve"> is shown below.</w:t>
      </w:r>
    </w:p>
    <w:p w14:paraId="481F6037" w14:textId="77777777" w:rsidR="00DC4188" w:rsidRPr="008D315C" w:rsidRDefault="00DC4188" w:rsidP="008D315C">
      <w:pPr>
        <w:rPr>
          <w:rFonts w:cs="Times New Roman"/>
          <w:lang w:eastAsia="en-US"/>
        </w:rPr>
      </w:pPr>
    </w:p>
    <w:tbl>
      <w:tblPr>
        <w:tblStyle w:val="TableGrid"/>
        <w:tblpPr w:leftFromText="180" w:rightFromText="180" w:vertAnchor="text" w:tblpY="1"/>
        <w:tblOverlap w:val="never"/>
        <w:tblW w:w="0" w:type="auto"/>
        <w:tblLook w:val="00A0" w:firstRow="1" w:lastRow="0" w:firstColumn="1" w:lastColumn="0" w:noHBand="0" w:noVBand="0"/>
      </w:tblPr>
      <w:tblGrid>
        <w:gridCol w:w="1559"/>
        <w:gridCol w:w="1559"/>
        <w:gridCol w:w="1559"/>
        <w:gridCol w:w="1559"/>
      </w:tblGrid>
      <w:tr w:rsidR="000718D3" w:rsidRPr="00050253" w14:paraId="552336BA" w14:textId="77777777" w:rsidTr="00791AEA">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59" w:type="dxa"/>
          </w:tcPr>
          <w:p w14:paraId="3AC3146F" w14:textId="77777777" w:rsidR="000718D3" w:rsidRPr="00050253" w:rsidRDefault="000718D3" w:rsidP="00791AEA">
            <w:pPr>
              <w:pStyle w:val="TableHeadingLeft"/>
            </w:pPr>
          </w:p>
        </w:tc>
        <w:tc>
          <w:tcPr>
            <w:cnfStyle w:val="000010000000" w:firstRow="0" w:lastRow="0" w:firstColumn="0" w:lastColumn="0" w:oddVBand="1" w:evenVBand="0" w:oddHBand="0" w:evenHBand="0" w:firstRowFirstColumn="0" w:firstRowLastColumn="0" w:lastRowFirstColumn="0" w:lastRowLastColumn="0"/>
            <w:tcW w:w="1559" w:type="dxa"/>
          </w:tcPr>
          <w:p w14:paraId="68F3C9D4" w14:textId="77777777" w:rsidR="000718D3" w:rsidRPr="00050253" w:rsidRDefault="000718D3" w:rsidP="00791AEA">
            <w:pPr>
              <w:pStyle w:val="TableHeadingLeft"/>
            </w:pPr>
            <w:r>
              <w:t>Transfers</w:t>
            </w:r>
          </w:p>
        </w:tc>
        <w:tc>
          <w:tcPr>
            <w:tcW w:w="1559" w:type="dxa"/>
          </w:tcPr>
          <w:p w14:paraId="6B92AC3F" w14:textId="77777777" w:rsidR="000718D3" w:rsidRPr="00050253" w:rsidRDefault="000718D3" w:rsidP="00791AEA">
            <w:pPr>
              <w:pStyle w:val="TableHeadingLeft"/>
              <w:cnfStyle w:val="100000000000" w:firstRow="1" w:lastRow="0" w:firstColumn="0" w:lastColumn="0" w:oddVBand="0" w:evenVBand="0" w:oddHBand="0" w:evenHBand="0" w:firstRowFirstColumn="0" w:firstRowLastColumn="0" w:lastRowFirstColumn="0" w:lastRowLastColumn="0"/>
            </w:pPr>
            <w:r>
              <w:t>Discharges</w:t>
            </w:r>
          </w:p>
        </w:tc>
        <w:tc>
          <w:tcPr>
            <w:cnfStyle w:val="000010000000" w:firstRow="0" w:lastRow="0" w:firstColumn="0" w:lastColumn="0" w:oddVBand="1" w:evenVBand="0" w:oddHBand="0" w:evenHBand="0" w:firstRowFirstColumn="0" w:firstRowLastColumn="0" w:lastRowFirstColumn="0" w:lastRowLastColumn="0"/>
            <w:tcW w:w="1559" w:type="dxa"/>
          </w:tcPr>
          <w:p w14:paraId="74E6CBBE" w14:textId="77777777" w:rsidR="000718D3" w:rsidRPr="00050253" w:rsidRDefault="000718D3" w:rsidP="00791AEA">
            <w:pPr>
              <w:pStyle w:val="TableHeadingLeft"/>
            </w:pPr>
            <w:r>
              <w:t>Mortgages</w:t>
            </w:r>
          </w:p>
        </w:tc>
      </w:tr>
      <w:tr w:rsidR="000718D3" w:rsidRPr="00050253" w14:paraId="089A0435" w14:textId="77777777" w:rsidTr="00791AEA">
        <w:tc>
          <w:tcPr>
            <w:tcW w:w="1559" w:type="dxa"/>
          </w:tcPr>
          <w:p w14:paraId="173565A1" w14:textId="77777777" w:rsidR="000718D3" w:rsidRPr="00757DD5" w:rsidRDefault="000718D3" w:rsidP="00791AEA">
            <w:r w:rsidRPr="00757DD5">
              <w:t>2000/01</w:t>
            </w:r>
          </w:p>
        </w:tc>
        <w:tc>
          <w:tcPr>
            <w:cnfStyle w:val="000010000000" w:firstRow="0" w:lastRow="0" w:firstColumn="0" w:lastColumn="0" w:oddVBand="1" w:evenVBand="0" w:oddHBand="0" w:evenHBand="0" w:firstRowFirstColumn="0" w:firstRowLastColumn="0" w:lastRowFirstColumn="0" w:lastRowLastColumn="0"/>
            <w:tcW w:w="1559" w:type="dxa"/>
          </w:tcPr>
          <w:p w14:paraId="768899A4" w14:textId="77777777" w:rsidR="000718D3" w:rsidRPr="00757DD5" w:rsidRDefault="000718D3" w:rsidP="00791AEA">
            <w:r w:rsidRPr="00757DD5">
              <w:t>28.81%</w:t>
            </w:r>
          </w:p>
        </w:tc>
        <w:tc>
          <w:tcPr>
            <w:tcW w:w="1559" w:type="dxa"/>
          </w:tcPr>
          <w:p w14:paraId="717B25B5" w14:textId="77777777" w:rsidR="000718D3" w:rsidRPr="00757DD5" w:rsidRDefault="000718D3" w:rsidP="00791AEA">
            <w:pPr>
              <w:cnfStyle w:val="000000000000" w:firstRow="0" w:lastRow="0" w:firstColumn="0" w:lastColumn="0" w:oddVBand="0" w:evenVBand="0" w:oddHBand="0" w:evenHBand="0" w:firstRowFirstColumn="0" w:firstRowLastColumn="0" w:lastRowFirstColumn="0" w:lastRowLastColumn="0"/>
            </w:pPr>
            <w:r w:rsidRPr="00757DD5">
              <w:t>29.74%</w:t>
            </w:r>
          </w:p>
        </w:tc>
        <w:tc>
          <w:tcPr>
            <w:cnfStyle w:val="000010000000" w:firstRow="0" w:lastRow="0" w:firstColumn="0" w:lastColumn="0" w:oddVBand="1" w:evenVBand="0" w:oddHBand="0" w:evenHBand="0" w:firstRowFirstColumn="0" w:firstRowLastColumn="0" w:lastRowFirstColumn="0" w:lastRowLastColumn="0"/>
            <w:tcW w:w="1559" w:type="dxa"/>
          </w:tcPr>
          <w:p w14:paraId="1C6277C8" w14:textId="77777777" w:rsidR="000718D3" w:rsidRPr="00757DD5" w:rsidRDefault="000718D3" w:rsidP="00791AEA">
            <w:r w:rsidRPr="00757DD5">
              <w:t>26.14%</w:t>
            </w:r>
          </w:p>
        </w:tc>
      </w:tr>
      <w:tr w:rsidR="000718D3" w:rsidRPr="00050253" w14:paraId="4FAD4F2E" w14:textId="77777777" w:rsidTr="00791AEA">
        <w:tc>
          <w:tcPr>
            <w:tcW w:w="1559" w:type="dxa"/>
          </w:tcPr>
          <w:p w14:paraId="17A022D9" w14:textId="77777777" w:rsidR="000718D3" w:rsidRPr="00757DD5" w:rsidRDefault="000718D3" w:rsidP="00791AEA">
            <w:r w:rsidRPr="00757DD5">
              <w:t>2001/02</w:t>
            </w:r>
          </w:p>
        </w:tc>
        <w:tc>
          <w:tcPr>
            <w:cnfStyle w:val="000010000000" w:firstRow="0" w:lastRow="0" w:firstColumn="0" w:lastColumn="0" w:oddVBand="1" w:evenVBand="0" w:oddHBand="0" w:evenHBand="0" w:firstRowFirstColumn="0" w:firstRowLastColumn="0" w:lastRowFirstColumn="0" w:lastRowLastColumn="0"/>
            <w:tcW w:w="1559" w:type="dxa"/>
          </w:tcPr>
          <w:p w14:paraId="75659E25" w14:textId="77777777" w:rsidR="000718D3" w:rsidRPr="00757DD5" w:rsidRDefault="000718D3" w:rsidP="00791AEA">
            <w:r w:rsidRPr="00757DD5">
              <w:t>28.42%</w:t>
            </w:r>
          </w:p>
        </w:tc>
        <w:tc>
          <w:tcPr>
            <w:tcW w:w="1559" w:type="dxa"/>
          </w:tcPr>
          <w:p w14:paraId="5670DDF0" w14:textId="77777777" w:rsidR="000718D3" w:rsidRPr="00757DD5" w:rsidRDefault="000718D3" w:rsidP="00791AEA">
            <w:pPr>
              <w:cnfStyle w:val="000000000000" w:firstRow="0" w:lastRow="0" w:firstColumn="0" w:lastColumn="0" w:oddVBand="0" w:evenVBand="0" w:oddHBand="0" w:evenHBand="0" w:firstRowFirstColumn="0" w:firstRowLastColumn="0" w:lastRowFirstColumn="0" w:lastRowLastColumn="0"/>
            </w:pPr>
            <w:r w:rsidRPr="00757DD5">
              <w:t>29.41%</w:t>
            </w:r>
          </w:p>
        </w:tc>
        <w:tc>
          <w:tcPr>
            <w:cnfStyle w:val="000010000000" w:firstRow="0" w:lastRow="0" w:firstColumn="0" w:lastColumn="0" w:oddVBand="1" w:evenVBand="0" w:oddHBand="0" w:evenHBand="0" w:firstRowFirstColumn="0" w:firstRowLastColumn="0" w:lastRowFirstColumn="0" w:lastRowLastColumn="0"/>
            <w:tcW w:w="1559" w:type="dxa"/>
          </w:tcPr>
          <w:p w14:paraId="42FF1AA0" w14:textId="77777777" w:rsidR="000718D3" w:rsidRPr="00757DD5" w:rsidRDefault="000718D3" w:rsidP="00791AEA">
            <w:r w:rsidRPr="00757DD5">
              <w:t>26.30%</w:t>
            </w:r>
          </w:p>
        </w:tc>
      </w:tr>
      <w:tr w:rsidR="000718D3" w:rsidRPr="00050253" w14:paraId="6E2B442A" w14:textId="77777777" w:rsidTr="00791AEA">
        <w:tc>
          <w:tcPr>
            <w:tcW w:w="1559" w:type="dxa"/>
          </w:tcPr>
          <w:p w14:paraId="46C3767F" w14:textId="77777777" w:rsidR="000718D3" w:rsidRPr="00757DD5" w:rsidRDefault="000718D3" w:rsidP="00791AEA">
            <w:r w:rsidRPr="00757DD5">
              <w:t>2002/03</w:t>
            </w:r>
          </w:p>
        </w:tc>
        <w:tc>
          <w:tcPr>
            <w:cnfStyle w:val="000010000000" w:firstRow="0" w:lastRow="0" w:firstColumn="0" w:lastColumn="0" w:oddVBand="1" w:evenVBand="0" w:oddHBand="0" w:evenHBand="0" w:firstRowFirstColumn="0" w:firstRowLastColumn="0" w:lastRowFirstColumn="0" w:lastRowLastColumn="0"/>
            <w:tcW w:w="1559" w:type="dxa"/>
          </w:tcPr>
          <w:p w14:paraId="53A5B75C" w14:textId="77777777" w:rsidR="000718D3" w:rsidRPr="00757DD5" w:rsidRDefault="000718D3" w:rsidP="00791AEA">
            <w:r w:rsidRPr="00757DD5">
              <w:t>27.93%</w:t>
            </w:r>
          </w:p>
        </w:tc>
        <w:tc>
          <w:tcPr>
            <w:tcW w:w="1559" w:type="dxa"/>
          </w:tcPr>
          <w:p w14:paraId="17781A5E" w14:textId="77777777" w:rsidR="000718D3" w:rsidRPr="00757DD5" w:rsidRDefault="000718D3" w:rsidP="00791AEA">
            <w:pPr>
              <w:cnfStyle w:val="000000000000" w:firstRow="0" w:lastRow="0" w:firstColumn="0" w:lastColumn="0" w:oddVBand="0" w:evenVBand="0" w:oddHBand="0" w:evenHBand="0" w:firstRowFirstColumn="0" w:firstRowLastColumn="0" w:lastRowFirstColumn="0" w:lastRowLastColumn="0"/>
            </w:pPr>
            <w:r w:rsidRPr="00757DD5">
              <w:t>30.33%</w:t>
            </w:r>
          </w:p>
        </w:tc>
        <w:tc>
          <w:tcPr>
            <w:cnfStyle w:val="000010000000" w:firstRow="0" w:lastRow="0" w:firstColumn="0" w:lastColumn="0" w:oddVBand="1" w:evenVBand="0" w:oddHBand="0" w:evenHBand="0" w:firstRowFirstColumn="0" w:firstRowLastColumn="0" w:lastRowFirstColumn="0" w:lastRowLastColumn="0"/>
            <w:tcW w:w="1559" w:type="dxa"/>
          </w:tcPr>
          <w:p w14:paraId="759848BC" w14:textId="77777777" w:rsidR="000718D3" w:rsidRPr="00757DD5" w:rsidRDefault="000718D3" w:rsidP="00791AEA">
            <w:r w:rsidRPr="00757DD5">
              <w:t>27.29%</w:t>
            </w:r>
          </w:p>
        </w:tc>
      </w:tr>
      <w:tr w:rsidR="000718D3" w:rsidRPr="00050253" w14:paraId="7F5F5D78" w14:textId="77777777" w:rsidTr="00791AEA">
        <w:tc>
          <w:tcPr>
            <w:tcW w:w="1559" w:type="dxa"/>
          </w:tcPr>
          <w:p w14:paraId="0CE2E071" w14:textId="77777777" w:rsidR="000718D3" w:rsidRPr="00757DD5" w:rsidRDefault="000718D3" w:rsidP="00791AEA">
            <w:r w:rsidRPr="00757DD5">
              <w:t>2003/04</w:t>
            </w:r>
          </w:p>
        </w:tc>
        <w:tc>
          <w:tcPr>
            <w:cnfStyle w:val="000010000000" w:firstRow="0" w:lastRow="0" w:firstColumn="0" w:lastColumn="0" w:oddVBand="1" w:evenVBand="0" w:oddHBand="0" w:evenHBand="0" w:firstRowFirstColumn="0" w:firstRowLastColumn="0" w:lastRowFirstColumn="0" w:lastRowLastColumn="0"/>
            <w:tcW w:w="1559" w:type="dxa"/>
          </w:tcPr>
          <w:p w14:paraId="76C91927" w14:textId="77777777" w:rsidR="000718D3" w:rsidRPr="00757DD5" w:rsidRDefault="000718D3" w:rsidP="00791AEA">
            <w:r w:rsidRPr="00757DD5">
              <w:t>27.15%</w:t>
            </w:r>
          </w:p>
        </w:tc>
        <w:tc>
          <w:tcPr>
            <w:tcW w:w="1559" w:type="dxa"/>
          </w:tcPr>
          <w:p w14:paraId="1BD6DFA9" w14:textId="77777777" w:rsidR="000718D3" w:rsidRPr="00757DD5" w:rsidRDefault="000718D3" w:rsidP="00791AEA">
            <w:pPr>
              <w:cnfStyle w:val="000000000000" w:firstRow="0" w:lastRow="0" w:firstColumn="0" w:lastColumn="0" w:oddVBand="0" w:evenVBand="0" w:oddHBand="0" w:evenHBand="0" w:firstRowFirstColumn="0" w:firstRowLastColumn="0" w:lastRowFirstColumn="0" w:lastRowLastColumn="0"/>
            </w:pPr>
            <w:r w:rsidRPr="00757DD5">
              <w:t>30.63%</w:t>
            </w:r>
          </w:p>
        </w:tc>
        <w:tc>
          <w:tcPr>
            <w:cnfStyle w:val="000010000000" w:firstRow="0" w:lastRow="0" w:firstColumn="0" w:lastColumn="0" w:oddVBand="1" w:evenVBand="0" w:oddHBand="0" w:evenHBand="0" w:firstRowFirstColumn="0" w:firstRowLastColumn="0" w:lastRowFirstColumn="0" w:lastRowLastColumn="0"/>
            <w:tcW w:w="1559" w:type="dxa"/>
          </w:tcPr>
          <w:p w14:paraId="1D4F1EDA" w14:textId="77777777" w:rsidR="000718D3" w:rsidRPr="00757DD5" w:rsidRDefault="000718D3" w:rsidP="00791AEA">
            <w:r w:rsidRPr="00757DD5">
              <w:t>27.79%</w:t>
            </w:r>
          </w:p>
        </w:tc>
      </w:tr>
      <w:tr w:rsidR="000718D3" w:rsidRPr="00050253" w14:paraId="3769AA79" w14:textId="77777777" w:rsidTr="00791AEA">
        <w:tc>
          <w:tcPr>
            <w:tcW w:w="1559" w:type="dxa"/>
          </w:tcPr>
          <w:p w14:paraId="0891C15A" w14:textId="77777777" w:rsidR="000718D3" w:rsidRPr="00757DD5" w:rsidRDefault="000718D3" w:rsidP="00791AEA">
            <w:r w:rsidRPr="00757DD5">
              <w:t>2004/05</w:t>
            </w:r>
          </w:p>
        </w:tc>
        <w:tc>
          <w:tcPr>
            <w:cnfStyle w:val="000010000000" w:firstRow="0" w:lastRow="0" w:firstColumn="0" w:lastColumn="0" w:oddVBand="1" w:evenVBand="0" w:oddHBand="0" w:evenHBand="0" w:firstRowFirstColumn="0" w:firstRowLastColumn="0" w:lastRowFirstColumn="0" w:lastRowLastColumn="0"/>
            <w:tcW w:w="1559" w:type="dxa"/>
          </w:tcPr>
          <w:p w14:paraId="5AB35DCE" w14:textId="77777777" w:rsidR="000718D3" w:rsidRPr="00757DD5" w:rsidRDefault="000718D3" w:rsidP="00791AEA">
            <w:r w:rsidRPr="00757DD5">
              <w:t>25.05%</w:t>
            </w:r>
          </w:p>
        </w:tc>
        <w:tc>
          <w:tcPr>
            <w:tcW w:w="1559" w:type="dxa"/>
          </w:tcPr>
          <w:p w14:paraId="2E2285F3" w14:textId="77777777" w:rsidR="000718D3" w:rsidRPr="00757DD5" w:rsidRDefault="000718D3" w:rsidP="00791AEA">
            <w:pPr>
              <w:cnfStyle w:val="000000000000" w:firstRow="0" w:lastRow="0" w:firstColumn="0" w:lastColumn="0" w:oddVBand="0" w:evenVBand="0" w:oddHBand="0" w:evenHBand="0" w:firstRowFirstColumn="0" w:firstRowLastColumn="0" w:lastRowFirstColumn="0" w:lastRowLastColumn="0"/>
            </w:pPr>
            <w:r w:rsidRPr="00757DD5">
              <w:t>29.53%</w:t>
            </w:r>
          </w:p>
        </w:tc>
        <w:tc>
          <w:tcPr>
            <w:cnfStyle w:val="000010000000" w:firstRow="0" w:lastRow="0" w:firstColumn="0" w:lastColumn="0" w:oddVBand="1" w:evenVBand="0" w:oddHBand="0" w:evenHBand="0" w:firstRowFirstColumn="0" w:firstRowLastColumn="0" w:lastRowFirstColumn="0" w:lastRowLastColumn="0"/>
            <w:tcW w:w="1559" w:type="dxa"/>
          </w:tcPr>
          <w:p w14:paraId="7D797425" w14:textId="77777777" w:rsidR="000718D3" w:rsidRPr="00757DD5" w:rsidRDefault="000718D3" w:rsidP="00791AEA">
            <w:r w:rsidRPr="00757DD5">
              <w:t>26.75%</w:t>
            </w:r>
          </w:p>
        </w:tc>
      </w:tr>
      <w:tr w:rsidR="000718D3" w:rsidRPr="00050253" w14:paraId="749536E1" w14:textId="77777777" w:rsidTr="00791AEA">
        <w:tc>
          <w:tcPr>
            <w:tcW w:w="1559" w:type="dxa"/>
          </w:tcPr>
          <w:p w14:paraId="6BBDC7AF" w14:textId="77777777" w:rsidR="000718D3" w:rsidRPr="00757DD5" w:rsidRDefault="000718D3" w:rsidP="00791AEA">
            <w:r w:rsidRPr="00757DD5">
              <w:t>2005/06</w:t>
            </w:r>
          </w:p>
        </w:tc>
        <w:tc>
          <w:tcPr>
            <w:cnfStyle w:val="000010000000" w:firstRow="0" w:lastRow="0" w:firstColumn="0" w:lastColumn="0" w:oddVBand="1" w:evenVBand="0" w:oddHBand="0" w:evenHBand="0" w:firstRowFirstColumn="0" w:firstRowLastColumn="0" w:lastRowFirstColumn="0" w:lastRowLastColumn="0"/>
            <w:tcW w:w="1559" w:type="dxa"/>
          </w:tcPr>
          <w:p w14:paraId="6AA27BB5" w14:textId="77777777" w:rsidR="000718D3" w:rsidRPr="00757DD5" w:rsidRDefault="000718D3" w:rsidP="00791AEA">
            <w:r w:rsidRPr="00757DD5">
              <w:t>25.49%</w:t>
            </w:r>
          </w:p>
        </w:tc>
        <w:tc>
          <w:tcPr>
            <w:tcW w:w="1559" w:type="dxa"/>
          </w:tcPr>
          <w:p w14:paraId="7670C7C3" w14:textId="77777777" w:rsidR="000718D3" w:rsidRPr="00757DD5" w:rsidRDefault="000718D3" w:rsidP="00791AEA">
            <w:pPr>
              <w:cnfStyle w:val="000000000000" w:firstRow="0" w:lastRow="0" w:firstColumn="0" w:lastColumn="0" w:oddVBand="0" w:evenVBand="0" w:oddHBand="0" w:evenHBand="0" w:firstRowFirstColumn="0" w:firstRowLastColumn="0" w:lastRowFirstColumn="0" w:lastRowLastColumn="0"/>
            </w:pPr>
            <w:r w:rsidRPr="00757DD5">
              <w:t>28.36%</w:t>
            </w:r>
          </w:p>
        </w:tc>
        <w:tc>
          <w:tcPr>
            <w:cnfStyle w:val="000010000000" w:firstRow="0" w:lastRow="0" w:firstColumn="0" w:lastColumn="0" w:oddVBand="1" w:evenVBand="0" w:oddHBand="0" w:evenHBand="0" w:firstRowFirstColumn="0" w:firstRowLastColumn="0" w:lastRowFirstColumn="0" w:lastRowLastColumn="0"/>
            <w:tcW w:w="1559" w:type="dxa"/>
          </w:tcPr>
          <w:p w14:paraId="5FAC6B17" w14:textId="77777777" w:rsidR="000718D3" w:rsidRPr="00757DD5" w:rsidRDefault="000718D3" w:rsidP="00791AEA">
            <w:r w:rsidRPr="00757DD5">
              <w:t>30.51%</w:t>
            </w:r>
          </w:p>
        </w:tc>
      </w:tr>
      <w:tr w:rsidR="000718D3" w:rsidRPr="00050253" w14:paraId="0A13101C" w14:textId="77777777" w:rsidTr="00791AEA">
        <w:tc>
          <w:tcPr>
            <w:tcW w:w="1559" w:type="dxa"/>
          </w:tcPr>
          <w:p w14:paraId="1B675AAA" w14:textId="77777777" w:rsidR="000718D3" w:rsidRPr="00757DD5" w:rsidRDefault="000718D3" w:rsidP="00791AEA">
            <w:r w:rsidRPr="00757DD5">
              <w:t>2006/07</w:t>
            </w:r>
          </w:p>
        </w:tc>
        <w:tc>
          <w:tcPr>
            <w:cnfStyle w:val="000010000000" w:firstRow="0" w:lastRow="0" w:firstColumn="0" w:lastColumn="0" w:oddVBand="1" w:evenVBand="0" w:oddHBand="0" w:evenHBand="0" w:firstRowFirstColumn="0" w:firstRowLastColumn="0" w:lastRowFirstColumn="0" w:lastRowLastColumn="0"/>
            <w:tcW w:w="1559" w:type="dxa"/>
          </w:tcPr>
          <w:p w14:paraId="670DE839" w14:textId="77777777" w:rsidR="000718D3" w:rsidRPr="00757DD5" w:rsidRDefault="000718D3" w:rsidP="00791AEA">
            <w:r w:rsidRPr="00757DD5">
              <w:t>25.87%</w:t>
            </w:r>
          </w:p>
        </w:tc>
        <w:tc>
          <w:tcPr>
            <w:tcW w:w="1559" w:type="dxa"/>
          </w:tcPr>
          <w:p w14:paraId="1B92C2F4" w14:textId="77777777" w:rsidR="000718D3" w:rsidRPr="00757DD5" w:rsidRDefault="000718D3" w:rsidP="00791AEA">
            <w:pPr>
              <w:cnfStyle w:val="000000000000" w:firstRow="0" w:lastRow="0" w:firstColumn="0" w:lastColumn="0" w:oddVBand="0" w:evenVBand="0" w:oddHBand="0" w:evenHBand="0" w:firstRowFirstColumn="0" w:firstRowLastColumn="0" w:lastRowFirstColumn="0" w:lastRowLastColumn="0"/>
            </w:pPr>
            <w:r w:rsidRPr="00757DD5">
              <w:t>28.13%</w:t>
            </w:r>
          </w:p>
        </w:tc>
        <w:tc>
          <w:tcPr>
            <w:cnfStyle w:val="000010000000" w:firstRow="0" w:lastRow="0" w:firstColumn="0" w:lastColumn="0" w:oddVBand="1" w:evenVBand="0" w:oddHBand="0" w:evenHBand="0" w:firstRowFirstColumn="0" w:firstRowLastColumn="0" w:lastRowFirstColumn="0" w:lastRowLastColumn="0"/>
            <w:tcW w:w="1559" w:type="dxa"/>
          </w:tcPr>
          <w:p w14:paraId="684DC1DC" w14:textId="77777777" w:rsidR="000718D3" w:rsidRPr="00757DD5" w:rsidRDefault="000718D3" w:rsidP="00791AEA">
            <w:r w:rsidRPr="00757DD5">
              <w:t>29.85%</w:t>
            </w:r>
          </w:p>
        </w:tc>
      </w:tr>
      <w:tr w:rsidR="000718D3" w:rsidRPr="00050253" w14:paraId="3D8680E6" w14:textId="77777777" w:rsidTr="00791AEA">
        <w:tc>
          <w:tcPr>
            <w:tcW w:w="1559" w:type="dxa"/>
          </w:tcPr>
          <w:p w14:paraId="185DA6F7" w14:textId="77777777" w:rsidR="000718D3" w:rsidRPr="00757DD5" w:rsidRDefault="000718D3" w:rsidP="00791AEA">
            <w:r w:rsidRPr="00757DD5">
              <w:t>2007/08</w:t>
            </w:r>
          </w:p>
        </w:tc>
        <w:tc>
          <w:tcPr>
            <w:cnfStyle w:val="000010000000" w:firstRow="0" w:lastRow="0" w:firstColumn="0" w:lastColumn="0" w:oddVBand="1" w:evenVBand="0" w:oddHBand="0" w:evenHBand="0" w:firstRowFirstColumn="0" w:firstRowLastColumn="0" w:lastRowFirstColumn="0" w:lastRowLastColumn="0"/>
            <w:tcW w:w="1559" w:type="dxa"/>
          </w:tcPr>
          <w:p w14:paraId="5BDB0C53" w14:textId="77777777" w:rsidR="000718D3" w:rsidRPr="00757DD5" w:rsidRDefault="000718D3" w:rsidP="00791AEA">
            <w:r w:rsidRPr="00757DD5">
              <w:t>26.27%</w:t>
            </w:r>
          </w:p>
        </w:tc>
        <w:tc>
          <w:tcPr>
            <w:tcW w:w="1559" w:type="dxa"/>
          </w:tcPr>
          <w:p w14:paraId="7D74A7A3" w14:textId="77777777" w:rsidR="000718D3" w:rsidRPr="00757DD5" w:rsidRDefault="000718D3" w:rsidP="00791AEA">
            <w:pPr>
              <w:cnfStyle w:val="000000000000" w:firstRow="0" w:lastRow="0" w:firstColumn="0" w:lastColumn="0" w:oddVBand="0" w:evenVBand="0" w:oddHBand="0" w:evenHBand="0" w:firstRowFirstColumn="0" w:firstRowLastColumn="0" w:lastRowFirstColumn="0" w:lastRowLastColumn="0"/>
            </w:pPr>
            <w:r w:rsidRPr="00757DD5">
              <w:t>27.59%</w:t>
            </w:r>
          </w:p>
        </w:tc>
        <w:tc>
          <w:tcPr>
            <w:cnfStyle w:val="000010000000" w:firstRow="0" w:lastRow="0" w:firstColumn="0" w:lastColumn="0" w:oddVBand="1" w:evenVBand="0" w:oddHBand="0" w:evenHBand="0" w:firstRowFirstColumn="0" w:firstRowLastColumn="0" w:lastRowFirstColumn="0" w:lastRowLastColumn="0"/>
            <w:tcW w:w="1559" w:type="dxa"/>
          </w:tcPr>
          <w:p w14:paraId="7F501019" w14:textId="77777777" w:rsidR="000718D3" w:rsidRPr="00757DD5" w:rsidRDefault="000718D3" w:rsidP="00791AEA">
            <w:r w:rsidRPr="00757DD5">
              <w:t>29.19%</w:t>
            </w:r>
          </w:p>
        </w:tc>
      </w:tr>
      <w:tr w:rsidR="000718D3" w:rsidRPr="00050253" w14:paraId="2741B4B4" w14:textId="77777777" w:rsidTr="00791AEA">
        <w:tc>
          <w:tcPr>
            <w:tcW w:w="1559" w:type="dxa"/>
          </w:tcPr>
          <w:p w14:paraId="6C0BCE18" w14:textId="77777777" w:rsidR="000718D3" w:rsidRPr="00757DD5" w:rsidRDefault="000718D3" w:rsidP="00791AEA">
            <w:r w:rsidRPr="00757DD5">
              <w:t>2008/09</w:t>
            </w:r>
          </w:p>
        </w:tc>
        <w:tc>
          <w:tcPr>
            <w:cnfStyle w:val="000010000000" w:firstRow="0" w:lastRow="0" w:firstColumn="0" w:lastColumn="0" w:oddVBand="1" w:evenVBand="0" w:oddHBand="0" w:evenHBand="0" w:firstRowFirstColumn="0" w:firstRowLastColumn="0" w:lastRowFirstColumn="0" w:lastRowLastColumn="0"/>
            <w:tcW w:w="1559" w:type="dxa"/>
          </w:tcPr>
          <w:p w14:paraId="1BEE670E" w14:textId="77777777" w:rsidR="000718D3" w:rsidRPr="00757DD5" w:rsidRDefault="000718D3" w:rsidP="00791AEA">
            <w:r w:rsidRPr="00757DD5">
              <w:t>25.95%</w:t>
            </w:r>
          </w:p>
        </w:tc>
        <w:tc>
          <w:tcPr>
            <w:tcW w:w="1559" w:type="dxa"/>
          </w:tcPr>
          <w:p w14:paraId="23F45323" w14:textId="77777777" w:rsidR="000718D3" w:rsidRPr="00757DD5" w:rsidRDefault="000718D3" w:rsidP="00791AEA">
            <w:pPr>
              <w:cnfStyle w:val="000000000000" w:firstRow="0" w:lastRow="0" w:firstColumn="0" w:lastColumn="0" w:oddVBand="0" w:evenVBand="0" w:oddHBand="0" w:evenHBand="0" w:firstRowFirstColumn="0" w:firstRowLastColumn="0" w:lastRowFirstColumn="0" w:lastRowLastColumn="0"/>
            </w:pPr>
            <w:r w:rsidRPr="00757DD5">
              <w:t>27.21%</w:t>
            </w:r>
          </w:p>
        </w:tc>
        <w:tc>
          <w:tcPr>
            <w:cnfStyle w:val="000010000000" w:firstRow="0" w:lastRow="0" w:firstColumn="0" w:lastColumn="0" w:oddVBand="1" w:evenVBand="0" w:oddHBand="0" w:evenHBand="0" w:firstRowFirstColumn="0" w:firstRowLastColumn="0" w:lastRowFirstColumn="0" w:lastRowLastColumn="0"/>
            <w:tcW w:w="1559" w:type="dxa"/>
          </w:tcPr>
          <w:p w14:paraId="6F263164" w14:textId="77777777" w:rsidR="000718D3" w:rsidRPr="00757DD5" w:rsidRDefault="000718D3" w:rsidP="00791AEA">
            <w:r w:rsidRPr="00757DD5">
              <w:t>28.42%</w:t>
            </w:r>
          </w:p>
        </w:tc>
      </w:tr>
      <w:tr w:rsidR="000718D3" w:rsidRPr="00050253" w14:paraId="6F4A7728" w14:textId="77777777" w:rsidTr="00791AEA">
        <w:tc>
          <w:tcPr>
            <w:tcW w:w="1559" w:type="dxa"/>
          </w:tcPr>
          <w:p w14:paraId="1EBE1C1C" w14:textId="77777777" w:rsidR="000718D3" w:rsidRPr="00757DD5" w:rsidRDefault="000718D3" w:rsidP="00791AEA">
            <w:r w:rsidRPr="00757DD5">
              <w:t>2009/10</w:t>
            </w:r>
          </w:p>
        </w:tc>
        <w:tc>
          <w:tcPr>
            <w:cnfStyle w:val="000010000000" w:firstRow="0" w:lastRow="0" w:firstColumn="0" w:lastColumn="0" w:oddVBand="1" w:evenVBand="0" w:oddHBand="0" w:evenHBand="0" w:firstRowFirstColumn="0" w:firstRowLastColumn="0" w:lastRowFirstColumn="0" w:lastRowLastColumn="0"/>
            <w:tcW w:w="1559" w:type="dxa"/>
          </w:tcPr>
          <w:p w14:paraId="7E4912EB" w14:textId="77777777" w:rsidR="000718D3" w:rsidRPr="00757DD5" w:rsidRDefault="000718D3" w:rsidP="00791AEA">
            <w:r w:rsidRPr="00757DD5">
              <w:t>26.87%</w:t>
            </w:r>
          </w:p>
        </w:tc>
        <w:tc>
          <w:tcPr>
            <w:tcW w:w="1559" w:type="dxa"/>
          </w:tcPr>
          <w:p w14:paraId="5467BCC7" w14:textId="77777777" w:rsidR="000718D3" w:rsidRPr="00757DD5" w:rsidRDefault="000718D3" w:rsidP="00791AEA">
            <w:pPr>
              <w:cnfStyle w:val="000000000000" w:firstRow="0" w:lastRow="0" w:firstColumn="0" w:lastColumn="0" w:oddVBand="0" w:evenVBand="0" w:oddHBand="0" w:evenHBand="0" w:firstRowFirstColumn="0" w:firstRowLastColumn="0" w:lastRowFirstColumn="0" w:lastRowLastColumn="0"/>
            </w:pPr>
            <w:r w:rsidRPr="00757DD5">
              <w:t>27.16%</w:t>
            </w:r>
          </w:p>
        </w:tc>
        <w:tc>
          <w:tcPr>
            <w:cnfStyle w:val="000010000000" w:firstRow="0" w:lastRow="0" w:firstColumn="0" w:lastColumn="0" w:oddVBand="1" w:evenVBand="0" w:oddHBand="0" w:evenHBand="0" w:firstRowFirstColumn="0" w:firstRowLastColumn="0" w:lastRowFirstColumn="0" w:lastRowLastColumn="0"/>
            <w:tcW w:w="1559" w:type="dxa"/>
          </w:tcPr>
          <w:p w14:paraId="2AC1FE6D" w14:textId="77777777" w:rsidR="000718D3" w:rsidRPr="00757DD5" w:rsidRDefault="000718D3" w:rsidP="00791AEA">
            <w:r w:rsidRPr="00757DD5">
              <w:t>28.62%</w:t>
            </w:r>
          </w:p>
        </w:tc>
      </w:tr>
      <w:tr w:rsidR="000718D3" w:rsidRPr="00050253" w14:paraId="5A2540BE" w14:textId="77777777" w:rsidTr="00791AEA">
        <w:tc>
          <w:tcPr>
            <w:tcW w:w="1559" w:type="dxa"/>
          </w:tcPr>
          <w:p w14:paraId="16CA3863" w14:textId="77777777" w:rsidR="000718D3" w:rsidRPr="00757DD5" w:rsidRDefault="000718D3" w:rsidP="00791AEA">
            <w:r w:rsidRPr="00757DD5">
              <w:t>2010/11</w:t>
            </w:r>
          </w:p>
        </w:tc>
        <w:tc>
          <w:tcPr>
            <w:cnfStyle w:val="000010000000" w:firstRow="0" w:lastRow="0" w:firstColumn="0" w:lastColumn="0" w:oddVBand="1" w:evenVBand="0" w:oddHBand="0" w:evenHBand="0" w:firstRowFirstColumn="0" w:firstRowLastColumn="0" w:lastRowFirstColumn="0" w:lastRowLastColumn="0"/>
            <w:tcW w:w="1559" w:type="dxa"/>
          </w:tcPr>
          <w:p w14:paraId="66E1F55F" w14:textId="77777777" w:rsidR="000718D3" w:rsidRPr="00757DD5" w:rsidRDefault="000718D3" w:rsidP="00791AEA">
            <w:r w:rsidRPr="00757DD5">
              <w:t>26.22%</w:t>
            </w:r>
          </w:p>
        </w:tc>
        <w:tc>
          <w:tcPr>
            <w:tcW w:w="1559" w:type="dxa"/>
          </w:tcPr>
          <w:p w14:paraId="058F1B53" w14:textId="77777777" w:rsidR="000718D3" w:rsidRPr="00757DD5" w:rsidRDefault="000718D3" w:rsidP="00791AEA">
            <w:pPr>
              <w:cnfStyle w:val="000000000000" w:firstRow="0" w:lastRow="0" w:firstColumn="0" w:lastColumn="0" w:oddVBand="0" w:evenVBand="0" w:oddHBand="0" w:evenHBand="0" w:firstRowFirstColumn="0" w:firstRowLastColumn="0" w:lastRowFirstColumn="0" w:lastRowLastColumn="0"/>
            </w:pPr>
            <w:r w:rsidRPr="00757DD5">
              <w:t>27.20%</w:t>
            </w:r>
          </w:p>
        </w:tc>
        <w:tc>
          <w:tcPr>
            <w:cnfStyle w:val="000010000000" w:firstRow="0" w:lastRow="0" w:firstColumn="0" w:lastColumn="0" w:oddVBand="1" w:evenVBand="0" w:oddHBand="0" w:evenHBand="0" w:firstRowFirstColumn="0" w:firstRowLastColumn="0" w:lastRowFirstColumn="0" w:lastRowLastColumn="0"/>
            <w:tcW w:w="1559" w:type="dxa"/>
          </w:tcPr>
          <w:p w14:paraId="5E180283" w14:textId="77777777" w:rsidR="000718D3" w:rsidRPr="00757DD5" w:rsidRDefault="000718D3" w:rsidP="00791AEA">
            <w:r w:rsidRPr="00757DD5">
              <w:t>27.68%</w:t>
            </w:r>
          </w:p>
        </w:tc>
      </w:tr>
      <w:tr w:rsidR="000718D3" w:rsidRPr="00050253" w14:paraId="1820AAB7" w14:textId="77777777" w:rsidTr="00791AEA">
        <w:tc>
          <w:tcPr>
            <w:tcW w:w="1559" w:type="dxa"/>
          </w:tcPr>
          <w:p w14:paraId="62319B1A" w14:textId="77777777" w:rsidR="000718D3" w:rsidRPr="00757DD5" w:rsidRDefault="000718D3" w:rsidP="00791AEA">
            <w:r w:rsidRPr="00757DD5">
              <w:t>2011/12</w:t>
            </w:r>
          </w:p>
        </w:tc>
        <w:tc>
          <w:tcPr>
            <w:cnfStyle w:val="000010000000" w:firstRow="0" w:lastRow="0" w:firstColumn="0" w:lastColumn="0" w:oddVBand="1" w:evenVBand="0" w:oddHBand="0" w:evenHBand="0" w:firstRowFirstColumn="0" w:firstRowLastColumn="0" w:lastRowFirstColumn="0" w:lastRowLastColumn="0"/>
            <w:tcW w:w="1559" w:type="dxa"/>
          </w:tcPr>
          <w:p w14:paraId="24182BBC" w14:textId="77777777" w:rsidR="000718D3" w:rsidRPr="00757DD5" w:rsidRDefault="000718D3" w:rsidP="00791AEA">
            <w:r w:rsidRPr="00757DD5">
              <w:t>25.24%</w:t>
            </w:r>
          </w:p>
        </w:tc>
        <w:tc>
          <w:tcPr>
            <w:tcW w:w="1559" w:type="dxa"/>
          </w:tcPr>
          <w:p w14:paraId="4E52855E" w14:textId="77777777" w:rsidR="000718D3" w:rsidRPr="00757DD5" w:rsidRDefault="000718D3" w:rsidP="00791AEA">
            <w:pPr>
              <w:cnfStyle w:val="000000000000" w:firstRow="0" w:lastRow="0" w:firstColumn="0" w:lastColumn="0" w:oddVBand="0" w:evenVBand="0" w:oddHBand="0" w:evenHBand="0" w:firstRowFirstColumn="0" w:firstRowLastColumn="0" w:lastRowFirstColumn="0" w:lastRowLastColumn="0"/>
            </w:pPr>
            <w:r w:rsidRPr="00757DD5">
              <w:t>28.28%</w:t>
            </w:r>
          </w:p>
        </w:tc>
        <w:tc>
          <w:tcPr>
            <w:cnfStyle w:val="000010000000" w:firstRow="0" w:lastRow="0" w:firstColumn="0" w:lastColumn="0" w:oddVBand="1" w:evenVBand="0" w:oddHBand="0" w:evenHBand="0" w:firstRowFirstColumn="0" w:firstRowLastColumn="0" w:lastRowFirstColumn="0" w:lastRowLastColumn="0"/>
            <w:tcW w:w="1559" w:type="dxa"/>
          </w:tcPr>
          <w:p w14:paraId="4ED33838" w14:textId="77777777" w:rsidR="000718D3" w:rsidRPr="00757DD5" w:rsidRDefault="000718D3" w:rsidP="00791AEA">
            <w:r w:rsidRPr="00757DD5">
              <w:t>28.05%</w:t>
            </w:r>
          </w:p>
        </w:tc>
      </w:tr>
      <w:tr w:rsidR="000718D3" w:rsidRPr="00050253" w14:paraId="22371EE2" w14:textId="77777777" w:rsidTr="00791AEA">
        <w:tc>
          <w:tcPr>
            <w:tcW w:w="1559" w:type="dxa"/>
          </w:tcPr>
          <w:p w14:paraId="3841F750" w14:textId="77777777" w:rsidR="000718D3" w:rsidRPr="00757DD5" w:rsidRDefault="000718D3" w:rsidP="00791AEA">
            <w:r w:rsidRPr="00757DD5">
              <w:t>2012/13</w:t>
            </w:r>
          </w:p>
        </w:tc>
        <w:tc>
          <w:tcPr>
            <w:cnfStyle w:val="000010000000" w:firstRow="0" w:lastRow="0" w:firstColumn="0" w:lastColumn="0" w:oddVBand="1" w:evenVBand="0" w:oddHBand="0" w:evenHBand="0" w:firstRowFirstColumn="0" w:firstRowLastColumn="0" w:lastRowFirstColumn="0" w:lastRowLastColumn="0"/>
            <w:tcW w:w="1559" w:type="dxa"/>
          </w:tcPr>
          <w:p w14:paraId="55B980D1" w14:textId="77777777" w:rsidR="000718D3" w:rsidRPr="00757DD5" w:rsidRDefault="000718D3" w:rsidP="00791AEA">
            <w:r w:rsidRPr="00757DD5">
              <w:t>25.04%</w:t>
            </w:r>
          </w:p>
        </w:tc>
        <w:tc>
          <w:tcPr>
            <w:tcW w:w="1559" w:type="dxa"/>
          </w:tcPr>
          <w:p w14:paraId="488FBA13" w14:textId="77777777" w:rsidR="000718D3" w:rsidRPr="00757DD5" w:rsidRDefault="000718D3" w:rsidP="00791AEA">
            <w:pPr>
              <w:cnfStyle w:val="000000000000" w:firstRow="0" w:lastRow="0" w:firstColumn="0" w:lastColumn="0" w:oddVBand="0" w:evenVBand="0" w:oddHBand="0" w:evenHBand="0" w:firstRowFirstColumn="0" w:firstRowLastColumn="0" w:lastRowFirstColumn="0" w:lastRowLastColumn="0"/>
            </w:pPr>
            <w:r w:rsidRPr="00757DD5">
              <w:t>28.15%</w:t>
            </w:r>
          </w:p>
        </w:tc>
        <w:tc>
          <w:tcPr>
            <w:cnfStyle w:val="000010000000" w:firstRow="0" w:lastRow="0" w:firstColumn="0" w:lastColumn="0" w:oddVBand="1" w:evenVBand="0" w:oddHBand="0" w:evenHBand="0" w:firstRowFirstColumn="0" w:firstRowLastColumn="0" w:lastRowFirstColumn="0" w:lastRowLastColumn="0"/>
            <w:tcW w:w="1559" w:type="dxa"/>
          </w:tcPr>
          <w:p w14:paraId="4CE2572C" w14:textId="77777777" w:rsidR="000718D3" w:rsidRPr="00757DD5" w:rsidRDefault="000718D3" w:rsidP="00791AEA">
            <w:r w:rsidRPr="00757DD5">
              <w:t>27.80%</w:t>
            </w:r>
          </w:p>
        </w:tc>
      </w:tr>
      <w:tr w:rsidR="000718D3" w:rsidRPr="00050253" w14:paraId="6A6CC4CB" w14:textId="77777777" w:rsidTr="00791AEA">
        <w:tc>
          <w:tcPr>
            <w:tcW w:w="1559" w:type="dxa"/>
          </w:tcPr>
          <w:p w14:paraId="37A88D28" w14:textId="77777777" w:rsidR="000718D3" w:rsidRPr="00757DD5" w:rsidRDefault="000718D3" w:rsidP="00791AEA">
            <w:r w:rsidRPr="00757DD5">
              <w:t>2013/14</w:t>
            </w:r>
          </w:p>
        </w:tc>
        <w:tc>
          <w:tcPr>
            <w:cnfStyle w:val="000010000000" w:firstRow="0" w:lastRow="0" w:firstColumn="0" w:lastColumn="0" w:oddVBand="1" w:evenVBand="0" w:oddHBand="0" w:evenHBand="0" w:firstRowFirstColumn="0" w:firstRowLastColumn="0" w:lastRowFirstColumn="0" w:lastRowLastColumn="0"/>
            <w:tcW w:w="1559" w:type="dxa"/>
          </w:tcPr>
          <w:p w14:paraId="583C1531" w14:textId="77777777" w:rsidR="000718D3" w:rsidRPr="00757DD5" w:rsidRDefault="000718D3" w:rsidP="00791AEA">
            <w:r w:rsidRPr="00757DD5">
              <w:t>25.76%</w:t>
            </w:r>
          </w:p>
        </w:tc>
        <w:tc>
          <w:tcPr>
            <w:tcW w:w="1559" w:type="dxa"/>
          </w:tcPr>
          <w:p w14:paraId="1405D497" w14:textId="77777777" w:rsidR="000718D3" w:rsidRPr="00757DD5" w:rsidRDefault="000718D3" w:rsidP="00791AEA">
            <w:pPr>
              <w:cnfStyle w:val="000000000000" w:firstRow="0" w:lastRow="0" w:firstColumn="0" w:lastColumn="0" w:oddVBand="0" w:evenVBand="0" w:oddHBand="0" w:evenHBand="0" w:firstRowFirstColumn="0" w:firstRowLastColumn="0" w:lastRowFirstColumn="0" w:lastRowLastColumn="0"/>
            </w:pPr>
            <w:r w:rsidRPr="00757DD5">
              <w:t>28.54%</w:t>
            </w:r>
          </w:p>
        </w:tc>
        <w:tc>
          <w:tcPr>
            <w:cnfStyle w:val="000010000000" w:firstRow="0" w:lastRow="0" w:firstColumn="0" w:lastColumn="0" w:oddVBand="1" w:evenVBand="0" w:oddHBand="0" w:evenHBand="0" w:firstRowFirstColumn="0" w:firstRowLastColumn="0" w:lastRowFirstColumn="0" w:lastRowLastColumn="0"/>
            <w:tcW w:w="1559" w:type="dxa"/>
          </w:tcPr>
          <w:p w14:paraId="3EB96BE3" w14:textId="77777777" w:rsidR="000718D3" w:rsidRPr="00757DD5" w:rsidRDefault="000718D3" w:rsidP="00791AEA">
            <w:r w:rsidRPr="00757DD5">
              <w:t>27.74%</w:t>
            </w:r>
          </w:p>
        </w:tc>
      </w:tr>
      <w:tr w:rsidR="000718D3" w:rsidRPr="00050253" w14:paraId="0002A0DD" w14:textId="77777777" w:rsidTr="00791AEA">
        <w:tc>
          <w:tcPr>
            <w:tcW w:w="1559" w:type="dxa"/>
          </w:tcPr>
          <w:p w14:paraId="69C69E13" w14:textId="77777777" w:rsidR="000718D3" w:rsidRPr="00757DD5" w:rsidRDefault="000718D3" w:rsidP="00791AEA">
            <w:r w:rsidRPr="00757DD5">
              <w:t>2014/15</w:t>
            </w:r>
          </w:p>
        </w:tc>
        <w:tc>
          <w:tcPr>
            <w:cnfStyle w:val="000010000000" w:firstRow="0" w:lastRow="0" w:firstColumn="0" w:lastColumn="0" w:oddVBand="1" w:evenVBand="0" w:oddHBand="0" w:evenHBand="0" w:firstRowFirstColumn="0" w:firstRowLastColumn="0" w:lastRowFirstColumn="0" w:lastRowLastColumn="0"/>
            <w:tcW w:w="1559" w:type="dxa"/>
          </w:tcPr>
          <w:p w14:paraId="03AB2230" w14:textId="77777777" w:rsidR="000718D3" w:rsidRPr="00757DD5" w:rsidRDefault="000718D3" w:rsidP="00791AEA">
            <w:r w:rsidRPr="00757DD5">
              <w:t>25.44%</w:t>
            </w:r>
          </w:p>
        </w:tc>
        <w:tc>
          <w:tcPr>
            <w:tcW w:w="1559" w:type="dxa"/>
          </w:tcPr>
          <w:p w14:paraId="574B3266" w14:textId="77777777" w:rsidR="000718D3" w:rsidRPr="00757DD5" w:rsidRDefault="000718D3" w:rsidP="00791AEA">
            <w:pPr>
              <w:cnfStyle w:val="000000000000" w:firstRow="0" w:lastRow="0" w:firstColumn="0" w:lastColumn="0" w:oddVBand="0" w:evenVBand="0" w:oddHBand="0" w:evenHBand="0" w:firstRowFirstColumn="0" w:firstRowLastColumn="0" w:lastRowFirstColumn="0" w:lastRowLastColumn="0"/>
            </w:pPr>
            <w:r w:rsidRPr="00757DD5">
              <w:t>29.15%</w:t>
            </w:r>
          </w:p>
        </w:tc>
        <w:tc>
          <w:tcPr>
            <w:cnfStyle w:val="000010000000" w:firstRow="0" w:lastRow="0" w:firstColumn="0" w:lastColumn="0" w:oddVBand="1" w:evenVBand="0" w:oddHBand="0" w:evenHBand="0" w:firstRowFirstColumn="0" w:firstRowLastColumn="0" w:lastRowFirstColumn="0" w:lastRowLastColumn="0"/>
            <w:tcW w:w="1559" w:type="dxa"/>
          </w:tcPr>
          <w:p w14:paraId="7AD95E46" w14:textId="77777777" w:rsidR="000718D3" w:rsidRPr="00757DD5" w:rsidRDefault="000718D3" w:rsidP="00791AEA">
            <w:r w:rsidRPr="00757DD5">
              <w:t>28.25%</w:t>
            </w:r>
          </w:p>
        </w:tc>
      </w:tr>
      <w:tr w:rsidR="000718D3" w:rsidRPr="00050253" w14:paraId="5FB75CD8" w14:textId="77777777" w:rsidTr="00791AEA">
        <w:tc>
          <w:tcPr>
            <w:tcW w:w="1559" w:type="dxa"/>
          </w:tcPr>
          <w:p w14:paraId="7FE1F474" w14:textId="77777777" w:rsidR="000718D3" w:rsidRPr="00910668" w:rsidRDefault="000718D3" w:rsidP="00791AEA">
            <w:r w:rsidRPr="00910668">
              <w:t>2015/16</w:t>
            </w:r>
          </w:p>
        </w:tc>
        <w:tc>
          <w:tcPr>
            <w:cnfStyle w:val="000010000000" w:firstRow="0" w:lastRow="0" w:firstColumn="0" w:lastColumn="0" w:oddVBand="1" w:evenVBand="0" w:oddHBand="0" w:evenHBand="0" w:firstRowFirstColumn="0" w:firstRowLastColumn="0" w:lastRowFirstColumn="0" w:lastRowLastColumn="0"/>
            <w:tcW w:w="1559" w:type="dxa"/>
          </w:tcPr>
          <w:p w14:paraId="1A6C12DC" w14:textId="77777777" w:rsidR="000718D3" w:rsidRPr="00910668" w:rsidRDefault="000718D3" w:rsidP="00791AEA">
            <w:r w:rsidRPr="00910668">
              <w:t>23.90%</w:t>
            </w:r>
          </w:p>
        </w:tc>
        <w:tc>
          <w:tcPr>
            <w:tcW w:w="1559" w:type="dxa"/>
          </w:tcPr>
          <w:p w14:paraId="3F1C47FB" w14:textId="77777777" w:rsidR="000718D3" w:rsidRPr="00910668" w:rsidRDefault="000718D3" w:rsidP="00791AEA">
            <w:pPr>
              <w:cnfStyle w:val="000000000000" w:firstRow="0" w:lastRow="0" w:firstColumn="0" w:lastColumn="0" w:oddVBand="0" w:evenVBand="0" w:oddHBand="0" w:evenHBand="0" w:firstRowFirstColumn="0" w:firstRowLastColumn="0" w:lastRowFirstColumn="0" w:lastRowLastColumn="0"/>
            </w:pPr>
            <w:r w:rsidRPr="00910668">
              <w:t>29.90%</w:t>
            </w:r>
          </w:p>
        </w:tc>
        <w:tc>
          <w:tcPr>
            <w:cnfStyle w:val="000010000000" w:firstRow="0" w:lastRow="0" w:firstColumn="0" w:lastColumn="0" w:oddVBand="1" w:evenVBand="0" w:oddHBand="0" w:evenHBand="0" w:firstRowFirstColumn="0" w:firstRowLastColumn="0" w:lastRowFirstColumn="0" w:lastRowLastColumn="0"/>
            <w:tcW w:w="1559" w:type="dxa"/>
          </w:tcPr>
          <w:p w14:paraId="3B023BA8" w14:textId="77777777" w:rsidR="000718D3" w:rsidRDefault="000718D3" w:rsidP="00791AEA">
            <w:r w:rsidRPr="00910668">
              <w:t>29.20%</w:t>
            </w:r>
          </w:p>
        </w:tc>
      </w:tr>
      <w:tr w:rsidR="00A16447" w:rsidRPr="00050253" w14:paraId="7BEA8DB3" w14:textId="77777777" w:rsidTr="00791AEA">
        <w:tc>
          <w:tcPr>
            <w:tcW w:w="1559" w:type="dxa"/>
          </w:tcPr>
          <w:p w14:paraId="1871A8E2" w14:textId="77777777" w:rsidR="00A16447" w:rsidRPr="00910668" w:rsidRDefault="009B7960" w:rsidP="00791AEA">
            <w:r>
              <w:t>2016/</w:t>
            </w:r>
            <w:r w:rsidR="00A16447">
              <w:t>17</w:t>
            </w:r>
          </w:p>
        </w:tc>
        <w:tc>
          <w:tcPr>
            <w:cnfStyle w:val="000010000000" w:firstRow="0" w:lastRow="0" w:firstColumn="0" w:lastColumn="0" w:oddVBand="1" w:evenVBand="0" w:oddHBand="0" w:evenHBand="0" w:firstRowFirstColumn="0" w:firstRowLastColumn="0" w:lastRowFirstColumn="0" w:lastRowLastColumn="0"/>
            <w:tcW w:w="1559" w:type="dxa"/>
          </w:tcPr>
          <w:p w14:paraId="5B68947B" w14:textId="081D4851" w:rsidR="00A16447" w:rsidRPr="00910668" w:rsidRDefault="00AE16DC" w:rsidP="00791AEA">
            <w:r>
              <w:t>28.05</w:t>
            </w:r>
            <w:r w:rsidR="00A16447">
              <w:t>%</w:t>
            </w:r>
          </w:p>
        </w:tc>
        <w:tc>
          <w:tcPr>
            <w:tcW w:w="1559" w:type="dxa"/>
          </w:tcPr>
          <w:p w14:paraId="56151D3B" w14:textId="2065A320" w:rsidR="00A16447" w:rsidRPr="00910668" w:rsidRDefault="00AE16DC" w:rsidP="00791AEA">
            <w:pPr>
              <w:cnfStyle w:val="000000000000" w:firstRow="0" w:lastRow="0" w:firstColumn="0" w:lastColumn="0" w:oddVBand="0" w:evenVBand="0" w:oddHBand="0" w:evenHBand="0" w:firstRowFirstColumn="0" w:firstRowLastColumn="0" w:lastRowFirstColumn="0" w:lastRowLastColumn="0"/>
            </w:pPr>
            <w:r>
              <w:t>30.60</w:t>
            </w:r>
            <w:r w:rsidR="00A16447">
              <w:t>%</w:t>
            </w:r>
          </w:p>
        </w:tc>
        <w:tc>
          <w:tcPr>
            <w:cnfStyle w:val="000010000000" w:firstRow="0" w:lastRow="0" w:firstColumn="0" w:lastColumn="0" w:oddVBand="1" w:evenVBand="0" w:oddHBand="0" w:evenHBand="0" w:firstRowFirstColumn="0" w:firstRowLastColumn="0" w:lastRowFirstColumn="0" w:lastRowLastColumn="0"/>
            <w:tcW w:w="1559" w:type="dxa"/>
          </w:tcPr>
          <w:p w14:paraId="030F4584" w14:textId="6AB54FA5" w:rsidR="00A16447" w:rsidRPr="00910668" w:rsidRDefault="00B61E8D" w:rsidP="00791AEA">
            <w:r>
              <w:t>28.69</w:t>
            </w:r>
            <w:r w:rsidR="00F62567">
              <w:t>%</w:t>
            </w:r>
          </w:p>
        </w:tc>
      </w:tr>
      <w:tr w:rsidR="00BA35C3" w:rsidRPr="00050253" w14:paraId="7201FA9F" w14:textId="77777777" w:rsidTr="00791AEA">
        <w:tc>
          <w:tcPr>
            <w:tcW w:w="1559" w:type="dxa"/>
          </w:tcPr>
          <w:p w14:paraId="066AE55E" w14:textId="722CD1C7" w:rsidR="00BA35C3" w:rsidRDefault="00B076C4" w:rsidP="00791AEA">
            <w:r>
              <w:t>2017/</w:t>
            </w:r>
            <w:r w:rsidR="00BA35C3">
              <w:t>18</w:t>
            </w:r>
          </w:p>
        </w:tc>
        <w:tc>
          <w:tcPr>
            <w:cnfStyle w:val="000010000000" w:firstRow="0" w:lastRow="0" w:firstColumn="0" w:lastColumn="0" w:oddVBand="1" w:evenVBand="0" w:oddHBand="0" w:evenHBand="0" w:firstRowFirstColumn="0" w:firstRowLastColumn="0" w:lastRowFirstColumn="0" w:lastRowLastColumn="0"/>
            <w:tcW w:w="1559" w:type="dxa"/>
          </w:tcPr>
          <w:p w14:paraId="4DEDF275" w14:textId="23854BDC" w:rsidR="00BA35C3" w:rsidRDefault="00D07576" w:rsidP="00791AEA">
            <w:r>
              <w:t>25.9</w:t>
            </w:r>
            <w:r w:rsidR="00BA35C3">
              <w:t>0%</w:t>
            </w:r>
          </w:p>
        </w:tc>
        <w:tc>
          <w:tcPr>
            <w:tcW w:w="1559" w:type="dxa"/>
          </w:tcPr>
          <w:p w14:paraId="3C7B4BE5" w14:textId="0F2E6DFC" w:rsidR="00BA35C3" w:rsidRDefault="00D07576" w:rsidP="00791AEA">
            <w:pPr>
              <w:cnfStyle w:val="000000000000" w:firstRow="0" w:lastRow="0" w:firstColumn="0" w:lastColumn="0" w:oddVBand="0" w:evenVBand="0" w:oddHBand="0" w:evenHBand="0" w:firstRowFirstColumn="0" w:firstRowLastColumn="0" w:lastRowFirstColumn="0" w:lastRowLastColumn="0"/>
            </w:pPr>
            <w:r>
              <w:t>30.57</w:t>
            </w:r>
            <w:r w:rsidR="00BA35C3">
              <w:t>%</w:t>
            </w:r>
          </w:p>
        </w:tc>
        <w:tc>
          <w:tcPr>
            <w:cnfStyle w:val="000010000000" w:firstRow="0" w:lastRow="0" w:firstColumn="0" w:lastColumn="0" w:oddVBand="1" w:evenVBand="0" w:oddHBand="0" w:evenHBand="0" w:firstRowFirstColumn="0" w:firstRowLastColumn="0" w:lastRowFirstColumn="0" w:lastRowLastColumn="0"/>
            <w:tcW w:w="1559" w:type="dxa"/>
          </w:tcPr>
          <w:p w14:paraId="611B5E6A" w14:textId="2D3915B7" w:rsidR="00BA35C3" w:rsidRDefault="00BA35C3" w:rsidP="00791AEA">
            <w:r>
              <w:t>28.66%</w:t>
            </w:r>
          </w:p>
        </w:tc>
      </w:tr>
      <w:tr w:rsidR="00DF098D" w:rsidRPr="00050253" w14:paraId="5301A632" w14:textId="77777777" w:rsidTr="00791AEA">
        <w:tc>
          <w:tcPr>
            <w:tcW w:w="1559" w:type="dxa"/>
          </w:tcPr>
          <w:p w14:paraId="02DD16E5" w14:textId="539BA0D5" w:rsidR="00DF098D" w:rsidRDefault="00DF098D" w:rsidP="00791AEA">
            <w:r>
              <w:t>2018/19</w:t>
            </w:r>
          </w:p>
        </w:tc>
        <w:tc>
          <w:tcPr>
            <w:cnfStyle w:val="000010000000" w:firstRow="0" w:lastRow="0" w:firstColumn="0" w:lastColumn="0" w:oddVBand="1" w:evenVBand="0" w:oddHBand="0" w:evenHBand="0" w:firstRowFirstColumn="0" w:firstRowLastColumn="0" w:lastRowFirstColumn="0" w:lastRowLastColumn="0"/>
            <w:tcW w:w="1559" w:type="dxa"/>
          </w:tcPr>
          <w:p w14:paraId="76C4018A" w14:textId="0DB120FA" w:rsidR="00DF098D" w:rsidRDefault="00F1204D" w:rsidP="00791AEA">
            <w:r>
              <w:t>23.03%</w:t>
            </w:r>
          </w:p>
        </w:tc>
        <w:tc>
          <w:tcPr>
            <w:tcW w:w="1559" w:type="dxa"/>
          </w:tcPr>
          <w:p w14:paraId="587C0DBC" w14:textId="194E3FCB" w:rsidR="00DF098D" w:rsidRDefault="00F1204D" w:rsidP="00791AEA">
            <w:pPr>
              <w:cnfStyle w:val="000000000000" w:firstRow="0" w:lastRow="0" w:firstColumn="0" w:lastColumn="0" w:oddVBand="0" w:evenVBand="0" w:oddHBand="0" w:evenHBand="0" w:firstRowFirstColumn="0" w:firstRowLastColumn="0" w:lastRowFirstColumn="0" w:lastRowLastColumn="0"/>
            </w:pPr>
            <w:r>
              <w:t>29.22%</w:t>
            </w:r>
          </w:p>
        </w:tc>
        <w:tc>
          <w:tcPr>
            <w:cnfStyle w:val="000010000000" w:firstRow="0" w:lastRow="0" w:firstColumn="0" w:lastColumn="0" w:oddVBand="1" w:evenVBand="0" w:oddHBand="0" w:evenHBand="0" w:firstRowFirstColumn="0" w:firstRowLastColumn="0" w:lastRowFirstColumn="0" w:lastRowLastColumn="0"/>
            <w:tcW w:w="1559" w:type="dxa"/>
          </w:tcPr>
          <w:p w14:paraId="2A27C6C8" w14:textId="1162BBC3" w:rsidR="00DF098D" w:rsidRDefault="00F1204D" w:rsidP="00791AEA">
            <w:r>
              <w:t>27.72%</w:t>
            </w:r>
          </w:p>
        </w:tc>
      </w:tr>
      <w:tr w:rsidR="00285774" w:rsidRPr="00050253" w14:paraId="3C3B6917" w14:textId="77777777" w:rsidTr="00791AEA">
        <w:tc>
          <w:tcPr>
            <w:tcW w:w="1559" w:type="dxa"/>
          </w:tcPr>
          <w:p w14:paraId="1CB9BA3A" w14:textId="4989AA87" w:rsidR="00285774" w:rsidRDefault="00285774" w:rsidP="00791AEA">
            <w:r>
              <w:t>2019/20</w:t>
            </w:r>
          </w:p>
        </w:tc>
        <w:tc>
          <w:tcPr>
            <w:cnfStyle w:val="000010000000" w:firstRow="0" w:lastRow="0" w:firstColumn="0" w:lastColumn="0" w:oddVBand="1" w:evenVBand="0" w:oddHBand="0" w:evenHBand="0" w:firstRowFirstColumn="0" w:firstRowLastColumn="0" w:lastRowFirstColumn="0" w:lastRowLastColumn="0"/>
            <w:tcW w:w="1559" w:type="dxa"/>
          </w:tcPr>
          <w:p w14:paraId="1C29F55A" w14:textId="5EEF6197" w:rsidR="00285774" w:rsidRDefault="000C692E" w:rsidP="00791AEA">
            <w:pPr>
              <w:ind w:left="0"/>
            </w:pPr>
            <w:r>
              <w:t xml:space="preserve">  </w:t>
            </w:r>
            <w:r w:rsidR="00747746">
              <w:t>23.72%</w:t>
            </w:r>
          </w:p>
        </w:tc>
        <w:tc>
          <w:tcPr>
            <w:tcW w:w="1559" w:type="dxa"/>
          </w:tcPr>
          <w:p w14:paraId="10B62C9B" w14:textId="56EE3887" w:rsidR="00285774" w:rsidRDefault="000C692E" w:rsidP="00791AEA">
            <w:pPr>
              <w:cnfStyle w:val="000000000000" w:firstRow="0" w:lastRow="0" w:firstColumn="0" w:lastColumn="0" w:oddVBand="0" w:evenVBand="0" w:oddHBand="0" w:evenHBand="0" w:firstRowFirstColumn="0" w:firstRowLastColumn="0" w:lastRowFirstColumn="0" w:lastRowLastColumn="0"/>
            </w:pPr>
            <w:r>
              <w:t>31.98%</w:t>
            </w:r>
          </w:p>
        </w:tc>
        <w:tc>
          <w:tcPr>
            <w:cnfStyle w:val="000010000000" w:firstRow="0" w:lastRow="0" w:firstColumn="0" w:lastColumn="0" w:oddVBand="1" w:evenVBand="0" w:oddHBand="0" w:evenHBand="0" w:firstRowFirstColumn="0" w:firstRowLastColumn="0" w:lastRowFirstColumn="0" w:lastRowLastColumn="0"/>
            <w:tcW w:w="1559" w:type="dxa"/>
          </w:tcPr>
          <w:p w14:paraId="37D9DE8C" w14:textId="7BBDDAC5" w:rsidR="00285774" w:rsidRDefault="003F0E7F" w:rsidP="00791AEA">
            <w:r>
              <w:t>30.80%</w:t>
            </w:r>
          </w:p>
        </w:tc>
      </w:tr>
    </w:tbl>
    <w:p w14:paraId="7227909F" w14:textId="77777777" w:rsidR="00791AEA" w:rsidRDefault="00791AEA" w:rsidP="00BC0FB0">
      <w:pPr>
        <w:pStyle w:val="BodyText"/>
        <w:keepNext/>
        <w:rPr>
          <w:noProof/>
        </w:rPr>
      </w:pPr>
    </w:p>
    <w:p w14:paraId="32872C09" w14:textId="77777777" w:rsidR="00791AEA" w:rsidRPr="00791AEA" w:rsidRDefault="00791AEA" w:rsidP="00791AEA">
      <w:pPr>
        <w:rPr>
          <w:lang w:eastAsia="en-US"/>
        </w:rPr>
      </w:pPr>
    </w:p>
    <w:p w14:paraId="52DCBFB6" w14:textId="77777777" w:rsidR="00791AEA" w:rsidRPr="00791AEA" w:rsidRDefault="00791AEA" w:rsidP="00791AEA">
      <w:pPr>
        <w:rPr>
          <w:lang w:eastAsia="en-US"/>
        </w:rPr>
      </w:pPr>
    </w:p>
    <w:p w14:paraId="76520712" w14:textId="77777777" w:rsidR="00791AEA" w:rsidRPr="00791AEA" w:rsidRDefault="00791AEA" w:rsidP="00791AEA">
      <w:pPr>
        <w:rPr>
          <w:lang w:eastAsia="en-US"/>
        </w:rPr>
      </w:pPr>
    </w:p>
    <w:p w14:paraId="70CA8B90" w14:textId="77777777" w:rsidR="00791AEA" w:rsidRPr="00791AEA" w:rsidRDefault="00791AEA" w:rsidP="00791AEA">
      <w:pPr>
        <w:rPr>
          <w:lang w:eastAsia="en-US"/>
        </w:rPr>
      </w:pPr>
    </w:p>
    <w:p w14:paraId="64EFA50A" w14:textId="77777777" w:rsidR="00791AEA" w:rsidRPr="00791AEA" w:rsidRDefault="00791AEA" w:rsidP="00791AEA">
      <w:pPr>
        <w:rPr>
          <w:lang w:eastAsia="en-US"/>
        </w:rPr>
      </w:pPr>
    </w:p>
    <w:p w14:paraId="5DAC3A44" w14:textId="77777777" w:rsidR="00791AEA" w:rsidRPr="00791AEA" w:rsidRDefault="00791AEA" w:rsidP="00791AEA">
      <w:pPr>
        <w:rPr>
          <w:lang w:eastAsia="en-US"/>
        </w:rPr>
      </w:pPr>
    </w:p>
    <w:p w14:paraId="5AF30508" w14:textId="77777777" w:rsidR="00791AEA" w:rsidRPr="00791AEA" w:rsidRDefault="00791AEA" w:rsidP="00791AEA">
      <w:pPr>
        <w:rPr>
          <w:lang w:eastAsia="en-US"/>
        </w:rPr>
      </w:pPr>
    </w:p>
    <w:p w14:paraId="1668B915" w14:textId="77777777" w:rsidR="00791AEA" w:rsidRPr="00791AEA" w:rsidRDefault="00791AEA" w:rsidP="00791AEA">
      <w:pPr>
        <w:rPr>
          <w:lang w:eastAsia="en-US"/>
        </w:rPr>
      </w:pPr>
    </w:p>
    <w:p w14:paraId="3D43AC09" w14:textId="77777777" w:rsidR="00791AEA" w:rsidRPr="00791AEA" w:rsidRDefault="00791AEA" w:rsidP="00791AEA">
      <w:pPr>
        <w:rPr>
          <w:lang w:eastAsia="en-US"/>
        </w:rPr>
      </w:pPr>
    </w:p>
    <w:p w14:paraId="703427F8" w14:textId="77777777" w:rsidR="00791AEA" w:rsidRPr="00791AEA" w:rsidRDefault="00791AEA" w:rsidP="00791AEA">
      <w:pPr>
        <w:rPr>
          <w:lang w:eastAsia="en-US"/>
        </w:rPr>
      </w:pPr>
    </w:p>
    <w:p w14:paraId="1F318E78" w14:textId="77777777" w:rsidR="00791AEA" w:rsidRPr="00791AEA" w:rsidRDefault="00791AEA" w:rsidP="00791AEA">
      <w:pPr>
        <w:rPr>
          <w:lang w:eastAsia="en-US"/>
        </w:rPr>
      </w:pPr>
    </w:p>
    <w:p w14:paraId="095DB02C" w14:textId="77777777" w:rsidR="00791AEA" w:rsidRPr="00791AEA" w:rsidRDefault="00791AEA" w:rsidP="00791AEA">
      <w:pPr>
        <w:rPr>
          <w:lang w:eastAsia="en-US"/>
        </w:rPr>
      </w:pPr>
    </w:p>
    <w:p w14:paraId="2299DCDD" w14:textId="77777777" w:rsidR="00791AEA" w:rsidRPr="00791AEA" w:rsidRDefault="00791AEA" w:rsidP="00791AEA">
      <w:pPr>
        <w:rPr>
          <w:lang w:eastAsia="en-US"/>
        </w:rPr>
      </w:pPr>
    </w:p>
    <w:p w14:paraId="2E5C5005" w14:textId="77777777" w:rsidR="00791AEA" w:rsidRPr="00791AEA" w:rsidRDefault="00791AEA" w:rsidP="00791AEA">
      <w:pPr>
        <w:rPr>
          <w:lang w:eastAsia="en-US"/>
        </w:rPr>
      </w:pPr>
    </w:p>
    <w:p w14:paraId="31D8BDE2" w14:textId="77777777" w:rsidR="00791AEA" w:rsidRPr="00791AEA" w:rsidRDefault="00791AEA" w:rsidP="00791AEA">
      <w:pPr>
        <w:rPr>
          <w:lang w:eastAsia="en-US"/>
        </w:rPr>
      </w:pPr>
    </w:p>
    <w:p w14:paraId="14EBE502" w14:textId="77777777" w:rsidR="00791AEA" w:rsidRPr="00791AEA" w:rsidRDefault="00791AEA" w:rsidP="00791AEA">
      <w:pPr>
        <w:rPr>
          <w:lang w:eastAsia="en-US"/>
        </w:rPr>
      </w:pPr>
    </w:p>
    <w:p w14:paraId="4FF82853" w14:textId="77777777" w:rsidR="00791AEA" w:rsidRPr="00791AEA" w:rsidRDefault="00791AEA" w:rsidP="00791AEA">
      <w:pPr>
        <w:rPr>
          <w:lang w:eastAsia="en-US"/>
        </w:rPr>
      </w:pPr>
    </w:p>
    <w:p w14:paraId="0DC855BB" w14:textId="77777777" w:rsidR="00791AEA" w:rsidRPr="00791AEA" w:rsidRDefault="00791AEA" w:rsidP="00791AEA">
      <w:pPr>
        <w:rPr>
          <w:lang w:eastAsia="en-US"/>
        </w:rPr>
      </w:pPr>
    </w:p>
    <w:p w14:paraId="28A8BCF9" w14:textId="77777777" w:rsidR="00791AEA" w:rsidRPr="00791AEA" w:rsidRDefault="00791AEA" w:rsidP="00791AEA">
      <w:pPr>
        <w:rPr>
          <w:lang w:eastAsia="en-US"/>
        </w:rPr>
      </w:pPr>
    </w:p>
    <w:p w14:paraId="2FAD2C1D" w14:textId="77777777" w:rsidR="00791AEA" w:rsidRPr="00791AEA" w:rsidRDefault="00791AEA" w:rsidP="00791AEA">
      <w:pPr>
        <w:rPr>
          <w:lang w:eastAsia="en-US"/>
        </w:rPr>
      </w:pPr>
    </w:p>
    <w:p w14:paraId="180683E6" w14:textId="77777777" w:rsidR="00791AEA" w:rsidRPr="00791AEA" w:rsidRDefault="00791AEA" w:rsidP="00791AEA">
      <w:pPr>
        <w:rPr>
          <w:lang w:eastAsia="en-US"/>
        </w:rPr>
      </w:pPr>
    </w:p>
    <w:p w14:paraId="64A5BBBB" w14:textId="77777777" w:rsidR="00791AEA" w:rsidRPr="00791AEA" w:rsidRDefault="00791AEA" w:rsidP="00791AEA">
      <w:pPr>
        <w:rPr>
          <w:lang w:eastAsia="en-US"/>
        </w:rPr>
      </w:pPr>
    </w:p>
    <w:p w14:paraId="73E42A37" w14:textId="77777777" w:rsidR="00791AEA" w:rsidRPr="00791AEA" w:rsidRDefault="00791AEA" w:rsidP="00791AEA">
      <w:pPr>
        <w:rPr>
          <w:lang w:eastAsia="en-US"/>
        </w:rPr>
      </w:pPr>
    </w:p>
    <w:p w14:paraId="5DED366D" w14:textId="77777777" w:rsidR="00791AEA" w:rsidRPr="00791AEA" w:rsidRDefault="00791AEA" w:rsidP="00791AEA">
      <w:pPr>
        <w:rPr>
          <w:lang w:eastAsia="en-US"/>
        </w:rPr>
      </w:pPr>
    </w:p>
    <w:p w14:paraId="7655D642" w14:textId="77777777" w:rsidR="00791AEA" w:rsidRPr="00791AEA" w:rsidRDefault="00791AEA" w:rsidP="00791AEA">
      <w:pPr>
        <w:rPr>
          <w:lang w:eastAsia="en-US"/>
        </w:rPr>
      </w:pPr>
    </w:p>
    <w:p w14:paraId="49971C5B" w14:textId="77777777" w:rsidR="00791AEA" w:rsidRPr="00791AEA" w:rsidRDefault="00791AEA" w:rsidP="00791AEA">
      <w:pPr>
        <w:rPr>
          <w:lang w:eastAsia="en-US"/>
        </w:rPr>
      </w:pPr>
    </w:p>
    <w:p w14:paraId="1DD4EDBD" w14:textId="77777777" w:rsidR="00791AEA" w:rsidRPr="00791AEA" w:rsidRDefault="00791AEA" w:rsidP="00791AEA">
      <w:pPr>
        <w:rPr>
          <w:lang w:eastAsia="en-US"/>
        </w:rPr>
      </w:pPr>
    </w:p>
    <w:p w14:paraId="0285AD92" w14:textId="77777777" w:rsidR="00791AEA" w:rsidRPr="00791AEA" w:rsidRDefault="00791AEA" w:rsidP="00791AEA">
      <w:pPr>
        <w:rPr>
          <w:lang w:eastAsia="en-US"/>
        </w:rPr>
      </w:pPr>
    </w:p>
    <w:p w14:paraId="45B283A7" w14:textId="77777777" w:rsidR="00791AEA" w:rsidRDefault="00791AEA" w:rsidP="00BC0FB0">
      <w:pPr>
        <w:pStyle w:val="BodyText"/>
        <w:keepNext/>
        <w:rPr>
          <w:noProof/>
        </w:rPr>
      </w:pPr>
    </w:p>
    <w:p w14:paraId="704B076F" w14:textId="50D15D6D" w:rsidR="000718D3" w:rsidRDefault="00791AEA" w:rsidP="00BC0FB0">
      <w:pPr>
        <w:pStyle w:val="BodyText"/>
        <w:keepNext/>
        <w:rPr>
          <w:noProof/>
          <w:lang w:eastAsia="en-AU"/>
        </w:rPr>
      </w:pPr>
      <w:r>
        <w:rPr>
          <w:noProof/>
        </w:rPr>
        <w:br w:type="textWrapping" w:clear="all"/>
        <w:t xml:space="preserve">                 </w:t>
      </w:r>
      <w:r w:rsidR="002B3725">
        <w:rPr>
          <w:noProof/>
        </w:rPr>
        <w:drawing>
          <wp:inline distT="0" distB="0" distL="0" distR="0" wp14:anchorId="503CC90C" wp14:editId="6EFB82C3">
            <wp:extent cx="5791200" cy="271780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65800" cy="2799739"/>
                    </a:xfrm>
                    <a:prstGeom prst="rect">
                      <a:avLst/>
                    </a:prstGeom>
                    <a:noFill/>
                  </pic:spPr>
                </pic:pic>
              </a:graphicData>
            </a:graphic>
          </wp:inline>
        </w:drawing>
      </w:r>
    </w:p>
    <w:p w14:paraId="09692464" w14:textId="516998E2" w:rsidR="00BC0FB0" w:rsidRDefault="00BC0FB0" w:rsidP="00BC0FB0">
      <w:pPr>
        <w:pStyle w:val="BodyText"/>
        <w:keepNext/>
      </w:pPr>
    </w:p>
    <w:p w14:paraId="21A5B592" w14:textId="7EC9AB25" w:rsidR="000718D3" w:rsidRDefault="000718D3" w:rsidP="00BC0FB0">
      <w:pPr>
        <w:pStyle w:val="BodyText"/>
        <w:keepNext/>
      </w:pPr>
    </w:p>
    <w:p w14:paraId="6D336014" w14:textId="3AE19797" w:rsidR="000718D3" w:rsidRDefault="002B3725">
      <w:pPr>
        <w:rPr>
          <w:rFonts w:cs="Times New Roman"/>
          <w:lang w:eastAsia="en-US"/>
        </w:rPr>
      </w:pPr>
      <w:r>
        <w:rPr>
          <w:noProof/>
        </w:rPr>
        <w:t xml:space="preserve">                 </w:t>
      </w:r>
      <w:r w:rsidR="000718D3">
        <w:br w:type="page"/>
      </w:r>
    </w:p>
    <w:p w14:paraId="66F9C863" w14:textId="77777777" w:rsidR="000E2694" w:rsidRPr="00664D55" w:rsidRDefault="000E2694" w:rsidP="00860F5A">
      <w:pPr>
        <w:pStyle w:val="BodyText100ThemeColour"/>
        <w:rPr>
          <w:rFonts w:cstheme="minorHAnsi"/>
          <w:b/>
          <w:bCs/>
          <w:sz w:val="24"/>
          <w:szCs w:val="24"/>
        </w:rPr>
      </w:pPr>
      <w:r w:rsidRPr="00664D55">
        <w:rPr>
          <w:rFonts w:cstheme="minorHAnsi"/>
          <w:b/>
          <w:bCs/>
          <w:sz w:val="24"/>
          <w:szCs w:val="24"/>
        </w:rPr>
        <w:t xml:space="preserve">Plans of subdivisions </w:t>
      </w:r>
    </w:p>
    <w:p w14:paraId="1789782D" w14:textId="2BF4141E" w:rsidR="000E2694" w:rsidRDefault="00BD6D1D" w:rsidP="000E2694">
      <w:pPr>
        <w:pStyle w:val="BodyText"/>
        <w:keepNext/>
      </w:pPr>
      <w:r>
        <w:t xml:space="preserve">Plans of subdivision were </w:t>
      </w:r>
      <w:r w:rsidR="003C3EA1">
        <w:t>0.</w:t>
      </w:r>
      <w:r w:rsidR="007F763A">
        <w:t>8</w:t>
      </w:r>
      <w:r w:rsidR="003C3EA1">
        <w:t>0</w:t>
      </w:r>
      <w:r w:rsidR="000E2694">
        <w:t xml:space="preserve"> per cent of all dealings lodged.</w:t>
      </w:r>
    </w:p>
    <w:p w14:paraId="0FD413A4" w14:textId="77777777" w:rsidR="000718D3" w:rsidRDefault="000E2694" w:rsidP="000E2694">
      <w:pPr>
        <w:pStyle w:val="BodyText"/>
        <w:keepNext/>
      </w:pPr>
      <w:r>
        <w:t>These plans of subdivision are captured in the Victorian Online Title System (VOTS) as ‘PS’ transaction types.</w:t>
      </w:r>
    </w:p>
    <w:p w14:paraId="56024462" w14:textId="6E74474A" w:rsidR="000718D3" w:rsidRDefault="008D2593" w:rsidP="00BC0FB0">
      <w:pPr>
        <w:pStyle w:val="BodyText"/>
        <w:keepNext/>
      </w:pPr>
      <w:r>
        <w:rPr>
          <w:noProof/>
        </w:rPr>
        <w:drawing>
          <wp:inline distT="0" distB="0" distL="0" distR="0" wp14:anchorId="0630728E" wp14:editId="516F202F">
            <wp:extent cx="5799221" cy="315214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09482" cy="3157717"/>
                    </a:xfrm>
                    <a:prstGeom prst="rect">
                      <a:avLst/>
                    </a:prstGeom>
                    <a:noFill/>
                  </pic:spPr>
                </pic:pic>
              </a:graphicData>
            </a:graphic>
          </wp:inline>
        </w:drawing>
      </w:r>
    </w:p>
    <w:p w14:paraId="30063A38" w14:textId="0315E4D3" w:rsidR="000E2694" w:rsidRDefault="000E2694" w:rsidP="000E2694">
      <w:pPr>
        <w:pStyle w:val="BodyText"/>
        <w:keepNext/>
      </w:pPr>
      <w:r>
        <w:t>Another plan type of transaction is c</w:t>
      </w:r>
      <w:r w:rsidR="00C95919">
        <w:t>aptured as a ‘PS35’. In the 201</w:t>
      </w:r>
      <w:r w:rsidR="00CB7733">
        <w:t>9</w:t>
      </w:r>
      <w:r w:rsidR="00C95919">
        <w:t>-20</w:t>
      </w:r>
      <w:r w:rsidR="00CB7733">
        <w:t>20</w:t>
      </w:r>
      <w:r w:rsidR="00C328D3">
        <w:t xml:space="preserve"> Fina</w:t>
      </w:r>
      <w:r w:rsidR="00D57F3E">
        <w:t xml:space="preserve">ncial year there were </w:t>
      </w:r>
      <w:r w:rsidR="00742FB5">
        <w:t>228</w:t>
      </w:r>
      <w:r w:rsidR="00D57F3E">
        <w:t xml:space="preserve"> </w:t>
      </w:r>
      <w:r>
        <w:t>of th</w:t>
      </w:r>
      <w:r w:rsidR="00DB5C4C">
        <w:t>is</w:t>
      </w:r>
      <w:r>
        <w:t xml:space="preserve"> transaction lodged. These are for compulsory acquisitions of property to assist with, for example, the building of major roads. </w:t>
      </w:r>
    </w:p>
    <w:p w14:paraId="79F44F48" w14:textId="3EBFAB6A" w:rsidR="000E2694" w:rsidRDefault="000E2694" w:rsidP="000E2694">
      <w:pPr>
        <w:pStyle w:val="BodyText"/>
        <w:keepNext/>
      </w:pPr>
      <w:r>
        <w:t>A further plan type of transaction is a ‘SA32PS’. This plan type transaction occurs typically in the redevelopment</w:t>
      </w:r>
      <w:r w:rsidR="00955D38">
        <w:t xml:space="preserve"> of a plan with</w:t>
      </w:r>
      <w:r>
        <w:t xml:space="preserve"> an</w:t>
      </w:r>
      <w:r w:rsidR="00C328D3">
        <w:t xml:space="preserve"> </w:t>
      </w:r>
      <w:proofErr w:type="gramStart"/>
      <w:r w:rsidR="00C328D3">
        <w:t>owners</w:t>
      </w:r>
      <w:proofErr w:type="gramEnd"/>
      <w:r w:rsidR="00C328D3">
        <w:t xml:space="preserve"> corporation. In the</w:t>
      </w:r>
      <w:r w:rsidR="009B3737">
        <w:t xml:space="preserve"> 201</w:t>
      </w:r>
      <w:r w:rsidR="00B37267">
        <w:t>9</w:t>
      </w:r>
      <w:r w:rsidR="009B3737">
        <w:t>-20</w:t>
      </w:r>
      <w:r w:rsidR="00B37267">
        <w:t>20</w:t>
      </w:r>
      <w:r>
        <w:t xml:space="preserve"> fin</w:t>
      </w:r>
      <w:r w:rsidR="009B3737">
        <w:t xml:space="preserve">ancial year there were </w:t>
      </w:r>
      <w:r w:rsidR="00934665">
        <w:t>198</w:t>
      </w:r>
      <w:r>
        <w:t xml:space="preserve"> of th</w:t>
      </w:r>
      <w:r w:rsidR="00F05C52">
        <w:t>is</w:t>
      </w:r>
      <w:r>
        <w:t xml:space="preserve"> transaction</w:t>
      </w:r>
      <w:r w:rsidR="009B3737">
        <w:t xml:space="preserve"> lodged, a </w:t>
      </w:r>
      <w:r w:rsidR="005E5C59">
        <w:t>de</w:t>
      </w:r>
      <w:r w:rsidR="009B3737">
        <w:t>crease from 20</w:t>
      </w:r>
      <w:r w:rsidR="00934665">
        <w:t>19</w:t>
      </w:r>
      <w:r>
        <w:t>-2</w:t>
      </w:r>
      <w:r w:rsidR="009B3737">
        <w:t>0</w:t>
      </w:r>
      <w:r w:rsidR="00934665">
        <w:t>20</w:t>
      </w:r>
      <w:r w:rsidR="009B3737">
        <w:t xml:space="preserve"> financial year</w:t>
      </w:r>
      <w:r w:rsidR="00F05C52">
        <w:t>, when</w:t>
      </w:r>
      <w:r w:rsidR="009B3737">
        <w:t xml:space="preserve"> </w:t>
      </w:r>
      <w:r w:rsidR="00155ED8">
        <w:t>208</w:t>
      </w:r>
      <w:r>
        <w:t xml:space="preserve"> of th</w:t>
      </w:r>
      <w:r w:rsidR="00F05C52">
        <w:t>is</w:t>
      </w:r>
      <w:r>
        <w:t xml:space="preserve"> transaction </w:t>
      </w:r>
      <w:r w:rsidR="00F05C52">
        <w:t xml:space="preserve">were </w:t>
      </w:r>
      <w:r>
        <w:t xml:space="preserve">lodged. </w:t>
      </w:r>
    </w:p>
    <w:p w14:paraId="2C926E4D" w14:textId="77777777" w:rsidR="00BC268B" w:rsidRDefault="00BC268B">
      <w:pPr>
        <w:rPr>
          <w:b/>
          <w:bCs/>
          <w:iCs/>
          <w:color w:val="B3272F" w:themeColor="text2"/>
          <w:kern w:val="20"/>
          <w:sz w:val="24"/>
          <w:szCs w:val="28"/>
        </w:rPr>
      </w:pPr>
      <w:r>
        <w:br w:type="page"/>
      </w:r>
    </w:p>
    <w:p w14:paraId="089E3E3E" w14:textId="77777777" w:rsidR="00BC268B" w:rsidRDefault="00BC268B" w:rsidP="00BC268B">
      <w:pPr>
        <w:pStyle w:val="Heading2"/>
      </w:pPr>
      <w:bookmarkStart w:id="46" w:name="_Toc46161465"/>
      <w:bookmarkStart w:id="47" w:name="_Toc46822591"/>
      <w:r>
        <w:t>Number of plans of subdivision lodged</w:t>
      </w:r>
      <w:bookmarkEnd w:id="46"/>
      <w:bookmarkEnd w:id="47"/>
    </w:p>
    <w:p w14:paraId="39C681D4" w14:textId="47EB38D0" w:rsidR="00BC268B" w:rsidRDefault="00BC268B" w:rsidP="00BC268B">
      <w:pPr>
        <w:pStyle w:val="BodyText"/>
        <w:keepNext/>
      </w:pPr>
      <w:r>
        <w:t>The number of plans of</w:t>
      </w:r>
      <w:r w:rsidR="00877205">
        <w:t xml:space="preserve"> subdivision lod</w:t>
      </w:r>
      <w:r w:rsidR="004F442D">
        <w:t>ged for the 201</w:t>
      </w:r>
      <w:r w:rsidR="00885B28">
        <w:t>9</w:t>
      </w:r>
      <w:r w:rsidR="004F442D">
        <w:t>–20</w:t>
      </w:r>
      <w:r w:rsidR="00885B28">
        <w:t>20</w:t>
      </w:r>
      <w:r>
        <w:t xml:space="preserve"> financial year was 8,</w:t>
      </w:r>
      <w:r w:rsidR="00B5223B">
        <w:t>541</w:t>
      </w:r>
    </w:p>
    <w:p w14:paraId="0F6F696D" w14:textId="77777777" w:rsidR="00BC268B" w:rsidRDefault="00BC268B" w:rsidP="00BC268B">
      <w:pPr>
        <w:pStyle w:val="BodyText"/>
        <w:keepNext/>
      </w:pPr>
      <w:r>
        <w:t>Recent financial year’s lodgings have been:</w:t>
      </w:r>
    </w:p>
    <w:tbl>
      <w:tblPr>
        <w:tblStyle w:val="TableGrid"/>
        <w:tblW w:w="0" w:type="auto"/>
        <w:tblLook w:val="00A0" w:firstRow="1" w:lastRow="0" w:firstColumn="1" w:lastColumn="0" w:noHBand="0" w:noVBand="0"/>
      </w:tblPr>
      <w:tblGrid>
        <w:gridCol w:w="1559"/>
        <w:gridCol w:w="1559"/>
      </w:tblGrid>
      <w:tr w:rsidR="00014E1E" w:rsidRPr="00050253" w14:paraId="6A49ACFF" w14:textId="77777777" w:rsidTr="004C1C2A">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59" w:type="dxa"/>
          </w:tcPr>
          <w:p w14:paraId="402C320B" w14:textId="77777777" w:rsidR="00014E1E" w:rsidRPr="00050253" w:rsidRDefault="00014E1E" w:rsidP="004C1C2A">
            <w:pPr>
              <w:pStyle w:val="TableHeadingLeft"/>
            </w:pPr>
          </w:p>
        </w:tc>
        <w:tc>
          <w:tcPr>
            <w:cnfStyle w:val="000010000000" w:firstRow="0" w:lastRow="0" w:firstColumn="0" w:lastColumn="0" w:oddVBand="1" w:evenVBand="0" w:oddHBand="0" w:evenHBand="0" w:firstRowFirstColumn="0" w:firstRowLastColumn="0" w:lastRowFirstColumn="0" w:lastRowLastColumn="0"/>
            <w:tcW w:w="1559" w:type="dxa"/>
          </w:tcPr>
          <w:p w14:paraId="7A88B9B7" w14:textId="77777777" w:rsidR="00014E1E" w:rsidRPr="00050253" w:rsidRDefault="00014E1E" w:rsidP="004C1C2A">
            <w:pPr>
              <w:pStyle w:val="TableHeadingLeft"/>
            </w:pPr>
          </w:p>
        </w:tc>
      </w:tr>
      <w:tr w:rsidR="00B5223B" w:rsidRPr="00050253" w14:paraId="7F5BDA38" w14:textId="77777777" w:rsidTr="004C1C2A">
        <w:tc>
          <w:tcPr>
            <w:tcW w:w="1559" w:type="dxa"/>
          </w:tcPr>
          <w:p w14:paraId="6D5AB844" w14:textId="73BEA038" w:rsidR="00B5223B" w:rsidRDefault="00B5223B" w:rsidP="006F5364">
            <w:pPr>
              <w:pStyle w:val="BodyText"/>
            </w:pPr>
            <w:r>
              <w:t>2019-2020</w:t>
            </w:r>
          </w:p>
        </w:tc>
        <w:tc>
          <w:tcPr>
            <w:cnfStyle w:val="000010000000" w:firstRow="0" w:lastRow="0" w:firstColumn="0" w:lastColumn="0" w:oddVBand="1" w:evenVBand="0" w:oddHBand="0" w:evenHBand="0" w:firstRowFirstColumn="0" w:firstRowLastColumn="0" w:lastRowFirstColumn="0" w:lastRowLastColumn="0"/>
            <w:tcW w:w="1559" w:type="dxa"/>
          </w:tcPr>
          <w:p w14:paraId="4C5BF892" w14:textId="41670EF1" w:rsidR="00B5223B" w:rsidRDefault="00B5223B" w:rsidP="006F5364">
            <w:pPr>
              <w:pStyle w:val="BodyText"/>
            </w:pPr>
            <w:r>
              <w:t>8</w:t>
            </w:r>
            <w:r w:rsidR="00447E4A">
              <w:t>,</w:t>
            </w:r>
            <w:r>
              <w:t>541</w:t>
            </w:r>
          </w:p>
        </w:tc>
      </w:tr>
      <w:tr w:rsidR="006F5364" w:rsidRPr="00050253" w14:paraId="10A716F1" w14:textId="77777777" w:rsidTr="004C1C2A">
        <w:tc>
          <w:tcPr>
            <w:tcW w:w="1559" w:type="dxa"/>
          </w:tcPr>
          <w:p w14:paraId="6FC0B38C" w14:textId="5878BCA0" w:rsidR="006F5364" w:rsidRPr="00050253" w:rsidRDefault="006F5364" w:rsidP="006F5364">
            <w:pPr>
              <w:pStyle w:val="BodyText"/>
            </w:pPr>
            <w:r>
              <w:t>2018-2019</w:t>
            </w:r>
          </w:p>
        </w:tc>
        <w:tc>
          <w:tcPr>
            <w:cnfStyle w:val="000010000000" w:firstRow="0" w:lastRow="0" w:firstColumn="0" w:lastColumn="0" w:oddVBand="1" w:evenVBand="0" w:oddHBand="0" w:evenHBand="0" w:firstRowFirstColumn="0" w:firstRowLastColumn="0" w:lastRowFirstColumn="0" w:lastRowLastColumn="0"/>
            <w:tcW w:w="1559" w:type="dxa"/>
          </w:tcPr>
          <w:p w14:paraId="4EB4FEFD" w14:textId="0CDD1DAD" w:rsidR="006F5364" w:rsidRPr="00050253" w:rsidRDefault="006F5364" w:rsidP="006F5364">
            <w:pPr>
              <w:pStyle w:val="BodyText"/>
            </w:pPr>
            <w:r>
              <w:t>8,249</w:t>
            </w:r>
          </w:p>
        </w:tc>
      </w:tr>
      <w:tr w:rsidR="004F442D" w:rsidRPr="00050253" w14:paraId="33E1B48C" w14:textId="77777777" w:rsidTr="004C1C2A">
        <w:tc>
          <w:tcPr>
            <w:tcW w:w="1559" w:type="dxa"/>
          </w:tcPr>
          <w:p w14:paraId="68A5DDC1" w14:textId="5EB0364D" w:rsidR="004F442D" w:rsidRDefault="004F442D" w:rsidP="004C1C2A">
            <w:r>
              <w:t>2017-2018</w:t>
            </w:r>
          </w:p>
        </w:tc>
        <w:tc>
          <w:tcPr>
            <w:cnfStyle w:val="000010000000" w:firstRow="0" w:lastRow="0" w:firstColumn="0" w:lastColumn="0" w:oddVBand="1" w:evenVBand="0" w:oddHBand="0" w:evenHBand="0" w:firstRowFirstColumn="0" w:firstRowLastColumn="0" w:lastRowFirstColumn="0" w:lastRowLastColumn="0"/>
            <w:tcW w:w="1559" w:type="dxa"/>
          </w:tcPr>
          <w:p w14:paraId="3E393637" w14:textId="15367259" w:rsidR="004F442D" w:rsidRDefault="00C95F88" w:rsidP="004C1C2A">
            <w:r>
              <w:t>8,340</w:t>
            </w:r>
          </w:p>
        </w:tc>
      </w:tr>
      <w:tr w:rsidR="00CD5F36" w:rsidRPr="00050253" w14:paraId="35BB3E6B" w14:textId="77777777" w:rsidTr="004C1C2A">
        <w:tc>
          <w:tcPr>
            <w:tcW w:w="1559" w:type="dxa"/>
          </w:tcPr>
          <w:p w14:paraId="277E94DF" w14:textId="77777777" w:rsidR="00CD5F36" w:rsidRPr="0053110B" w:rsidRDefault="00CD5F36" w:rsidP="004C1C2A">
            <w:r>
              <w:t>2016-2017</w:t>
            </w:r>
          </w:p>
        </w:tc>
        <w:tc>
          <w:tcPr>
            <w:cnfStyle w:val="000010000000" w:firstRow="0" w:lastRow="0" w:firstColumn="0" w:lastColumn="0" w:oddVBand="1" w:evenVBand="0" w:oddHBand="0" w:evenHBand="0" w:firstRowFirstColumn="0" w:firstRowLastColumn="0" w:lastRowFirstColumn="0" w:lastRowLastColumn="0"/>
            <w:tcW w:w="1559" w:type="dxa"/>
          </w:tcPr>
          <w:p w14:paraId="3E21E782" w14:textId="656673BE" w:rsidR="00CD5F36" w:rsidRPr="0053110B" w:rsidRDefault="00635A74" w:rsidP="004C1C2A">
            <w:r>
              <w:t>8</w:t>
            </w:r>
            <w:r w:rsidR="00757CEF">
              <w:t>,</w:t>
            </w:r>
            <w:r>
              <w:t>376</w:t>
            </w:r>
          </w:p>
        </w:tc>
      </w:tr>
      <w:tr w:rsidR="00014E1E" w:rsidRPr="00050253" w14:paraId="7E56DF8B" w14:textId="77777777" w:rsidTr="004C1C2A">
        <w:tc>
          <w:tcPr>
            <w:tcW w:w="1559" w:type="dxa"/>
          </w:tcPr>
          <w:p w14:paraId="6B5660B1" w14:textId="77777777" w:rsidR="00014E1E" w:rsidRPr="0053110B" w:rsidRDefault="00014E1E" w:rsidP="004C1C2A">
            <w:r w:rsidRPr="0053110B">
              <w:t>2015-2016</w:t>
            </w:r>
          </w:p>
        </w:tc>
        <w:tc>
          <w:tcPr>
            <w:cnfStyle w:val="000010000000" w:firstRow="0" w:lastRow="0" w:firstColumn="0" w:lastColumn="0" w:oddVBand="1" w:evenVBand="0" w:oddHBand="0" w:evenHBand="0" w:firstRowFirstColumn="0" w:firstRowLastColumn="0" w:lastRowFirstColumn="0" w:lastRowLastColumn="0"/>
            <w:tcW w:w="1559" w:type="dxa"/>
          </w:tcPr>
          <w:p w14:paraId="6BC84DA0" w14:textId="6899FAD4" w:rsidR="00014E1E" w:rsidRPr="0053110B" w:rsidRDefault="00014E1E" w:rsidP="004C1C2A">
            <w:r w:rsidRPr="0053110B">
              <w:t>8</w:t>
            </w:r>
            <w:r w:rsidR="00757CEF">
              <w:t>,</w:t>
            </w:r>
            <w:r w:rsidRPr="0053110B">
              <w:t>970</w:t>
            </w:r>
          </w:p>
        </w:tc>
      </w:tr>
      <w:tr w:rsidR="00014E1E" w:rsidRPr="00050253" w14:paraId="41CC3079" w14:textId="77777777" w:rsidTr="004C1C2A">
        <w:tc>
          <w:tcPr>
            <w:tcW w:w="1559" w:type="dxa"/>
          </w:tcPr>
          <w:p w14:paraId="65CAD167" w14:textId="77777777" w:rsidR="00014E1E" w:rsidRPr="0053110B" w:rsidRDefault="00014E1E" w:rsidP="004C1C2A">
            <w:r w:rsidRPr="0053110B">
              <w:t>2014-2015</w:t>
            </w:r>
          </w:p>
        </w:tc>
        <w:tc>
          <w:tcPr>
            <w:cnfStyle w:val="000010000000" w:firstRow="0" w:lastRow="0" w:firstColumn="0" w:lastColumn="0" w:oddVBand="1" w:evenVBand="0" w:oddHBand="0" w:evenHBand="0" w:firstRowFirstColumn="0" w:firstRowLastColumn="0" w:lastRowFirstColumn="0" w:lastRowLastColumn="0"/>
            <w:tcW w:w="1559" w:type="dxa"/>
          </w:tcPr>
          <w:p w14:paraId="30D04AA4" w14:textId="0A591CB2" w:rsidR="00014E1E" w:rsidRPr="0053110B" w:rsidRDefault="00014E1E" w:rsidP="004C1C2A">
            <w:r w:rsidRPr="0053110B">
              <w:t>8</w:t>
            </w:r>
            <w:r w:rsidR="00757CEF">
              <w:t>,</w:t>
            </w:r>
            <w:r w:rsidRPr="0053110B">
              <w:t>252</w:t>
            </w:r>
          </w:p>
        </w:tc>
      </w:tr>
      <w:tr w:rsidR="00014E1E" w:rsidRPr="00050253" w14:paraId="6449FCF2" w14:textId="77777777" w:rsidTr="004C1C2A">
        <w:tc>
          <w:tcPr>
            <w:tcW w:w="1559" w:type="dxa"/>
          </w:tcPr>
          <w:p w14:paraId="516C62F4" w14:textId="77777777" w:rsidR="00014E1E" w:rsidRPr="0053110B" w:rsidRDefault="00014E1E" w:rsidP="004C1C2A">
            <w:r w:rsidRPr="0053110B">
              <w:t>2013–2014</w:t>
            </w:r>
          </w:p>
        </w:tc>
        <w:tc>
          <w:tcPr>
            <w:cnfStyle w:val="000010000000" w:firstRow="0" w:lastRow="0" w:firstColumn="0" w:lastColumn="0" w:oddVBand="1" w:evenVBand="0" w:oddHBand="0" w:evenHBand="0" w:firstRowFirstColumn="0" w:firstRowLastColumn="0" w:lastRowFirstColumn="0" w:lastRowLastColumn="0"/>
            <w:tcW w:w="1559" w:type="dxa"/>
          </w:tcPr>
          <w:p w14:paraId="461D120B" w14:textId="2995C9D5" w:rsidR="00014E1E" w:rsidRPr="0053110B" w:rsidRDefault="00014E1E" w:rsidP="004C1C2A">
            <w:r w:rsidRPr="0053110B">
              <w:t>8</w:t>
            </w:r>
            <w:r w:rsidR="00757CEF">
              <w:t>,</w:t>
            </w:r>
            <w:r w:rsidRPr="0053110B">
              <w:t>001</w:t>
            </w:r>
          </w:p>
        </w:tc>
      </w:tr>
      <w:tr w:rsidR="00014E1E" w:rsidRPr="00050253" w14:paraId="0F6AB9E8" w14:textId="77777777" w:rsidTr="004C1C2A">
        <w:tc>
          <w:tcPr>
            <w:tcW w:w="1559" w:type="dxa"/>
          </w:tcPr>
          <w:p w14:paraId="0579BEA9" w14:textId="77777777" w:rsidR="00014E1E" w:rsidRPr="0053110B" w:rsidRDefault="00014E1E" w:rsidP="004C1C2A">
            <w:r w:rsidRPr="0053110B">
              <w:t>2012–2013</w:t>
            </w:r>
          </w:p>
        </w:tc>
        <w:tc>
          <w:tcPr>
            <w:cnfStyle w:val="000010000000" w:firstRow="0" w:lastRow="0" w:firstColumn="0" w:lastColumn="0" w:oddVBand="1" w:evenVBand="0" w:oddHBand="0" w:evenHBand="0" w:firstRowFirstColumn="0" w:firstRowLastColumn="0" w:lastRowFirstColumn="0" w:lastRowLastColumn="0"/>
            <w:tcW w:w="1559" w:type="dxa"/>
          </w:tcPr>
          <w:p w14:paraId="2A941EB4" w14:textId="0C0E2A28" w:rsidR="00014E1E" w:rsidRPr="0053110B" w:rsidRDefault="00014E1E" w:rsidP="004C1C2A">
            <w:r w:rsidRPr="0053110B">
              <w:t>7</w:t>
            </w:r>
            <w:r w:rsidR="00757CEF">
              <w:t>,</w:t>
            </w:r>
            <w:r w:rsidRPr="0053110B">
              <w:t>896</w:t>
            </w:r>
          </w:p>
        </w:tc>
      </w:tr>
      <w:tr w:rsidR="00014E1E" w:rsidRPr="00050253" w14:paraId="1148C395" w14:textId="77777777" w:rsidTr="004C1C2A">
        <w:tc>
          <w:tcPr>
            <w:tcW w:w="1559" w:type="dxa"/>
          </w:tcPr>
          <w:p w14:paraId="0C6ABCF2" w14:textId="77777777" w:rsidR="00014E1E" w:rsidRPr="0053110B" w:rsidRDefault="00014E1E" w:rsidP="004C1C2A">
            <w:r w:rsidRPr="0053110B">
              <w:t>2011–2012</w:t>
            </w:r>
          </w:p>
        </w:tc>
        <w:tc>
          <w:tcPr>
            <w:cnfStyle w:val="000010000000" w:firstRow="0" w:lastRow="0" w:firstColumn="0" w:lastColumn="0" w:oddVBand="1" w:evenVBand="0" w:oddHBand="0" w:evenHBand="0" w:firstRowFirstColumn="0" w:firstRowLastColumn="0" w:lastRowFirstColumn="0" w:lastRowLastColumn="0"/>
            <w:tcW w:w="1559" w:type="dxa"/>
          </w:tcPr>
          <w:p w14:paraId="75DF4436" w14:textId="5FC38052" w:rsidR="00014E1E" w:rsidRPr="0053110B" w:rsidRDefault="00014E1E" w:rsidP="004C1C2A">
            <w:r w:rsidRPr="0053110B">
              <w:t>8</w:t>
            </w:r>
            <w:r w:rsidR="00757CEF">
              <w:t>,</w:t>
            </w:r>
            <w:r w:rsidRPr="0053110B">
              <w:t>088</w:t>
            </w:r>
          </w:p>
        </w:tc>
      </w:tr>
      <w:tr w:rsidR="00014E1E" w:rsidRPr="00050253" w14:paraId="65673A49" w14:textId="77777777" w:rsidTr="004C1C2A">
        <w:tc>
          <w:tcPr>
            <w:tcW w:w="1559" w:type="dxa"/>
          </w:tcPr>
          <w:p w14:paraId="2F83D743" w14:textId="77777777" w:rsidR="00014E1E" w:rsidRPr="0053110B" w:rsidRDefault="00014E1E" w:rsidP="004C1C2A">
            <w:r w:rsidRPr="0053110B">
              <w:t>2010–2011</w:t>
            </w:r>
          </w:p>
        </w:tc>
        <w:tc>
          <w:tcPr>
            <w:cnfStyle w:val="000010000000" w:firstRow="0" w:lastRow="0" w:firstColumn="0" w:lastColumn="0" w:oddVBand="1" w:evenVBand="0" w:oddHBand="0" w:evenHBand="0" w:firstRowFirstColumn="0" w:firstRowLastColumn="0" w:lastRowFirstColumn="0" w:lastRowLastColumn="0"/>
            <w:tcW w:w="1559" w:type="dxa"/>
          </w:tcPr>
          <w:p w14:paraId="6FE5FEA7" w14:textId="3D3AEF7E" w:rsidR="00014E1E" w:rsidRPr="0053110B" w:rsidRDefault="00014E1E" w:rsidP="004C1C2A">
            <w:r w:rsidRPr="0053110B">
              <w:t>7</w:t>
            </w:r>
            <w:r w:rsidR="00757CEF">
              <w:t>,</w:t>
            </w:r>
            <w:r w:rsidRPr="0053110B">
              <w:t>699</w:t>
            </w:r>
          </w:p>
        </w:tc>
      </w:tr>
      <w:tr w:rsidR="00014E1E" w:rsidRPr="00050253" w14:paraId="1165AB90" w14:textId="77777777" w:rsidTr="004C1C2A">
        <w:tc>
          <w:tcPr>
            <w:tcW w:w="1559" w:type="dxa"/>
          </w:tcPr>
          <w:p w14:paraId="4433F8D5" w14:textId="77777777" w:rsidR="00014E1E" w:rsidRPr="0053110B" w:rsidRDefault="00014E1E" w:rsidP="004C1C2A">
            <w:r w:rsidRPr="0053110B">
              <w:t>2009–2010</w:t>
            </w:r>
          </w:p>
        </w:tc>
        <w:tc>
          <w:tcPr>
            <w:cnfStyle w:val="000010000000" w:firstRow="0" w:lastRow="0" w:firstColumn="0" w:lastColumn="0" w:oddVBand="1" w:evenVBand="0" w:oddHBand="0" w:evenHBand="0" w:firstRowFirstColumn="0" w:firstRowLastColumn="0" w:lastRowFirstColumn="0" w:lastRowLastColumn="0"/>
            <w:tcW w:w="1559" w:type="dxa"/>
          </w:tcPr>
          <w:p w14:paraId="18DDD5F4" w14:textId="68178CFE" w:rsidR="00014E1E" w:rsidRPr="0053110B" w:rsidRDefault="00014E1E" w:rsidP="004C1C2A">
            <w:r w:rsidRPr="0053110B">
              <w:t>7</w:t>
            </w:r>
            <w:r w:rsidR="00757CEF">
              <w:t>,</w:t>
            </w:r>
            <w:r w:rsidRPr="0053110B">
              <w:t>988</w:t>
            </w:r>
          </w:p>
        </w:tc>
      </w:tr>
      <w:tr w:rsidR="00014E1E" w:rsidRPr="00050253" w14:paraId="3185D6A0" w14:textId="77777777" w:rsidTr="004C1C2A">
        <w:tc>
          <w:tcPr>
            <w:tcW w:w="1559" w:type="dxa"/>
          </w:tcPr>
          <w:p w14:paraId="04737674" w14:textId="77777777" w:rsidR="00014E1E" w:rsidRPr="0053110B" w:rsidRDefault="00014E1E" w:rsidP="004C1C2A">
            <w:r w:rsidRPr="0053110B">
              <w:t>2008–2009</w:t>
            </w:r>
          </w:p>
        </w:tc>
        <w:tc>
          <w:tcPr>
            <w:cnfStyle w:val="000010000000" w:firstRow="0" w:lastRow="0" w:firstColumn="0" w:lastColumn="0" w:oddVBand="1" w:evenVBand="0" w:oddHBand="0" w:evenHBand="0" w:firstRowFirstColumn="0" w:firstRowLastColumn="0" w:lastRowFirstColumn="0" w:lastRowLastColumn="0"/>
            <w:tcW w:w="1559" w:type="dxa"/>
          </w:tcPr>
          <w:p w14:paraId="5C93EA06" w14:textId="69E5E2B9" w:rsidR="00014E1E" w:rsidRPr="0053110B" w:rsidRDefault="00014E1E" w:rsidP="004C1C2A">
            <w:r w:rsidRPr="0053110B">
              <w:t>7</w:t>
            </w:r>
            <w:r w:rsidR="00757CEF">
              <w:t>,</w:t>
            </w:r>
            <w:r w:rsidRPr="0053110B">
              <w:t>719</w:t>
            </w:r>
          </w:p>
        </w:tc>
      </w:tr>
      <w:tr w:rsidR="00014E1E" w:rsidRPr="00050253" w14:paraId="7E771574" w14:textId="77777777" w:rsidTr="004C1C2A">
        <w:tc>
          <w:tcPr>
            <w:tcW w:w="1559" w:type="dxa"/>
          </w:tcPr>
          <w:p w14:paraId="768787EC" w14:textId="77777777" w:rsidR="00014E1E" w:rsidRPr="0053110B" w:rsidRDefault="00014E1E" w:rsidP="004C1C2A">
            <w:r w:rsidRPr="0053110B">
              <w:t>2007–2008</w:t>
            </w:r>
          </w:p>
        </w:tc>
        <w:tc>
          <w:tcPr>
            <w:cnfStyle w:val="000010000000" w:firstRow="0" w:lastRow="0" w:firstColumn="0" w:lastColumn="0" w:oddVBand="1" w:evenVBand="0" w:oddHBand="0" w:evenHBand="0" w:firstRowFirstColumn="0" w:firstRowLastColumn="0" w:lastRowFirstColumn="0" w:lastRowLastColumn="0"/>
            <w:tcW w:w="1559" w:type="dxa"/>
          </w:tcPr>
          <w:p w14:paraId="487653BB" w14:textId="6C40E375" w:rsidR="00014E1E" w:rsidRPr="0053110B" w:rsidRDefault="00014E1E" w:rsidP="004C1C2A">
            <w:r w:rsidRPr="0053110B">
              <w:t>8</w:t>
            </w:r>
            <w:r w:rsidR="00757CEF">
              <w:t>,</w:t>
            </w:r>
            <w:r w:rsidRPr="0053110B">
              <w:t>048</w:t>
            </w:r>
          </w:p>
        </w:tc>
      </w:tr>
      <w:tr w:rsidR="00014E1E" w:rsidRPr="00050253" w14:paraId="2F7034F4" w14:textId="77777777" w:rsidTr="004C1C2A">
        <w:tc>
          <w:tcPr>
            <w:tcW w:w="1559" w:type="dxa"/>
          </w:tcPr>
          <w:p w14:paraId="397F1241" w14:textId="77777777" w:rsidR="00014E1E" w:rsidRPr="0053110B" w:rsidRDefault="00014E1E" w:rsidP="004C1C2A">
            <w:r w:rsidRPr="0053110B">
              <w:t>2006–2007</w:t>
            </w:r>
          </w:p>
        </w:tc>
        <w:tc>
          <w:tcPr>
            <w:cnfStyle w:val="000010000000" w:firstRow="0" w:lastRow="0" w:firstColumn="0" w:lastColumn="0" w:oddVBand="1" w:evenVBand="0" w:oddHBand="0" w:evenHBand="0" w:firstRowFirstColumn="0" w:firstRowLastColumn="0" w:lastRowFirstColumn="0" w:lastRowLastColumn="0"/>
            <w:tcW w:w="1559" w:type="dxa"/>
          </w:tcPr>
          <w:p w14:paraId="5AEC1F0E" w14:textId="5ADA98F6" w:rsidR="00014E1E" w:rsidRPr="0053110B" w:rsidRDefault="00014E1E" w:rsidP="004C1C2A">
            <w:r w:rsidRPr="0053110B">
              <w:t>8</w:t>
            </w:r>
            <w:r w:rsidR="00757CEF">
              <w:t>,</w:t>
            </w:r>
            <w:r w:rsidRPr="0053110B">
              <w:t>304</w:t>
            </w:r>
          </w:p>
        </w:tc>
      </w:tr>
      <w:tr w:rsidR="00014E1E" w:rsidRPr="00050253" w14:paraId="50F65E98" w14:textId="77777777" w:rsidTr="004C1C2A">
        <w:tc>
          <w:tcPr>
            <w:tcW w:w="1559" w:type="dxa"/>
          </w:tcPr>
          <w:p w14:paraId="7EAC3872" w14:textId="77777777" w:rsidR="00014E1E" w:rsidRPr="0053110B" w:rsidRDefault="00014E1E" w:rsidP="004C1C2A">
            <w:r w:rsidRPr="0053110B">
              <w:t>2005–2006</w:t>
            </w:r>
          </w:p>
        </w:tc>
        <w:tc>
          <w:tcPr>
            <w:cnfStyle w:val="000010000000" w:firstRow="0" w:lastRow="0" w:firstColumn="0" w:lastColumn="0" w:oddVBand="1" w:evenVBand="0" w:oddHBand="0" w:evenHBand="0" w:firstRowFirstColumn="0" w:firstRowLastColumn="0" w:lastRowFirstColumn="0" w:lastRowLastColumn="0"/>
            <w:tcW w:w="1559" w:type="dxa"/>
          </w:tcPr>
          <w:p w14:paraId="2FFE7C61" w14:textId="25F1EF24" w:rsidR="00014E1E" w:rsidRPr="0053110B" w:rsidRDefault="00014E1E" w:rsidP="004C1C2A">
            <w:r w:rsidRPr="0053110B">
              <w:t>8</w:t>
            </w:r>
            <w:r w:rsidR="00757CEF">
              <w:t>,</w:t>
            </w:r>
            <w:r w:rsidRPr="0053110B">
              <w:t>547</w:t>
            </w:r>
          </w:p>
        </w:tc>
      </w:tr>
      <w:tr w:rsidR="00014E1E" w:rsidRPr="00050253" w14:paraId="19AC1A63" w14:textId="77777777" w:rsidTr="004C1C2A">
        <w:tc>
          <w:tcPr>
            <w:tcW w:w="1559" w:type="dxa"/>
          </w:tcPr>
          <w:p w14:paraId="1697C064" w14:textId="77777777" w:rsidR="00014E1E" w:rsidRPr="0053110B" w:rsidRDefault="00014E1E" w:rsidP="004C1C2A">
            <w:r w:rsidRPr="0053110B">
              <w:t>2004–2005</w:t>
            </w:r>
          </w:p>
        </w:tc>
        <w:tc>
          <w:tcPr>
            <w:cnfStyle w:val="000010000000" w:firstRow="0" w:lastRow="0" w:firstColumn="0" w:lastColumn="0" w:oddVBand="1" w:evenVBand="0" w:oddHBand="0" w:evenHBand="0" w:firstRowFirstColumn="0" w:firstRowLastColumn="0" w:lastRowFirstColumn="0" w:lastRowLastColumn="0"/>
            <w:tcW w:w="1559" w:type="dxa"/>
          </w:tcPr>
          <w:p w14:paraId="56BC87A1" w14:textId="4307E129" w:rsidR="00014E1E" w:rsidRPr="0053110B" w:rsidRDefault="00014E1E" w:rsidP="004C1C2A">
            <w:r w:rsidRPr="0053110B">
              <w:t>8</w:t>
            </w:r>
            <w:r w:rsidR="00757CEF">
              <w:t>,</w:t>
            </w:r>
            <w:r w:rsidRPr="0053110B">
              <w:t>349</w:t>
            </w:r>
          </w:p>
        </w:tc>
      </w:tr>
      <w:tr w:rsidR="00014E1E" w:rsidRPr="00050253" w14:paraId="2DB2FF5F" w14:textId="77777777" w:rsidTr="004C1C2A">
        <w:tc>
          <w:tcPr>
            <w:tcW w:w="1559" w:type="dxa"/>
          </w:tcPr>
          <w:p w14:paraId="7A7CF4D8" w14:textId="77777777" w:rsidR="00014E1E" w:rsidRPr="0053110B" w:rsidRDefault="00014E1E" w:rsidP="004C1C2A">
            <w:r w:rsidRPr="0053110B">
              <w:t>2003–2004</w:t>
            </w:r>
          </w:p>
        </w:tc>
        <w:tc>
          <w:tcPr>
            <w:cnfStyle w:val="000010000000" w:firstRow="0" w:lastRow="0" w:firstColumn="0" w:lastColumn="0" w:oddVBand="1" w:evenVBand="0" w:oddHBand="0" w:evenHBand="0" w:firstRowFirstColumn="0" w:firstRowLastColumn="0" w:lastRowFirstColumn="0" w:lastRowLastColumn="0"/>
            <w:tcW w:w="1559" w:type="dxa"/>
          </w:tcPr>
          <w:p w14:paraId="26C9FB1B" w14:textId="4FD2345A" w:rsidR="00014E1E" w:rsidRPr="0053110B" w:rsidRDefault="00014E1E" w:rsidP="004C1C2A">
            <w:r w:rsidRPr="0053110B">
              <w:t>8</w:t>
            </w:r>
            <w:r w:rsidR="00757CEF">
              <w:t>,</w:t>
            </w:r>
            <w:r w:rsidRPr="0053110B">
              <w:t>052</w:t>
            </w:r>
          </w:p>
        </w:tc>
      </w:tr>
      <w:tr w:rsidR="00014E1E" w:rsidRPr="00050253" w14:paraId="46F75942" w14:textId="77777777" w:rsidTr="004C1C2A">
        <w:tc>
          <w:tcPr>
            <w:tcW w:w="1559" w:type="dxa"/>
          </w:tcPr>
          <w:p w14:paraId="46FB9AB4" w14:textId="77777777" w:rsidR="00014E1E" w:rsidRPr="0053110B" w:rsidRDefault="00014E1E" w:rsidP="004C1C2A">
            <w:r w:rsidRPr="0053110B">
              <w:t>2002–2003</w:t>
            </w:r>
          </w:p>
        </w:tc>
        <w:tc>
          <w:tcPr>
            <w:cnfStyle w:val="000010000000" w:firstRow="0" w:lastRow="0" w:firstColumn="0" w:lastColumn="0" w:oddVBand="1" w:evenVBand="0" w:oddHBand="0" w:evenHBand="0" w:firstRowFirstColumn="0" w:firstRowLastColumn="0" w:lastRowFirstColumn="0" w:lastRowLastColumn="0"/>
            <w:tcW w:w="1559" w:type="dxa"/>
          </w:tcPr>
          <w:p w14:paraId="3D6AD843" w14:textId="2CCE8181" w:rsidR="00014E1E" w:rsidRPr="0053110B" w:rsidRDefault="00014E1E" w:rsidP="004C1C2A">
            <w:r w:rsidRPr="0053110B">
              <w:t>7</w:t>
            </w:r>
            <w:r w:rsidR="00757CEF">
              <w:t>,</w:t>
            </w:r>
            <w:r w:rsidRPr="0053110B">
              <w:t>962</w:t>
            </w:r>
          </w:p>
        </w:tc>
      </w:tr>
      <w:tr w:rsidR="00014E1E" w:rsidRPr="00050253" w14:paraId="1A4FC098" w14:textId="77777777" w:rsidTr="004C1C2A">
        <w:tc>
          <w:tcPr>
            <w:tcW w:w="1559" w:type="dxa"/>
          </w:tcPr>
          <w:p w14:paraId="1A28076E" w14:textId="77777777" w:rsidR="00014E1E" w:rsidRPr="0053110B" w:rsidRDefault="00014E1E" w:rsidP="004C1C2A">
            <w:r w:rsidRPr="0053110B">
              <w:t>2001–2002</w:t>
            </w:r>
          </w:p>
        </w:tc>
        <w:tc>
          <w:tcPr>
            <w:cnfStyle w:val="000010000000" w:firstRow="0" w:lastRow="0" w:firstColumn="0" w:lastColumn="0" w:oddVBand="1" w:evenVBand="0" w:oddHBand="0" w:evenHBand="0" w:firstRowFirstColumn="0" w:firstRowLastColumn="0" w:lastRowFirstColumn="0" w:lastRowLastColumn="0"/>
            <w:tcW w:w="1559" w:type="dxa"/>
          </w:tcPr>
          <w:p w14:paraId="0CB1C142" w14:textId="766F4DC3" w:rsidR="00014E1E" w:rsidRPr="0053110B" w:rsidRDefault="00014E1E" w:rsidP="004C1C2A">
            <w:r w:rsidRPr="0053110B">
              <w:t>8</w:t>
            </w:r>
            <w:r w:rsidR="00757CEF">
              <w:t>,</w:t>
            </w:r>
            <w:r w:rsidRPr="0053110B">
              <w:t>477</w:t>
            </w:r>
          </w:p>
        </w:tc>
      </w:tr>
      <w:tr w:rsidR="00014E1E" w:rsidRPr="00050253" w14:paraId="609D22B7" w14:textId="77777777" w:rsidTr="004C1C2A">
        <w:tc>
          <w:tcPr>
            <w:tcW w:w="1559" w:type="dxa"/>
          </w:tcPr>
          <w:p w14:paraId="009C42DE" w14:textId="77777777" w:rsidR="00014E1E" w:rsidRPr="0053110B" w:rsidRDefault="00014E1E" w:rsidP="004C1C2A">
            <w:r w:rsidRPr="0053110B">
              <w:t>2000–2001</w:t>
            </w:r>
          </w:p>
        </w:tc>
        <w:tc>
          <w:tcPr>
            <w:cnfStyle w:val="000010000000" w:firstRow="0" w:lastRow="0" w:firstColumn="0" w:lastColumn="0" w:oddVBand="1" w:evenVBand="0" w:oddHBand="0" w:evenHBand="0" w:firstRowFirstColumn="0" w:firstRowLastColumn="0" w:lastRowFirstColumn="0" w:lastRowLastColumn="0"/>
            <w:tcW w:w="1559" w:type="dxa"/>
          </w:tcPr>
          <w:p w14:paraId="05BDE23E" w14:textId="34C350D0" w:rsidR="00014E1E" w:rsidRDefault="00014E1E" w:rsidP="004C1C2A">
            <w:r w:rsidRPr="0053110B">
              <w:t>8</w:t>
            </w:r>
            <w:r w:rsidR="00757CEF">
              <w:t>,</w:t>
            </w:r>
            <w:r w:rsidRPr="0053110B">
              <w:t>126</w:t>
            </w:r>
          </w:p>
        </w:tc>
      </w:tr>
    </w:tbl>
    <w:p w14:paraId="0749A2AE" w14:textId="77777777" w:rsidR="00014E1E" w:rsidRDefault="00014E1E" w:rsidP="00BC268B">
      <w:pPr>
        <w:pStyle w:val="Heading2"/>
      </w:pPr>
    </w:p>
    <w:p w14:paraId="75C063D5" w14:textId="4E6A3AA7" w:rsidR="006A62F1" w:rsidRDefault="006A62F1" w:rsidP="006A62F1">
      <w:pPr>
        <w:pStyle w:val="Heading2"/>
      </w:pPr>
      <w:bookmarkStart w:id="48" w:name="_Toc46822592"/>
      <w:r>
        <w:t xml:space="preserve">Number of </w:t>
      </w:r>
      <w:r w:rsidR="00801A1F">
        <w:t>new</w:t>
      </w:r>
      <w:r w:rsidR="002F756B">
        <w:t xml:space="preserve"> </w:t>
      </w:r>
      <w:r w:rsidR="00185163">
        <w:t>parcels</w:t>
      </w:r>
      <w:r>
        <w:t xml:space="preserve"> </w:t>
      </w:r>
      <w:r w:rsidR="00801A1F">
        <w:t>created from plans of subdivision</w:t>
      </w:r>
      <w:bookmarkEnd w:id="48"/>
    </w:p>
    <w:p w14:paraId="44E089FD" w14:textId="77777777" w:rsidR="00195F4F" w:rsidRDefault="00195F4F"/>
    <w:tbl>
      <w:tblPr>
        <w:tblStyle w:val="TableGrid"/>
        <w:tblW w:w="0" w:type="auto"/>
        <w:tblLook w:val="00A0" w:firstRow="1" w:lastRow="0" w:firstColumn="1" w:lastColumn="0" w:noHBand="0" w:noVBand="0"/>
      </w:tblPr>
      <w:tblGrid>
        <w:gridCol w:w="1559"/>
        <w:gridCol w:w="1559"/>
      </w:tblGrid>
      <w:tr w:rsidR="001B58D8" w:rsidRPr="00050253" w14:paraId="041A7D8D" w14:textId="77777777" w:rsidTr="00530C7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59" w:type="dxa"/>
          </w:tcPr>
          <w:p w14:paraId="5C645AF0" w14:textId="77777777" w:rsidR="001B58D8" w:rsidRPr="00050253" w:rsidRDefault="001B58D8" w:rsidP="00530C71">
            <w:pPr>
              <w:pStyle w:val="TableHeadingLeft"/>
            </w:pPr>
          </w:p>
        </w:tc>
        <w:tc>
          <w:tcPr>
            <w:cnfStyle w:val="000010000000" w:firstRow="0" w:lastRow="0" w:firstColumn="0" w:lastColumn="0" w:oddVBand="1" w:evenVBand="0" w:oddHBand="0" w:evenHBand="0" w:firstRowFirstColumn="0" w:firstRowLastColumn="0" w:lastRowFirstColumn="0" w:lastRowLastColumn="0"/>
            <w:tcW w:w="1559" w:type="dxa"/>
          </w:tcPr>
          <w:p w14:paraId="110190BE" w14:textId="74C98118" w:rsidR="001B58D8" w:rsidRPr="00050253" w:rsidRDefault="001B58D8" w:rsidP="00530C71">
            <w:pPr>
              <w:pStyle w:val="TableHeadingLeft"/>
            </w:pPr>
          </w:p>
        </w:tc>
      </w:tr>
      <w:tr w:rsidR="001B58D8" w14:paraId="67A20CF0" w14:textId="77777777" w:rsidTr="00530C71">
        <w:tc>
          <w:tcPr>
            <w:tcW w:w="1559" w:type="dxa"/>
          </w:tcPr>
          <w:p w14:paraId="074F4A5D" w14:textId="61D0E93C" w:rsidR="001B58D8" w:rsidRDefault="00416215" w:rsidP="00530C71">
            <w:pPr>
              <w:pStyle w:val="BodyText"/>
            </w:pPr>
            <w:r>
              <w:t>2019-2020</w:t>
            </w:r>
          </w:p>
        </w:tc>
        <w:tc>
          <w:tcPr>
            <w:cnfStyle w:val="000010000000" w:firstRow="0" w:lastRow="0" w:firstColumn="0" w:lastColumn="0" w:oddVBand="1" w:evenVBand="0" w:oddHBand="0" w:evenHBand="0" w:firstRowFirstColumn="0" w:firstRowLastColumn="0" w:lastRowFirstColumn="0" w:lastRowLastColumn="0"/>
            <w:tcW w:w="1559" w:type="dxa"/>
          </w:tcPr>
          <w:p w14:paraId="07E497D9" w14:textId="32006BBC" w:rsidR="001B58D8" w:rsidRDefault="00F9291E" w:rsidP="00530C71">
            <w:pPr>
              <w:pStyle w:val="BodyText"/>
            </w:pPr>
            <w:r>
              <w:t>82</w:t>
            </w:r>
            <w:r w:rsidR="00416215">
              <w:t>,</w:t>
            </w:r>
            <w:r>
              <w:t>898</w:t>
            </w:r>
          </w:p>
        </w:tc>
      </w:tr>
      <w:tr w:rsidR="001B58D8" w:rsidRPr="00050253" w14:paraId="0133B2EA" w14:textId="77777777" w:rsidTr="00530C71">
        <w:tc>
          <w:tcPr>
            <w:tcW w:w="1559" w:type="dxa"/>
          </w:tcPr>
          <w:p w14:paraId="4ED73A5D" w14:textId="77777777" w:rsidR="001B58D8" w:rsidRPr="00050253" w:rsidRDefault="001B58D8" w:rsidP="00530C71">
            <w:pPr>
              <w:pStyle w:val="BodyText"/>
            </w:pPr>
            <w:r>
              <w:t>2018-2019</w:t>
            </w:r>
          </w:p>
        </w:tc>
        <w:tc>
          <w:tcPr>
            <w:cnfStyle w:val="000010000000" w:firstRow="0" w:lastRow="0" w:firstColumn="0" w:lastColumn="0" w:oddVBand="1" w:evenVBand="0" w:oddHBand="0" w:evenHBand="0" w:firstRowFirstColumn="0" w:firstRowLastColumn="0" w:lastRowFirstColumn="0" w:lastRowLastColumn="0"/>
            <w:tcW w:w="1559" w:type="dxa"/>
          </w:tcPr>
          <w:p w14:paraId="31E6E032" w14:textId="4F30903A" w:rsidR="001B58D8" w:rsidRPr="00050253" w:rsidRDefault="00416215" w:rsidP="00530C71">
            <w:pPr>
              <w:pStyle w:val="BodyText"/>
            </w:pPr>
            <w:r>
              <w:t>77,602</w:t>
            </w:r>
          </w:p>
        </w:tc>
      </w:tr>
      <w:tr w:rsidR="001B58D8" w14:paraId="187E594C" w14:textId="77777777" w:rsidTr="00530C71">
        <w:tc>
          <w:tcPr>
            <w:tcW w:w="1559" w:type="dxa"/>
          </w:tcPr>
          <w:p w14:paraId="376358D5" w14:textId="77777777" w:rsidR="001B58D8" w:rsidRDefault="001B58D8" w:rsidP="00530C71">
            <w:r>
              <w:t>2017-2018</w:t>
            </w:r>
          </w:p>
        </w:tc>
        <w:tc>
          <w:tcPr>
            <w:cnfStyle w:val="000010000000" w:firstRow="0" w:lastRow="0" w:firstColumn="0" w:lastColumn="0" w:oddVBand="1" w:evenVBand="0" w:oddHBand="0" w:evenHBand="0" w:firstRowFirstColumn="0" w:firstRowLastColumn="0" w:lastRowFirstColumn="0" w:lastRowLastColumn="0"/>
            <w:tcW w:w="1559" w:type="dxa"/>
          </w:tcPr>
          <w:p w14:paraId="7953A218" w14:textId="6418DD54" w:rsidR="001B58D8" w:rsidRDefault="00F028BA" w:rsidP="00530C71">
            <w:r>
              <w:t>77,014</w:t>
            </w:r>
          </w:p>
        </w:tc>
      </w:tr>
      <w:tr w:rsidR="001B58D8" w:rsidRPr="0053110B" w14:paraId="69451EC0" w14:textId="77777777" w:rsidTr="00530C71">
        <w:tc>
          <w:tcPr>
            <w:tcW w:w="1559" w:type="dxa"/>
          </w:tcPr>
          <w:p w14:paraId="423485B6" w14:textId="77777777" w:rsidR="001B58D8" w:rsidRPr="0053110B" w:rsidRDefault="001B58D8" w:rsidP="00530C71">
            <w:r>
              <w:t>2016-2017</w:t>
            </w:r>
          </w:p>
        </w:tc>
        <w:tc>
          <w:tcPr>
            <w:cnfStyle w:val="000010000000" w:firstRow="0" w:lastRow="0" w:firstColumn="0" w:lastColumn="0" w:oddVBand="1" w:evenVBand="0" w:oddHBand="0" w:evenHBand="0" w:firstRowFirstColumn="0" w:firstRowLastColumn="0" w:lastRowFirstColumn="0" w:lastRowLastColumn="0"/>
            <w:tcW w:w="1559" w:type="dxa"/>
          </w:tcPr>
          <w:p w14:paraId="73FA6D6F" w14:textId="66E33870" w:rsidR="001B58D8" w:rsidRPr="0053110B" w:rsidRDefault="00482803" w:rsidP="00530C71">
            <w:r>
              <w:t>79,034</w:t>
            </w:r>
          </w:p>
        </w:tc>
      </w:tr>
      <w:tr w:rsidR="001B58D8" w:rsidRPr="0053110B" w14:paraId="5B1BF944" w14:textId="77777777" w:rsidTr="00530C71">
        <w:tc>
          <w:tcPr>
            <w:tcW w:w="1559" w:type="dxa"/>
          </w:tcPr>
          <w:p w14:paraId="1BB9AD74" w14:textId="77777777" w:rsidR="001B58D8" w:rsidRPr="0053110B" w:rsidRDefault="001B58D8" w:rsidP="00530C71">
            <w:r w:rsidRPr="0053110B">
              <w:t>2015-2016</w:t>
            </w:r>
          </w:p>
        </w:tc>
        <w:tc>
          <w:tcPr>
            <w:cnfStyle w:val="000010000000" w:firstRow="0" w:lastRow="0" w:firstColumn="0" w:lastColumn="0" w:oddVBand="1" w:evenVBand="0" w:oddHBand="0" w:evenHBand="0" w:firstRowFirstColumn="0" w:firstRowLastColumn="0" w:lastRowFirstColumn="0" w:lastRowLastColumn="0"/>
            <w:tcW w:w="1559" w:type="dxa"/>
          </w:tcPr>
          <w:p w14:paraId="3D3FFEBA" w14:textId="40347C78" w:rsidR="001B58D8" w:rsidRPr="0053110B" w:rsidRDefault="00482803" w:rsidP="00530C71">
            <w:r>
              <w:t>75,351</w:t>
            </w:r>
          </w:p>
        </w:tc>
      </w:tr>
      <w:tr w:rsidR="001B58D8" w:rsidRPr="0053110B" w14:paraId="5E5C9006" w14:textId="77777777" w:rsidTr="00530C71">
        <w:tc>
          <w:tcPr>
            <w:tcW w:w="1559" w:type="dxa"/>
          </w:tcPr>
          <w:p w14:paraId="5B367B6B" w14:textId="77777777" w:rsidR="001B58D8" w:rsidRPr="0053110B" w:rsidRDefault="001B58D8" w:rsidP="00530C71">
            <w:r w:rsidRPr="0053110B">
              <w:t>2014-2015</w:t>
            </w:r>
          </w:p>
        </w:tc>
        <w:tc>
          <w:tcPr>
            <w:cnfStyle w:val="000010000000" w:firstRow="0" w:lastRow="0" w:firstColumn="0" w:lastColumn="0" w:oddVBand="1" w:evenVBand="0" w:oddHBand="0" w:evenHBand="0" w:firstRowFirstColumn="0" w:firstRowLastColumn="0" w:lastRowFirstColumn="0" w:lastRowLastColumn="0"/>
            <w:tcW w:w="1559" w:type="dxa"/>
          </w:tcPr>
          <w:p w14:paraId="5429B048" w14:textId="34928447" w:rsidR="001B58D8" w:rsidRPr="0053110B" w:rsidRDefault="00E3561D" w:rsidP="00482803">
            <w:pPr>
              <w:ind w:left="0"/>
            </w:pPr>
            <w:r>
              <w:t xml:space="preserve">  61,669</w:t>
            </w:r>
          </w:p>
        </w:tc>
      </w:tr>
    </w:tbl>
    <w:p w14:paraId="2EF2996C" w14:textId="18566154" w:rsidR="00014E1E" w:rsidRDefault="00014E1E">
      <w:r>
        <w:br w:type="page"/>
      </w:r>
    </w:p>
    <w:p w14:paraId="03F1E940" w14:textId="77777777" w:rsidR="00195F4F" w:rsidRDefault="00195F4F">
      <w:pPr>
        <w:rPr>
          <w:b/>
          <w:bCs/>
          <w:iCs/>
          <w:color w:val="B3272F" w:themeColor="text2"/>
          <w:kern w:val="20"/>
          <w:sz w:val="24"/>
          <w:szCs w:val="28"/>
        </w:rPr>
      </w:pPr>
    </w:p>
    <w:p w14:paraId="2BF47E28" w14:textId="77777777" w:rsidR="00BC268B" w:rsidRDefault="00BC268B" w:rsidP="00BC268B">
      <w:pPr>
        <w:pStyle w:val="Heading2"/>
      </w:pPr>
      <w:bookmarkStart w:id="49" w:name="_Toc46161466"/>
      <w:bookmarkStart w:id="50" w:name="_Toc46822593"/>
      <w:r>
        <w:t>General law conversion</w:t>
      </w:r>
      <w:bookmarkEnd w:id="49"/>
      <w:bookmarkEnd w:id="50"/>
    </w:p>
    <w:p w14:paraId="5D9887AA" w14:textId="396ACCD3" w:rsidR="00BC268B" w:rsidRDefault="00BC268B" w:rsidP="00BC268B">
      <w:pPr>
        <w:pStyle w:val="BodyText"/>
        <w:keepNext/>
      </w:pPr>
      <w:r>
        <w:t>The number of parcels created from Gene</w:t>
      </w:r>
      <w:r w:rsidR="0041525F">
        <w:t>ral law conversions for the 201</w:t>
      </w:r>
      <w:r w:rsidR="00FE04E0">
        <w:t>9</w:t>
      </w:r>
      <w:r w:rsidR="0041525F">
        <w:t>–20</w:t>
      </w:r>
      <w:r w:rsidR="00FE04E0">
        <w:t>20</w:t>
      </w:r>
      <w:r w:rsidR="0041525F">
        <w:t xml:space="preserve"> financial year was 1,</w:t>
      </w:r>
      <w:r w:rsidR="00FE04E0">
        <w:t>468</w:t>
      </w:r>
      <w:r>
        <w:t>. This compares to previous financial years as follows:</w:t>
      </w:r>
    </w:p>
    <w:tbl>
      <w:tblPr>
        <w:tblStyle w:val="TableGrid"/>
        <w:tblW w:w="0" w:type="auto"/>
        <w:tblLook w:val="00A0" w:firstRow="1" w:lastRow="0" w:firstColumn="1" w:lastColumn="0" w:noHBand="0" w:noVBand="0"/>
      </w:tblPr>
      <w:tblGrid>
        <w:gridCol w:w="1559"/>
        <w:gridCol w:w="1559"/>
      </w:tblGrid>
      <w:tr w:rsidR="007D200D" w:rsidRPr="00050253" w14:paraId="4B4874F1" w14:textId="77777777" w:rsidTr="004C1C2A">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59" w:type="dxa"/>
          </w:tcPr>
          <w:p w14:paraId="71484FBA" w14:textId="77777777" w:rsidR="007D200D" w:rsidRPr="00050253" w:rsidRDefault="007D200D" w:rsidP="004C1C2A">
            <w:pPr>
              <w:pStyle w:val="TableHeadingLeft"/>
            </w:pPr>
          </w:p>
        </w:tc>
        <w:tc>
          <w:tcPr>
            <w:cnfStyle w:val="000010000000" w:firstRow="0" w:lastRow="0" w:firstColumn="0" w:lastColumn="0" w:oddVBand="1" w:evenVBand="0" w:oddHBand="0" w:evenHBand="0" w:firstRowFirstColumn="0" w:firstRowLastColumn="0" w:lastRowFirstColumn="0" w:lastRowLastColumn="0"/>
            <w:tcW w:w="1559" w:type="dxa"/>
          </w:tcPr>
          <w:p w14:paraId="7E27788B" w14:textId="77777777" w:rsidR="007D200D" w:rsidRPr="00050253" w:rsidRDefault="007D200D" w:rsidP="004C1C2A">
            <w:pPr>
              <w:pStyle w:val="TableHeadingLeft"/>
            </w:pPr>
          </w:p>
        </w:tc>
      </w:tr>
      <w:tr w:rsidR="00A4383E" w:rsidRPr="00050253" w14:paraId="5D3C4ACD" w14:textId="77777777" w:rsidTr="004C1C2A">
        <w:tc>
          <w:tcPr>
            <w:tcW w:w="1559" w:type="dxa"/>
          </w:tcPr>
          <w:p w14:paraId="04863FAD" w14:textId="5B853FCB" w:rsidR="00A4383E" w:rsidRDefault="00A4383E" w:rsidP="007D200D">
            <w:pPr>
              <w:pStyle w:val="BodyText"/>
            </w:pPr>
            <w:r>
              <w:t>2019-2020</w:t>
            </w:r>
          </w:p>
        </w:tc>
        <w:tc>
          <w:tcPr>
            <w:cnfStyle w:val="000010000000" w:firstRow="0" w:lastRow="0" w:firstColumn="0" w:lastColumn="0" w:oddVBand="1" w:evenVBand="0" w:oddHBand="0" w:evenHBand="0" w:firstRowFirstColumn="0" w:firstRowLastColumn="0" w:lastRowFirstColumn="0" w:lastRowLastColumn="0"/>
            <w:tcW w:w="1559" w:type="dxa"/>
          </w:tcPr>
          <w:p w14:paraId="2D4578E9" w14:textId="766E950A" w:rsidR="00A4383E" w:rsidRDefault="00280BBA" w:rsidP="002C28DE">
            <w:pPr>
              <w:pStyle w:val="BodyText"/>
            </w:pPr>
            <w:r>
              <w:t>1,468</w:t>
            </w:r>
          </w:p>
        </w:tc>
      </w:tr>
      <w:tr w:rsidR="00014E1E" w:rsidRPr="00050253" w14:paraId="7ADC9E04" w14:textId="77777777" w:rsidTr="004C1C2A">
        <w:tc>
          <w:tcPr>
            <w:tcW w:w="1559" w:type="dxa"/>
          </w:tcPr>
          <w:p w14:paraId="3F997B5F" w14:textId="6EBC1499" w:rsidR="00014E1E" w:rsidRPr="00050253" w:rsidRDefault="002C28DE" w:rsidP="007D200D">
            <w:pPr>
              <w:pStyle w:val="BodyText"/>
            </w:pPr>
            <w:r>
              <w:t>2018-2019</w:t>
            </w:r>
          </w:p>
        </w:tc>
        <w:tc>
          <w:tcPr>
            <w:cnfStyle w:val="000010000000" w:firstRow="0" w:lastRow="0" w:firstColumn="0" w:lastColumn="0" w:oddVBand="1" w:evenVBand="0" w:oddHBand="0" w:evenHBand="0" w:firstRowFirstColumn="0" w:firstRowLastColumn="0" w:lastRowFirstColumn="0" w:lastRowLastColumn="0"/>
            <w:tcW w:w="1559" w:type="dxa"/>
          </w:tcPr>
          <w:p w14:paraId="7E1EB397" w14:textId="363618A6" w:rsidR="00014E1E" w:rsidRPr="00050253" w:rsidRDefault="007D200D" w:rsidP="002C28DE">
            <w:pPr>
              <w:pStyle w:val="BodyText"/>
            </w:pPr>
            <w:r>
              <w:t>1,5</w:t>
            </w:r>
            <w:r w:rsidR="002C28DE">
              <w:t>75</w:t>
            </w:r>
          </w:p>
        </w:tc>
      </w:tr>
      <w:tr w:rsidR="00400B37" w:rsidRPr="00050253" w14:paraId="665EF771" w14:textId="77777777" w:rsidTr="004C1C2A">
        <w:tc>
          <w:tcPr>
            <w:tcW w:w="1559" w:type="dxa"/>
          </w:tcPr>
          <w:p w14:paraId="408DF34F" w14:textId="20DA5A6C" w:rsidR="00400B37" w:rsidRDefault="00400B37" w:rsidP="004C1C2A">
            <w:r>
              <w:t>2017-2018</w:t>
            </w:r>
          </w:p>
        </w:tc>
        <w:tc>
          <w:tcPr>
            <w:cnfStyle w:val="000010000000" w:firstRow="0" w:lastRow="0" w:firstColumn="0" w:lastColumn="0" w:oddVBand="1" w:evenVBand="0" w:oddHBand="0" w:evenHBand="0" w:firstRowFirstColumn="0" w:firstRowLastColumn="0" w:lastRowFirstColumn="0" w:lastRowLastColumn="0"/>
            <w:tcW w:w="1559" w:type="dxa"/>
          </w:tcPr>
          <w:p w14:paraId="20BBF97D" w14:textId="0FE14474" w:rsidR="00400B37" w:rsidRDefault="00400B37" w:rsidP="004C1C2A">
            <w:r>
              <w:t>1,922</w:t>
            </w:r>
          </w:p>
        </w:tc>
      </w:tr>
      <w:tr w:rsidR="00607D6A" w:rsidRPr="00050253" w14:paraId="0C7C8A90" w14:textId="77777777" w:rsidTr="004C1C2A">
        <w:tc>
          <w:tcPr>
            <w:tcW w:w="1559" w:type="dxa"/>
          </w:tcPr>
          <w:p w14:paraId="7CA6EA86" w14:textId="77777777" w:rsidR="00607D6A" w:rsidRPr="001F137C" w:rsidRDefault="00607D6A" w:rsidP="004C1C2A">
            <w:r>
              <w:t>2016-2017</w:t>
            </w:r>
          </w:p>
        </w:tc>
        <w:tc>
          <w:tcPr>
            <w:cnfStyle w:val="000010000000" w:firstRow="0" w:lastRow="0" w:firstColumn="0" w:lastColumn="0" w:oddVBand="1" w:evenVBand="0" w:oddHBand="0" w:evenHBand="0" w:firstRowFirstColumn="0" w:firstRowLastColumn="0" w:lastRowFirstColumn="0" w:lastRowLastColumn="0"/>
            <w:tcW w:w="1559" w:type="dxa"/>
          </w:tcPr>
          <w:p w14:paraId="2A800640" w14:textId="0A141CED" w:rsidR="00607D6A" w:rsidRPr="001F137C" w:rsidRDefault="00607D6A" w:rsidP="004C1C2A">
            <w:r>
              <w:t>3</w:t>
            </w:r>
            <w:r w:rsidR="008B3503">
              <w:t>,</w:t>
            </w:r>
            <w:r>
              <w:t>228</w:t>
            </w:r>
          </w:p>
        </w:tc>
      </w:tr>
      <w:tr w:rsidR="00A44603" w:rsidRPr="00050253" w14:paraId="1C01ABF9" w14:textId="77777777" w:rsidTr="004C1C2A">
        <w:tc>
          <w:tcPr>
            <w:tcW w:w="1559" w:type="dxa"/>
          </w:tcPr>
          <w:p w14:paraId="41508BAA" w14:textId="0807AD2A" w:rsidR="00A44603" w:rsidRDefault="00A44603" w:rsidP="004C1C2A">
            <w:r>
              <w:t>2015-2016</w:t>
            </w:r>
          </w:p>
        </w:tc>
        <w:tc>
          <w:tcPr>
            <w:cnfStyle w:val="000010000000" w:firstRow="0" w:lastRow="0" w:firstColumn="0" w:lastColumn="0" w:oddVBand="1" w:evenVBand="0" w:oddHBand="0" w:evenHBand="0" w:firstRowFirstColumn="0" w:firstRowLastColumn="0" w:lastRowFirstColumn="0" w:lastRowLastColumn="0"/>
            <w:tcW w:w="1559" w:type="dxa"/>
          </w:tcPr>
          <w:p w14:paraId="4A0AD106" w14:textId="22873EBB" w:rsidR="00A44603" w:rsidRDefault="00A44603" w:rsidP="004C1C2A">
            <w:r>
              <w:t>2</w:t>
            </w:r>
            <w:r w:rsidR="008B3503">
              <w:t>,</w:t>
            </w:r>
            <w:r>
              <w:t>868</w:t>
            </w:r>
          </w:p>
        </w:tc>
      </w:tr>
      <w:tr w:rsidR="00014E1E" w:rsidRPr="00050253" w14:paraId="1D2D777E" w14:textId="77777777" w:rsidTr="004C1C2A">
        <w:tc>
          <w:tcPr>
            <w:tcW w:w="1559" w:type="dxa"/>
          </w:tcPr>
          <w:p w14:paraId="20DC6A77" w14:textId="77777777" w:rsidR="00014E1E" w:rsidRPr="001F137C" w:rsidRDefault="00014E1E" w:rsidP="004C1C2A">
            <w:r w:rsidRPr="001F137C">
              <w:t>2014-2015</w:t>
            </w:r>
          </w:p>
        </w:tc>
        <w:tc>
          <w:tcPr>
            <w:cnfStyle w:val="000010000000" w:firstRow="0" w:lastRow="0" w:firstColumn="0" w:lastColumn="0" w:oddVBand="1" w:evenVBand="0" w:oddHBand="0" w:evenHBand="0" w:firstRowFirstColumn="0" w:firstRowLastColumn="0" w:lastRowFirstColumn="0" w:lastRowLastColumn="0"/>
            <w:tcW w:w="1559" w:type="dxa"/>
          </w:tcPr>
          <w:p w14:paraId="42ED1AE4" w14:textId="2D7852B8" w:rsidR="00014E1E" w:rsidRPr="001F137C" w:rsidRDefault="00014E1E" w:rsidP="004C1C2A">
            <w:r w:rsidRPr="001F137C">
              <w:t>2</w:t>
            </w:r>
            <w:r w:rsidR="008B3503">
              <w:t>,</w:t>
            </w:r>
            <w:r w:rsidRPr="001F137C">
              <w:t>018</w:t>
            </w:r>
          </w:p>
        </w:tc>
      </w:tr>
      <w:tr w:rsidR="00014E1E" w:rsidRPr="00050253" w14:paraId="63FE972B" w14:textId="77777777" w:rsidTr="004C1C2A">
        <w:tc>
          <w:tcPr>
            <w:tcW w:w="1559" w:type="dxa"/>
          </w:tcPr>
          <w:p w14:paraId="744DEE5E" w14:textId="77777777" w:rsidR="00014E1E" w:rsidRPr="001F137C" w:rsidRDefault="00014E1E" w:rsidP="004C1C2A">
            <w:r w:rsidRPr="001F137C">
              <w:t>2013–2014</w:t>
            </w:r>
          </w:p>
        </w:tc>
        <w:tc>
          <w:tcPr>
            <w:cnfStyle w:val="000010000000" w:firstRow="0" w:lastRow="0" w:firstColumn="0" w:lastColumn="0" w:oddVBand="1" w:evenVBand="0" w:oddHBand="0" w:evenHBand="0" w:firstRowFirstColumn="0" w:firstRowLastColumn="0" w:lastRowFirstColumn="0" w:lastRowLastColumn="0"/>
            <w:tcW w:w="1559" w:type="dxa"/>
          </w:tcPr>
          <w:p w14:paraId="6CBE84EE" w14:textId="0279F5C9" w:rsidR="00014E1E" w:rsidRPr="001F137C" w:rsidRDefault="00014E1E" w:rsidP="004C1C2A">
            <w:r w:rsidRPr="001F137C">
              <w:t>3</w:t>
            </w:r>
            <w:r w:rsidR="008B3503">
              <w:t>,</w:t>
            </w:r>
            <w:r w:rsidRPr="001F137C">
              <w:t>774</w:t>
            </w:r>
          </w:p>
        </w:tc>
      </w:tr>
      <w:tr w:rsidR="00014E1E" w:rsidRPr="00050253" w14:paraId="18B03A8A" w14:textId="77777777" w:rsidTr="004C1C2A">
        <w:tc>
          <w:tcPr>
            <w:tcW w:w="1559" w:type="dxa"/>
          </w:tcPr>
          <w:p w14:paraId="38FA3E70" w14:textId="77777777" w:rsidR="00014E1E" w:rsidRPr="001F137C" w:rsidRDefault="00014E1E" w:rsidP="004C1C2A">
            <w:r w:rsidRPr="001F137C">
              <w:t>2012–2013</w:t>
            </w:r>
          </w:p>
        </w:tc>
        <w:tc>
          <w:tcPr>
            <w:cnfStyle w:val="000010000000" w:firstRow="0" w:lastRow="0" w:firstColumn="0" w:lastColumn="0" w:oddVBand="1" w:evenVBand="0" w:oddHBand="0" w:evenHBand="0" w:firstRowFirstColumn="0" w:firstRowLastColumn="0" w:lastRowFirstColumn="0" w:lastRowLastColumn="0"/>
            <w:tcW w:w="1559" w:type="dxa"/>
          </w:tcPr>
          <w:p w14:paraId="733A2527" w14:textId="0B951C4D" w:rsidR="00014E1E" w:rsidRPr="001F137C" w:rsidRDefault="00014E1E" w:rsidP="004C1C2A">
            <w:r w:rsidRPr="001F137C">
              <w:t>1</w:t>
            </w:r>
            <w:r w:rsidR="008B3503">
              <w:t>,</w:t>
            </w:r>
            <w:r w:rsidRPr="001F137C">
              <w:t>997</w:t>
            </w:r>
          </w:p>
        </w:tc>
      </w:tr>
      <w:tr w:rsidR="00014E1E" w:rsidRPr="00050253" w14:paraId="597E4433" w14:textId="77777777" w:rsidTr="004C1C2A">
        <w:tc>
          <w:tcPr>
            <w:tcW w:w="1559" w:type="dxa"/>
          </w:tcPr>
          <w:p w14:paraId="3BC26CDE" w14:textId="77777777" w:rsidR="00014E1E" w:rsidRPr="001F137C" w:rsidRDefault="00014E1E" w:rsidP="004C1C2A">
            <w:r w:rsidRPr="001F137C">
              <w:t>2011–2012</w:t>
            </w:r>
          </w:p>
        </w:tc>
        <w:tc>
          <w:tcPr>
            <w:cnfStyle w:val="000010000000" w:firstRow="0" w:lastRow="0" w:firstColumn="0" w:lastColumn="0" w:oddVBand="1" w:evenVBand="0" w:oddHBand="0" w:evenHBand="0" w:firstRowFirstColumn="0" w:firstRowLastColumn="0" w:lastRowFirstColumn="0" w:lastRowLastColumn="0"/>
            <w:tcW w:w="1559" w:type="dxa"/>
          </w:tcPr>
          <w:p w14:paraId="2CD744FC" w14:textId="7251A264" w:rsidR="00014E1E" w:rsidRPr="001F137C" w:rsidRDefault="00014E1E" w:rsidP="004C1C2A">
            <w:r w:rsidRPr="001F137C">
              <w:t>1</w:t>
            </w:r>
            <w:r w:rsidR="008B3503">
              <w:t>,</w:t>
            </w:r>
            <w:r w:rsidRPr="001F137C">
              <w:t>303</w:t>
            </w:r>
          </w:p>
        </w:tc>
      </w:tr>
      <w:tr w:rsidR="00014E1E" w:rsidRPr="00050253" w14:paraId="395C06D9" w14:textId="77777777" w:rsidTr="004C1C2A">
        <w:tc>
          <w:tcPr>
            <w:tcW w:w="1559" w:type="dxa"/>
          </w:tcPr>
          <w:p w14:paraId="5C0B2B66" w14:textId="77777777" w:rsidR="00014E1E" w:rsidRPr="001F137C" w:rsidRDefault="00014E1E" w:rsidP="004C1C2A">
            <w:r w:rsidRPr="001F137C">
              <w:t>2010–2011</w:t>
            </w:r>
          </w:p>
        </w:tc>
        <w:tc>
          <w:tcPr>
            <w:cnfStyle w:val="000010000000" w:firstRow="0" w:lastRow="0" w:firstColumn="0" w:lastColumn="0" w:oddVBand="1" w:evenVBand="0" w:oddHBand="0" w:evenHBand="0" w:firstRowFirstColumn="0" w:firstRowLastColumn="0" w:lastRowFirstColumn="0" w:lastRowLastColumn="0"/>
            <w:tcW w:w="1559" w:type="dxa"/>
          </w:tcPr>
          <w:p w14:paraId="338CBDD9" w14:textId="4576CD21" w:rsidR="00014E1E" w:rsidRPr="001F137C" w:rsidRDefault="00014E1E" w:rsidP="004C1C2A">
            <w:r w:rsidRPr="001F137C">
              <w:t>2</w:t>
            </w:r>
            <w:r w:rsidR="008B3503">
              <w:t>,</w:t>
            </w:r>
            <w:r w:rsidRPr="001F137C">
              <w:t>559</w:t>
            </w:r>
          </w:p>
        </w:tc>
      </w:tr>
      <w:tr w:rsidR="00014E1E" w:rsidRPr="00050253" w14:paraId="19744FBB" w14:textId="77777777" w:rsidTr="004C1C2A">
        <w:tc>
          <w:tcPr>
            <w:tcW w:w="1559" w:type="dxa"/>
          </w:tcPr>
          <w:p w14:paraId="1A7F8495" w14:textId="77777777" w:rsidR="00014E1E" w:rsidRPr="001F137C" w:rsidRDefault="00014E1E" w:rsidP="004C1C2A">
            <w:r w:rsidRPr="001F137C">
              <w:t>2009–2010</w:t>
            </w:r>
          </w:p>
        </w:tc>
        <w:tc>
          <w:tcPr>
            <w:cnfStyle w:val="000010000000" w:firstRow="0" w:lastRow="0" w:firstColumn="0" w:lastColumn="0" w:oddVBand="1" w:evenVBand="0" w:oddHBand="0" w:evenHBand="0" w:firstRowFirstColumn="0" w:firstRowLastColumn="0" w:lastRowFirstColumn="0" w:lastRowLastColumn="0"/>
            <w:tcW w:w="1559" w:type="dxa"/>
          </w:tcPr>
          <w:p w14:paraId="290E0220" w14:textId="70A54037" w:rsidR="00014E1E" w:rsidRPr="001F137C" w:rsidRDefault="00014E1E" w:rsidP="004C1C2A">
            <w:r w:rsidRPr="001F137C">
              <w:t>1</w:t>
            </w:r>
            <w:r w:rsidR="008B3503">
              <w:t>,</w:t>
            </w:r>
            <w:r w:rsidRPr="001F137C">
              <w:t>559</w:t>
            </w:r>
          </w:p>
        </w:tc>
      </w:tr>
      <w:tr w:rsidR="00014E1E" w:rsidRPr="00050253" w14:paraId="4E834658" w14:textId="77777777" w:rsidTr="004C1C2A">
        <w:tc>
          <w:tcPr>
            <w:tcW w:w="1559" w:type="dxa"/>
          </w:tcPr>
          <w:p w14:paraId="1E238510" w14:textId="77777777" w:rsidR="00014E1E" w:rsidRPr="001F137C" w:rsidRDefault="00014E1E" w:rsidP="004C1C2A">
            <w:r w:rsidRPr="001F137C">
              <w:t>2008–2009</w:t>
            </w:r>
          </w:p>
        </w:tc>
        <w:tc>
          <w:tcPr>
            <w:cnfStyle w:val="000010000000" w:firstRow="0" w:lastRow="0" w:firstColumn="0" w:lastColumn="0" w:oddVBand="1" w:evenVBand="0" w:oddHBand="0" w:evenHBand="0" w:firstRowFirstColumn="0" w:firstRowLastColumn="0" w:lastRowFirstColumn="0" w:lastRowLastColumn="0"/>
            <w:tcW w:w="1559" w:type="dxa"/>
          </w:tcPr>
          <w:p w14:paraId="53B47F44" w14:textId="345BDFFE" w:rsidR="00014E1E" w:rsidRPr="001F137C" w:rsidRDefault="00014E1E" w:rsidP="004C1C2A">
            <w:r w:rsidRPr="001F137C">
              <w:t>1</w:t>
            </w:r>
            <w:r w:rsidR="008B3503">
              <w:t>,</w:t>
            </w:r>
            <w:r w:rsidRPr="001F137C">
              <w:t>023</w:t>
            </w:r>
          </w:p>
        </w:tc>
      </w:tr>
      <w:tr w:rsidR="00014E1E" w:rsidRPr="00050253" w14:paraId="2B8E6A6F" w14:textId="77777777" w:rsidTr="004C1C2A">
        <w:tc>
          <w:tcPr>
            <w:tcW w:w="1559" w:type="dxa"/>
          </w:tcPr>
          <w:p w14:paraId="1D2E745D" w14:textId="77777777" w:rsidR="00014E1E" w:rsidRPr="001F137C" w:rsidRDefault="00014E1E" w:rsidP="004C1C2A">
            <w:r w:rsidRPr="001F137C">
              <w:t>2007–2008</w:t>
            </w:r>
          </w:p>
        </w:tc>
        <w:tc>
          <w:tcPr>
            <w:cnfStyle w:val="000010000000" w:firstRow="0" w:lastRow="0" w:firstColumn="0" w:lastColumn="0" w:oddVBand="1" w:evenVBand="0" w:oddHBand="0" w:evenHBand="0" w:firstRowFirstColumn="0" w:firstRowLastColumn="0" w:lastRowFirstColumn="0" w:lastRowLastColumn="0"/>
            <w:tcW w:w="1559" w:type="dxa"/>
          </w:tcPr>
          <w:p w14:paraId="1A32D7D3" w14:textId="7AC9093F" w:rsidR="00014E1E" w:rsidRPr="001F137C" w:rsidRDefault="00014E1E" w:rsidP="004C1C2A">
            <w:r w:rsidRPr="001F137C">
              <w:t>1</w:t>
            </w:r>
            <w:r w:rsidR="008B3503">
              <w:t>,</w:t>
            </w:r>
            <w:r w:rsidRPr="001F137C">
              <w:t>238</w:t>
            </w:r>
          </w:p>
        </w:tc>
      </w:tr>
      <w:tr w:rsidR="00014E1E" w:rsidRPr="00050253" w14:paraId="7CAEDDF1" w14:textId="77777777" w:rsidTr="004C1C2A">
        <w:tc>
          <w:tcPr>
            <w:tcW w:w="1559" w:type="dxa"/>
          </w:tcPr>
          <w:p w14:paraId="1195E152" w14:textId="77777777" w:rsidR="00014E1E" w:rsidRPr="001F137C" w:rsidRDefault="00014E1E" w:rsidP="004C1C2A">
            <w:r w:rsidRPr="001F137C">
              <w:t>2006–2007</w:t>
            </w:r>
          </w:p>
        </w:tc>
        <w:tc>
          <w:tcPr>
            <w:cnfStyle w:val="000010000000" w:firstRow="0" w:lastRow="0" w:firstColumn="0" w:lastColumn="0" w:oddVBand="1" w:evenVBand="0" w:oddHBand="0" w:evenHBand="0" w:firstRowFirstColumn="0" w:firstRowLastColumn="0" w:lastRowFirstColumn="0" w:lastRowLastColumn="0"/>
            <w:tcW w:w="1559" w:type="dxa"/>
          </w:tcPr>
          <w:p w14:paraId="3DF1B4B8" w14:textId="1683FD32" w:rsidR="00014E1E" w:rsidRPr="001F137C" w:rsidRDefault="00014E1E" w:rsidP="004C1C2A">
            <w:r w:rsidRPr="001F137C">
              <w:t>1</w:t>
            </w:r>
            <w:r w:rsidR="008B3503">
              <w:t>,</w:t>
            </w:r>
            <w:r w:rsidRPr="001F137C">
              <w:t>309</w:t>
            </w:r>
          </w:p>
        </w:tc>
      </w:tr>
      <w:tr w:rsidR="00014E1E" w:rsidRPr="00050253" w14:paraId="54A35AC7" w14:textId="77777777" w:rsidTr="004C1C2A">
        <w:tc>
          <w:tcPr>
            <w:tcW w:w="1559" w:type="dxa"/>
          </w:tcPr>
          <w:p w14:paraId="5B85645B" w14:textId="77777777" w:rsidR="00014E1E" w:rsidRPr="001F137C" w:rsidRDefault="00014E1E" w:rsidP="004C1C2A">
            <w:r w:rsidRPr="001F137C">
              <w:t>2005–2006</w:t>
            </w:r>
          </w:p>
        </w:tc>
        <w:tc>
          <w:tcPr>
            <w:cnfStyle w:val="000010000000" w:firstRow="0" w:lastRow="0" w:firstColumn="0" w:lastColumn="0" w:oddVBand="1" w:evenVBand="0" w:oddHBand="0" w:evenHBand="0" w:firstRowFirstColumn="0" w:firstRowLastColumn="0" w:lastRowFirstColumn="0" w:lastRowLastColumn="0"/>
            <w:tcW w:w="1559" w:type="dxa"/>
          </w:tcPr>
          <w:p w14:paraId="2767D000" w14:textId="7ADB79AC" w:rsidR="00014E1E" w:rsidRPr="001F137C" w:rsidRDefault="00014E1E" w:rsidP="004C1C2A">
            <w:r w:rsidRPr="001F137C">
              <w:t>1</w:t>
            </w:r>
            <w:r w:rsidR="008B3503">
              <w:t>,</w:t>
            </w:r>
            <w:r w:rsidRPr="001F137C">
              <w:t>490</w:t>
            </w:r>
          </w:p>
        </w:tc>
      </w:tr>
      <w:tr w:rsidR="00014E1E" w:rsidRPr="00050253" w14:paraId="61584C0B" w14:textId="77777777" w:rsidTr="004C1C2A">
        <w:tc>
          <w:tcPr>
            <w:tcW w:w="1559" w:type="dxa"/>
          </w:tcPr>
          <w:p w14:paraId="19DE68C6" w14:textId="77777777" w:rsidR="00014E1E" w:rsidRPr="001F137C" w:rsidRDefault="00014E1E" w:rsidP="004C1C2A">
            <w:r w:rsidRPr="001F137C">
              <w:t>2004–2005</w:t>
            </w:r>
          </w:p>
        </w:tc>
        <w:tc>
          <w:tcPr>
            <w:cnfStyle w:val="000010000000" w:firstRow="0" w:lastRow="0" w:firstColumn="0" w:lastColumn="0" w:oddVBand="1" w:evenVBand="0" w:oddHBand="0" w:evenHBand="0" w:firstRowFirstColumn="0" w:firstRowLastColumn="0" w:lastRowFirstColumn="0" w:lastRowLastColumn="0"/>
            <w:tcW w:w="1559" w:type="dxa"/>
          </w:tcPr>
          <w:p w14:paraId="04663DAA" w14:textId="1A36F505" w:rsidR="00014E1E" w:rsidRPr="001F137C" w:rsidRDefault="00014E1E" w:rsidP="004C1C2A">
            <w:r w:rsidRPr="001F137C">
              <w:t>1</w:t>
            </w:r>
            <w:r w:rsidR="008B3503">
              <w:t>,</w:t>
            </w:r>
            <w:r w:rsidRPr="001F137C">
              <w:t>750</w:t>
            </w:r>
          </w:p>
        </w:tc>
      </w:tr>
      <w:tr w:rsidR="00014E1E" w:rsidRPr="00050253" w14:paraId="632F2F32" w14:textId="77777777" w:rsidTr="004C1C2A">
        <w:tc>
          <w:tcPr>
            <w:tcW w:w="1559" w:type="dxa"/>
          </w:tcPr>
          <w:p w14:paraId="136A1F0F" w14:textId="77777777" w:rsidR="00014E1E" w:rsidRPr="001F137C" w:rsidRDefault="00014E1E" w:rsidP="004C1C2A">
            <w:r w:rsidRPr="001F137C">
              <w:t>2003–2004</w:t>
            </w:r>
          </w:p>
        </w:tc>
        <w:tc>
          <w:tcPr>
            <w:cnfStyle w:val="000010000000" w:firstRow="0" w:lastRow="0" w:firstColumn="0" w:lastColumn="0" w:oddVBand="1" w:evenVBand="0" w:oddHBand="0" w:evenHBand="0" w:firstRowFirstColumn="0" w:firstRowLastColumn="0" w:lastRowFirstColumn="0" w:lastRowLastColumn="0"/>
            <w:tcW w:w="1559" w:type="dxa"/>
          </w:tcPr>
          <w:p w14:paraId="69364CDA" w14:textId="65B8F35D" w:rsidR="00014E1E" w:rsidRPr="001F137C" w:rsidRDefault="00014E1E" w:rsidP="004C1C2A">
            <w:r w:rsidRPr="001F137C">
              <w:t>1</w:t>
            </w:r>
            <w:r w:rsidR="008B3503">
              <w:t>,</w:t>
            </w:r>
            <w:r w:rsidRPr="001F137C">
              <w:t>996</w:t>
            </w:r>
          </w:p>
        </w:tc>
      </w:tr>
      <w:tr w:rsidR="00014E1E" w:rsidRPr="00050253" w14:paraId="2DAA1F1A" w14:textId="77777777" w:rsidTr="004C1C2A">
        <w:tc>
          <w:tcPr>
            <w:tcW w:w="1559" w:type="dxa"/>
          </w:tcPr>
          <w:p w14:paraId="24326F80" w14:textId="77777777" w:rsidR="00014E1E" w:rsidRPr="001F137C" w:rsidRDefault="00014E1E" w:rsidP="004C1C2A">
            <w:r w:rsidRPr="001F137C">
              <w:t>2002–2003</w:t>
            </w:r>
          </w:p>
        </w:tc>
        <w:tc>
          <w:tcPr>
            <w:cnfStyle w:val="000010000000" w:firstRow="0" w:lastRow="0" w:firstColumn="0" w:lastColumn="0" w:oddVBand="1" w:evenVBand="0" w:oddHBand="0" w:evenHBand="0" w:firstRowFirstColumn="0" w:firstRowLastColumn="0" w:lastRowFirstColumn="0" w:lastRowLastColumn="0"/>
            <w:tcW w:w="1559" w:type="dxa"/>
          </w:tcPr>
          <w:p w14:paraId="3DEC4F47" w14:textId="1EAA3B43" w:rsidR="00014E1E" w:rsidRPr="001F137C" w:rsidRDefault="00014E1E" w:rsidP="004C1C2A">
            <w:r w:rsidRPr="001F137C">
              <w:t>2</w:t>
            </w:r>
            <w:r w:rsidR="008B3503">
              <w:t>,</w:t>
            </w:r>
            <w:r w:rsidRPr="001F137C">
              <w:t>357</w:t>
            </w:r>
          </w:p>
        </w:tc>
      </w:tr>
      <w:tr w:rsidR="00014E1E" w:rsidRPr="00050253" w14:paraId="5A436F64" w14:textId="77777777" w:rsidTr="004C1C2A">
        <w:tc>
          <w:tcPr>
            <w:tcW w:w="1559" w:type="dxa"/>
          </w:tcPr>
          <w:p w14:paraId="7277E6C8" w14:textId="77777777" w:rsidR="00014E1E" w:rsidRPr="001F137C" w:rsidRDefault="00014E1E" w:rsidP="004C1C2A">
            <w:r w:rsidRPr="001F137C">
              <w:t>2001–2002</w:t>
            </w:r>
          </w:p>
        </w:tc>
        <w:tc>
          <w:tcPr>
            <w:cnfStyle w:val="000010000000" w:firstRow="0" w:lastRow="0" w:firstColumn="0" w:lastColumn="0" w:oddVBand="1" w:evenVBand="0" w:oddHBand="0" w:evenHBand="0" w:firstRowFirstColumn="0" w:firstRowLastColumn="0" w:lastRowFirstColumn="0" w:lastRowLastColumn="0"/>
            <w:tcW w:w="1559" w:type="dxa"/>
          </w:tcPr>
          <w:p w14:paraId="7CDD8BA7" w14:textId="6AA39D3E" w:rsidR="00014E1E" w:rsidRDefault="00014E1E" w:rsidP="004C1C2A">
            <w:r w:rsidRPr="001F137C">
              <w:t>2</w:t>
            </w:r>
            <w:r w:rsidR="008B3503">
              <w:t>,</w:t>
            </w:r>
            <w:r w:rsidRPr="001F137C">
              <w:t>434</w:t>
            </w:r>
          </w:p>
        </w:tc>
      </w:tr>
    </w:tbl>
    <w:p w14:paraId="6815348E" w14:textId="77777777" w:rsidR="00014E1E" w:rsidRDefault="00014E1E" w:rsidP="00014E1E">
      <w:pPr>
        <w:pStyle w:val="BodyText"/>
      </w:pPr>
    </w:p>
    <w:p w14:paraId="108E14A3" w14:textId="77777777" w:rsidR="00014E1E" w:rsidRDefault="00014E1E" w:rsidP="00014E1E">
      <w:pPr>
        <w:pStyle w:val="BodyText"/>
      </w:pPr>
    </w:p>
    <w:p w14:paraId="35BA7E04" w14:textId="77777777" w:rsidR="00BC268B" w:rsidRDefault="00BC268B">
      <w:pPr>
        <w:rPr>
          <w:b/>
          <w:bCs/>
          <w:iCs/>
          <w:color w:val="B3272F" w:themeColor="text2"/>
          <w:kern w:val="20"/>
          <w:sz w:val="24"/>
          <w:szCs w:val="28"/>
        </w:rPr>
      </w:pPr>
      <w:r>
        <w:br w:type="page"/>
      </w:r>
    </w:p>
    <w:p w14:paraId="4E814043" w14:textId="77777777" w:rsidR="00BC268B" w:rsidRDefault="00BC268B" w:rsidP="00BC268B">
      <w:pPr>
        <w:pStyle w:val="Heading2"/>
      </w:pPr>
      <w:bookmarkStart w:id="51" w:name="_Toc46161467"/>
      <w:bookmarkStart w:id="52" w:name="_Toc46822594"/>
      <w:r>
        <w:t>Top 40 dealings types, by number lodged</w:t>
      </w:r>
      <w:bookmarkEnd w:id="51"/>
      <w:bookmarkEnd w:id="52"/>
    </w:p>
    <w:p w14:paraId="430014EC" w14:textId="2EF19699" w:rsidR="000718D3" w:rsidRDefault="00BC268B" w:rsidP="00BC268B">
      <w:pPr>
        <w:pStyle w:val="BodyText"/>
        <w:keepNext/>
      </w:pPr>
      <w:r>
        <w:t>Shown below are the top 40 dealing types lodged in Land</w:t>
      </w:r>
      <w:r w:rsidR="006A3B2B">
        <w:t xml:space="preserve"> Registry Services </w:t>
      </w:r>
      <w:r>
        <w:t xml:space="preserve">for the financial year. </w:t>
      </w:r>
    </w:p>
    <w:tbl>
      <w:tblPr>
        <w:tblStyle w:val="TableGrid"/>
        <w:tblW w:w="0" w:type="auto"/>
        <w:tblLook w:val="00A0" w:firstRow="1" w:lastRow="0" w:firstColumn="1" w:lastColumn="0" w:noHBand="0" w:noVBand="0"/>
      </w:tblPr>
      <w:tblGrid>
        <w:gridCol w:w="1559"/>
        <w:gridCol w:w="4678"/>
        <w:gridCol w:w="1702"/>
      </w:tblGrid>
      <w:tr w:rsidR="001F57F8" w:rsidRPr="00050253" w14:paraId="186CB748" w14:textId="77777777" w:rsidTr="001F57F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59" w:type="dxa"/>
          </w:tcPr>
          <w:p w14:paraId="752F7F3E" w14:textId="77777777" w:rsidR="001F57F8" w:rsidRPr="00050253" w:rsidRDefault="001F57F8" w:rsidP="00EA6282">
            <w:pPr>
              <w:pStyle w:val="TableHeadingLeft"/>
            </w:pPr>
            <w:r>
              <w:t>Dealing type</w:t>
            </w:r>
          </w:p>
        </w:tc>
        <w:tc>
          <w:tcPr>
            <w:cnfStyle w:val="000010000000" w:firstRow="0" w:lastRow="0" w:firstColumn="0" w:lastColumn="0" w:oddVBand="1" w:evenVBand="0" w:oddHBand="0" w:evenHBand="0" w:firstRowFirstColumn="0" w:firstRowLastColumn="0" w:lastRowFirstColumn="0" w:lastRowLastColumn="0"/>
            <w:tcW w:w="4678" w:type="dxa"/>
          </w:tcPr>
          <w:p w14:paraId="3A3161BD" w14:textId="77777777" w:rsidR="001F57F8" w:rsidRPr="00050253" w:rsidRDefault="001F57F8" w:rsidP="00EA6282">
            <w:pPr>
              <w:pStyle w:val="TableHeadingLeft"/>
            </w:pPr>
            <w:r>
              <w:t>Description</w:t>
            </w:r>
          </w:p>
        </w:tc>
        <w:tc>
          <w:tcPr>
            <w:tcW w:w="1702" w:type="dxa"/>
          </w:tcPr>
          <w:p w14:paraId="137F5F03" w14:textId="77777777" w:rsidR="001F57F8" w:rsidRPr="00050253" w:rsidRDefault="001F57F8" w:rsidP="00EA6282">
            <w:pPr>
              <w:pStyle w:val="TableHeadingLeft"/>
              <w:cnfStyle w:val="100000000000" w:firstRow="1" w:lastRow="0" w:firstColumn="0" w:lastColumn="0" w:oddVBand="0" w:evenVBand="0" w:oddHBand="0" w:evenHBand="0" w:firstRowFirstColumn="0" w:firstRowLastColumn="0" w:lastRowFirstColumn="0" w:lastRowLastColumn="0"/>
            </w:pPr>
            <w:r>
              <w:t>Lodged</w:t>
            </w:r>
          </w:p>
        </w:tc>
      </w:tr>
      <w:tr w:rsidR="001F57F8" w:rsidRPr="00050253" w14:paraId="18DE099B" w14:textId="77777777" w:rsidTr="00D339EE">
        <w:trPr>
          <w:trHeight w:val="284"/>
        </w:trPr>
        <w:tc>
          <w:tcPr>
            <w:tcW w:w="1559" w:type="dxa"/>
          </w:tcPr>
          <w:p w14:paraId="1DBFF9AF" w14:textId="77777777" w:rsidR="001F57F8" w:rsidRPr="005848D7" w:rsidRDefault="001F57F8" w:rsidP="00EA6282">
            <w:r w:rsidRPr="005848D7">
              <w:t>84M</w:t>
            </w:r>
          </w:p>
        </w:tc>
        <w:tc>
          <w:tcPr>
            <w:cnfStyle w:val="000010000000" w:firstRow="0" w:lastRow="0" w:firstColumn="0" w:lastColumn="0" w:oddVBand="1" w:evenVBand="0" w:oddHBand="0" w:evenHBand="0" w:firstRowFirstColumn="0" w:firstRowLastColumn="0" w:lastRowFirstColumn="0" w:lastRowLastColumn="0"/>
            <w:tcW w:w="4678" w:type="dxa"/>
          </w:tcPr>
          <w:p w14:paraId="68DA6EB6" w14:textId="77777777" w:rsidR="001F57F8" w:rsidRPr="005848D7" w:rsidRDefault="001F57F8" w:rsidP="00EA6282">
            <w:r w:rsidRPr="005848D7">
              <w:t>Discharge of mortgage</w:t>
            </w:r>
          </w:p>
        </w:tc>
        <w:tc>
          <w:tcPr>
            <w:tcW w:w="1702" w:type="dxa"/>
          </w:tcPr>
          <w:p w14:paraId="1ED6288A" w14:textId="49968C71" w:rsidR="001F57F8" w:rsidRPr="005848D7" w:rsidRDefault="009B14EB" w:rsidP="00EA6282">
            <w:pPr>
              <w:cnfStyle w:val="000000000000" w:firstRow="0" w:lastRow="0" w:firstColumn="0" w:lastColumn="0" w:oddVBand="0" w:evenVBand="0" w:oddHBand="0" w:evenHBand="0" w:firstRowFirstColumn="0" w:firstRowLastColumn="0" w:lastRowFirstColumn="0" w:lastRowLastColumn="0"/>
            </w:pPr>
            <w:r>
              <w:t>2</w:t>
            </w:r>
            <w:r w:rsidR="00057043">
              <w:t>72,895</w:t>
            </w:r>
          </w:p>
        </w:tc>
      </w:tr>
      <w:tr w:rsidR="001F57F8" w:rsidRPr="00050253" w14:paraId="664505B1" w14:textId="77777777" w:rsidTr="00D339EE">
        <w:trPr>
          <w:trHeight w:val="284"/>
        </w:trPr>
        <w:tc>
          <w:tcPr>
            <w:tcW w:w="1559" w:type="dxa"/>
          </w:tcPr>
          <w:p w14:paraId="19234020" w14:textId="77777777" w:rsidR="001F57F8" w:rsidRPr="005848D7" w:rsidRDefault="001F57F8" w:rsidP="00EA6282">
            <w:r w:rsidRPr="005848D7">
              <w:t>74</w:t>
            </w:r>
          </w:p>
        </w:tc>
        <w:tc>
          <w:tcPr>
            <w:cnfStyle w:val="000010000000" w:firstRow="0" w:lastRow="0" w:firstColumn="0" w:lastColumn="0" w:oddVBand="1" w:evenVBand="0" w:oddHBand="0" w:evenHBand="0" w:firstRowFirstColumn="0" w:firstRowLastColumn="0" w:lastRowFirstColumn="0" w:lastRowLastColumn="0"/>
            <w:tcW w:w="4678" w:type="dxa"/>
          </w:tcPr>
          <w:p w14:paraId="785FC3AB" w14:textId="77777777" w:rsidR="001F57F8" w:rsidRPr="005848D7" w:rsidRDefault="001F57F8" w:rsidP="00EA6282">
            <w:r w:rsidRPr="005848D7">
              <w:t>Mortgage</w:t>
            </w:r>
          </w:p>
        </w:tc>
        <w:tc>
          <w:tcPr>
            <w:tcW w:w="1702" w:type="dxa"/>
          </w:tcPr>
          <w:p w14:paraId="0CE2723B" w14:textId="69202D31" w:rsidR="001F57F8" w:rsidRPr="005848D7" w:rsidRDefault="00F82905" w:rsidP="00EA6282">
            <w:pPr>
              <w:cnfStyle w:val="000000000000" w:firstRow="0" w:lastRow="0" w:firstColumn="0" w:lastColumn="0" w:oddVBand="0" w:evenVBand="0" w:oddHBand="0" w:evenHBand="0" w:firstRowFirstColumn="0" w:firstRowLastColumn="0" w:lastRowFirstColumn="0" w:lastRowLastColumn="0"/>
            </w:pPr>
            <w:r>
              <w:t>25</w:t>
            </w:r>
            <w:r w:rsidR="00DA52B8">
              <w:t>2,701</w:t>
            </w:r>
          </w:p>
        </w:tc>
      </w:tr>
      <w:tr w:rsidR="001F57F8" w:rsidRPr="00050253" w14:paraId="13867E0B" w14:textId="77777777" w:rsidTr="00D339EE">
        <w:trPr>
          <w:trHeight w:val="284"/>
        </w:trPr>
        <w:tc>
          <w:tcPr>
            <w:tcW w:w="1559" w:type="dxa"/>
          </w:tcPr>
          <w:p w14:paraId="00F8435A" w14:textId="77777777" w:rsidR="001F57F8" w:rsidRPr="005848D7" w:rsidRDefault="001F57F8" w:rsidP="00EA6282">
            <w:r w:rsidRPr="005848D7">
              <w:t>45</w:t>
            </w:r>
          </w:p>
        </w:tc>
        <w:tc>
          <w:tcPr>
            <w:cnfStyle w:val="000010000000" w:firstRow="0" w:lastRow="0" w:firstColumn="0" w:lastColumn="0" w:oddVBand="1" w:evenVBand="0" w:oddHBand="0" w:evenHBand="0" w:firstRowFirstColumn="0" w:firstRowLastColumn="0" w:lastRowFirstColumn="0" w:lastRowLastColumn="0"/>
            <w:tcW w:w="4678" w:type="dxa"/>
          </w:tcPr>
          <w:p w14:paraId="4F3C8453" w14:textId="77777777" w:rsidR="001F57F8" w:rsidRPr="005848D7" w:rsidRDefault="001F57F8" w:rsidP="00EA6282">
            <w:r w:rsidRPr="005848D7">
              <w:t>Transfer</w:t>
            </w:r>
          </w:p>
        </w:tc>
        <w:tc>
          <w:tcPr>
            <w:tcW w:w="1702" w:type="dxa"/>
          </w:tcPr>
          <w:p w14:paraId="5FAD3992" w14:textId="1142069C" w:rsidR="001F57F8" w:rsidRPr="005848D7" w:rsidRDefault="00DA52B8" w:rsidP="00EA6282">
            <w:pPr>
              <w:cnfStyle w:val="000000000000" w:firstRow="0" w:lastRow="0" w:firstColumn="0" w:lastColumn="0" w:oddVBand="0" w:evenVBand="0" w:oddHBand="0" w:evenHBand="0" w:firstRowFirstColumn="0" w:firstRowLastColumn="0" w:lastRowFirstColumn="0" w:lastRowLastColumn="0"/>
            </w:pPr>
            <w:r>
              <w:t>180,559</w:t>
            </w:r>
          </w:p>
        </w:tc>
      </w:tr>
      <w:tr w:rsidR="001F57F8" w:rsidRPr="00050253" w14:paraId="11782D22" w14:textId="77777777" w:rsidTr="00D339EE">
        <w:trPr>
          <w:trHeight w:val="284"/>
        </w:trPr>
        <w:tc>
          <w:tcPr>
            <w:tcW w:w="1559" w:type="dxa"/>
          </w:tcPr>
          <w:p w14:paraId="299E23F8" w14:textId="77777777" w:rsidR="001F57F8" w:rsidRPr="005848D7" w:rsidRDefault="001F57F8" w:rsidP="00EA6282">
            <w:r w:rsidRPr="005848D7">
              <w:t>89</w:t>
            </w:r>
          </w:p>
        </w:tc>
        <w:tc>
          <w:tcPr>
            <w:cnfStyle w:val="000010000000" w:firstRow="0" w:lastRow="0" w:firstColumn="0" w:lastColumn="0" w:oddVBand="1" w:evenVBand="0" w:oddHBand="0" w:evenHBand="0" w:firstRowFirstColumn="0" w:firstRowLastColumn="0" w:lastRowFirstColumn="0" w:lastRowLastColumn="0"/>
            <w:tcW w:w="4678" w:type="dxa"/>
          </w:tcPr>
          <w:p w14:paraId="32D6AEDF" w14:textId="77777777" w:rsidR="001F57F8" w:rsidRPr="005848D7" w:rsidRDefault="001F57F8" w:rsidP="00EA6282">
            <w:r w:rsidRPr="005848D7">
              <w:t>Caveat</w:t>
            </w:r>
          </w:p>
        </w:tc>
        <w:tc>
          <w:tcPr>
            <w:tcW w:w="1702" w:type="dxa"/>
          </w:tcPr>
          <w:p w14:paraId="70FF6951" w14:textId="2C328891" w:rsidR="001F57F8" w:rsidRPr="005848D7" w:rsidRDefault="00F82905" w:rsidP="00EA6282">
            <w:pPr>
              <w:cnfStyle w:val="000000000000" w:firstRow="0" w:lastRow="0" w:firstColumn="0" w:lastColumn="0" w:oddVBand="0" w:evenVBand="0" w:oddHBand="0" w:evenHBand="0" w:firstRowFirstColumn="0" w:firstRowLastColumn="0" w:lastRowFirstColumn="0" w:lastRowLastColumn="0"/>
            </w:pPr>
            <w:r>
              <w:t>3</w:t>
            </w:r>
            <w:r w:rsidR="00DA52B8">
              <w:t>0,579</w:t>
            </w:r>
          </w:p>
        </w:tc>
      </w:tr>
      <w:tr w:rsidR="001F57F8" w:rsidRPr="00050253" w14:paraId="44CBA0B8" w14:textId="77777777" w:rsidTr="00D339EE">
        <w:trPr>
          <w:trHeight w:val="284"/>
        </w:trPr>
        <w:tc>
          <w:tcPr>
            <w:tcW w:w="1559" w:type="dxa"/>
          </w:tcPr>
          <w:p w14:paraId="4A68299F" w14:textId="77777777" w:rsidR="001F57F8" w:rsidRPr="005848D7" w:rsidRDefault="001F57F8" w:rsidP="00EA6282">
            <w:r w:rsidRPr="005848D7">
              <w:t>45NM</w:t>
            </w:r>
          </w:p>
        </w:tc>
        <w:tc>
          <w:tcPr>
            <w:cnfStyle w:val="000010000000" w:firstRow="0" w:lastRow="0" w:firstColumn="0" w:lastColumn="0" w:oddVBand="1" w:evenVBand="0" w:oddHBand="0" w:evenHBand="0" w:firstRowFirstColumn="0" w:firstRowLastColumn="0" w:lastRowFirstColumn="0" w:lastRowLastColumn="0"/>
            <w:tcW w:w="4678" w:type="dxa"/>
          </w:tcPr>
          <w:p w14:paraId="1911A26A" w14:textId="77777777" w:rsidR="001F57F8" w:rsidRPr="005848D7" w:rsidRDefault="001F57F8" w:rsidP="00EA6282">
            <w:r w:rsidRPr="005848D7">
              <w:t>Transfer</w:t>
            </w:r>
          </w:p>
        </w:tc>
        <w:tc>
          <w:tcPr>
            <w:tcW w:w="1702" w:type="dxa"/>
          </w:tcPr>
          <w:p w14:paraId="54907454" w14:textId="7B742DEF" w:rsidR="001F57F8" w:rsidRPr="005848D7" w:rsidRDefault="00F82905" w:rsidP="00EA6282">
            <w:pPr>
              <w:cnfStyle w:val="000000000000" w:firstRow="0" w:lastRow="0" w:firstColumn="0" w:lastColumn="0" w:oddVBand="0" w:evenVBand="0" w:oddHBand="0" w:evenHBand="0" w:firstRowFirstColumn="0" w:firstRowLastColumn="0" w:lastRowFirstColumn="0" w:lastRowLastColumn="0"/>
            </w:pPr>
            <w:r>
              <w:t>21</w:t>
            </w:r>
            <w:r w:rsidR="00055E01">
              <w:t>,919</w:t>
            </w:r>
          </w:p>
        </w:tc>
      </w:tr>
      <w:tr w:rsidR="001F57F8" w:rsidRPr="00050253" w14:paraId="39C3D9E0" w14:textId="77777777" w:rsidTr="00D339EE">
        <w:trPr>
          <w:trHeight w:val="284"/>
        </w:trPr>
        <w:tc>
          <w:tcPr>
            <w:tcW w:w="1559" w:type="dxa"/>
          </w:tcPr>
          <w:p w14:paraId="52E18364" w14:textId="77777777" w:rsidR="001F57F8" w:rsidRPr="005848D7" w:rsidRDefault="001F57F8" w:rsidP="00EA6282">
            <w:r w:rsidRPr="005848D7">
              <w:t>89W</w:t>
            </w:r>
          </w:p>
        </w:tc>
        <w:tc>
          <w:tcPr>
            <w:cnfStyle w:val="000010000000" w:firstRow="0" w:lastRow="0" w:firstColumn="0" w:lastColumn="0" w:oddVBand="1" w:evenVBand="0" w:oddHBand="0" w:evenHBand="0" w:firstRowFirstColumn="0" w:firstRowLastColumn="0" w:lastRowFirstColumn="0" w:lastRowLastColumn="0"/>
            <w:tcW w:w="4678" w:type="dxa"/>
          </w:tcPr>
          <w:p w14:paraId="307A7749" w14:textId="77777777" w:rsidR="001F57F8" w:rsidRPr="005848D7" w:rsidRDefault="001F57F8" w:rsidP="00EA6282">
            <w:r w:rsidRPr="005848D7">
              <w:t>Withdrawal of Caveat</w:t>
            </w:r>
          </w:p>
        </w:tc>
        <w:tc>
          <w:tcPr>
            <w:tcW w:w="1702" w:type="dxa"/>
          </w:tcPr>
          <w:p w14:paraId="653EEAD5" w14:textId="37076798" w:rsidR="001F57F8" w:rsidRPr="005848D7" w:rsidRDefault="00F82905" w:rsidP="00EA6282">
            <w:pPr>
              <w:cnfStyle w:val="000000000000" w:firstRow="0" w:lastRow="0" w:firstColumn="0" w:lastColumn="0" w:oddVBand="0" w:evenVBand="0" w:oddHBand="0" w:evenHBand="0" w:firstRowFirstColumn="0" w:firstRowLastColumn="0" w:lastRowFirstColumn="0" w:lastRowLastColumn="0"/>
            </w:pPr>
            <w:r>
              <w:t>18,</w:t>
            </w:r>
            <w:r w:rsidR="00055E01">
              <w:t>002</w:t>
            </w:r>
          </w:p>
        </w:tc>
      </w:tr>
      <w:tr w:rsidR="001F57F8" w:rsidRPr="00050253" w14:paraId="43C2F64C" w14:textId="77777777" w:rsidTr="00D339EE">
        <w:trPr>
          <w:trHeight w:val="284"/>
        </w:trPr>
        <w:tc>
          <w:tcPr>
            <w:tcW w:w="1559" w:type="dxa"/>
          </w:tcPr>
          <w:p w14:paraId="298A40D1" w14:textId="77777777" w:rsidR="001F57F8" w:rsidRPr="005848D7" w:rsidRDefault="001F57F8" w:rsidP="00EA6282">
            <w:r w:rsidRPr="005848D7">
              <w:t>49</w:t>
            </w:r>
          </w:p>
        </w:tc>
        <w:tc>
          <w:tcPr>
            <w:cnfStyle w:val="000010000000" w:firstRow="0" w:lastRow="0" w:firstColumn="0" w:lastColumn="0" w:oddVBand="1" w:evenVBand="0" w:oddHBand="0" w:evenHBand="0" w:firstRowFirstColumn="0" w:firstRowLastColumn="0" w:lastRowFirstColumn="0" w:lastRowLastColumn="0"/>
            <w:tcW w:w="4678" w:type="dxa"/>
          </w:tcPr>
          <w:p w14:paraId="37E54E9E" w14:textId="77777777" w:rsidR="001F57F8" w:rsidRPr="005848D7" w:rsidRDefault="001F57F8" w:rsidP="00EA6282">
            <w:r w:rsidRPr="005848D7">
              <w:t>Transmission Application</w:t>
            </w:r>
          </w:p>
        </w:tc>
        <w:tc>
          <w:tcPr>
            <w:tcW w:w="1702" w:type="dxa"/>
          </w:tcPr>
          <w:p w14:paraId="7305E22E" w14:textId="7CC4ECC5" w:rsidR="001F57F8" w:rsidRPr="005848D7" w:rsidRDefault="00F82905" w:rsidP="00EA6282">
            <w:pPr>
              <w:cnfStyle w:val="000000000000" w:firstRow="0" w:lastRow="0" w:firstColumn="0" w:lastColumn="0" w:oddVBand="0" w:evenVBand="0" w:oddHBand="0" w:evenHBand="0" w:firstRowFirstColumn="0" w:firstRowLastColumn="0" w:lastRowFirstColumn="0" w:lastRowLastColumn="0"/>
            </w:pPr>
            <w:r>
              <w:t>1</w:t>
            </w:r>
            <w:r w:rsidR="00055E01">
              <w:t>3,383</w:t>
            </w:r>
          </w:p>
        </w:tc>
      </w:tr>
      <w:tr w:rsidR="001F57F8" w:rsidRPr="00050253" w14:paraId="2F15D24E" w14:textId="77777777" w:rsidTr="00D339EE">
        <w:trPr>
          <w:trHeight w:val="284"/>
        </w:trPr>
        <w:tc>
          <w:tcPr>
            <w:tcW w:w="1559" w:type="dxa"/>
          </w:tcPr>
          <w:p w14:paraId="296F978E" w14:textId="75914DED" w:rsidR="001F57F8" w:rsidRPr="005848D7" w:rsidRDefault="00055E01" w:rsidP="00EA6282">
            <w:r>
              <w:t>74D</w:t>
            </w:r>
          </w:p>
        </w:tc>
        <w:tc>
          <w:tcPr>
            <w:cnfStyle w:val="000010000000" w:firstRow="0" w:lastRow="0" w:firstColumn="0" w:lastColumn="0" w:oddVBand="1" w:evenVBand="0" w:oddHBand="0" w:evenHBand="0" w:firstRowFirstColumn="0" w:firstRowLastColumn="0" w:lastRowFirstColumn="0" w:lastRowLastColumn="0"/>
            <w:tcW w:w="4678" w:type="dxa"/>
          </w:tcPr>
          <w:p w14:paraId="3915E32D" w14:textId="1E075015" w:rsidR="001F57F8" w:rsidRPr="005848D7" w:rsidRDefault="00055E01" w:rsidP="00EA6282">
            <w:r>
              <w:t>Mortgage</w:t>
            </w:r>
          </w:p>
        </w:tc>
        <w:tc>
          <w:tcPr>
            <w:tcW w:w="1702" w:type="dxa"/>
          </w:tcPr>
          <w:p w14:paraId="17B8FEDB" w14:textId="1005A64B" w:rsidR="001F57F8" w:rsidRPr="005848D7" w:rsidRDefault="00D84D4D" w:rsidP="00EA6282">
            <w:pPr>
              <w:cnfStyle w:val="000000000000" w:firstRow="0" w:lastRow="0" w:firstColumn="0" w:lastColumn="0" w:oddVBand="0" w:evenVBand="0" w:oddHBand="0" w:evenHBand="0" w:firstRowFirstColumn="0" w:firstRowLastColumn="0" w:lastRowFirstColumn="0" w:lastRowLastColumn="0"/>
            </w:pPr>
            <w:r>
              <w:t>10,180</w:t>
            </w:r>
          </w:p>
        </w:tc>
      </w:tr>
      <w:tr w:rsidR="001F57F8" w:rsidRPr="00050253" w14:paraId="16670A95" w14:textId="77777777" w:rsidTr="00D339EE">
        <w:trPr>
          <w:trHeight w:val="284"/>
        </w:trPr>
        <w:tc>
          <w:tcPr>
            <w:tcW w:w="1559" w:type="dxa"/>
          </w:tcPr>
          <w:p w14:paraId="7331BD65" w14:textId="6C85BE7D" w:rsidR="001F57F8" w:rsidRPr="005848D7" w:rsidRDefault="00055E01" w:rsidP="00EA6282">
            <w:r>
              <w:t>50</w:t>
            </w:r>
          </w:p>
        </w:tc>
        <w:tc>
          <w:tcPr>
            <w:cnfStyle w:val="000010000000" w:firstRow="0" w:lastRow="0" w:firstColumn="0" w:lastColumn="0" w:oddVBand="1" w:evenVBand="0" w:oddHBand="0" w:evenHBand="0" w:firstRowFirstColumn="0" w:firstRowLastColumn="0" w:lastRowFirstColumn="0" w:lastRowLastColumn="0"/>
            <w:tcW w:w="4678" w:type="dxa"/>
          </w:tcPr>
          <w:p w14:paraId="563BBB55" w14:textId="7DCCE62A" w:rsidR="001F57F8" w:rsidRPr="005848D7" w:rsidRDefault="00055E01" w:rsidP="00055E01">
            <w:pPr>
              <w:ind w:left="0"/>
            </w:pPr>
            <w:r>
              <w:t xml:space="preserve"> </w:t>
            </w:r>
            <w:r w:rsidRPr="005848D7">
              <w:t>Survivorship Application</w:t>
            </w:r>
          </w:p>
        </w:tc>
        <w:tc>
          <w:tcPr>
            <w:tcW w:w="1702" w:type="dxa"/>
          </w:tcPr>
          <w:p w14:paraId="4C8E9E98" w14:textId="4F43FF1C" w:rsidR="001F57F8" w:rsidRPr="005848D7" w:rsidRDefault="00D84D4D" w:rsidP="00EA6282">
            <w:pPr>
              <w:cnfStyle w:val="000000000000" w:firstRow="0" w:lastRow="0" w:firstColumn="0" w:lastColumn="0" w:oddVBand="0" w:evenVBand="0" w:oddHBand="0" w:evenHBand="0" w:firstRowFirstColumn="0" w:firstRowLastColumn="0" w:lastRowFirstColumn="0" w:lastRowLastColumn="0"/>
            </w:pPr>
            <w:r>
              <w:t>9,965</w:t>
            </w:r>
          </w:p>
        </w:tc>
      </w:tr>
      <w:tr w:rsidR="001F57F8" w:rsidRPr="00050253" w14:paraId="672FA549" w14:textId="77777777" w:rsidTr="00D339EE">
        <w:trPr>
          <w:trHeight w:val="284"/>
        </w:trPr>
        <w:tc>
          <w:tcPr>
            <w:tcW w:w="1559" w:type="dxa"/>
          </w:tcPr>
          <w:p w14:paraId="0A0DB60C" w14:textId="41D5FFDB" w:rsidR="001F57F8" w:rsidRPr="005848D7" w:rsidRDefault="00F82905" w:rsidP="00EA6282">
            <w:r>
              <w:t>PS</w:t>
            </w:r>
          </w:p>
        </w:tc>
        <w:tc>
          <w:tcPr>
            <w:cnfStyle w:val="000010000000" w:firstRow="0" w:lastRow="0" w:firstColumn="0" w:lastColumn="0" w:oddVBand="1" w:evenVBand="0" w:oddHBand="0" w:evenHBand="0" w:firstRowFirstColumn="0" w:firstRowLastColumn="0" w:lastRowFirstColumn="0" w:lastRowLastColumn="0"/>
            <w:tcW w:w="4678" w:type="dxa"/>
          </w:tcPr>
          <w:p w14:paraId="4B0D9B83" w14:textId="4DEC5365" w:rsidR="001F57F8" w:rsidRPr="005848D7" w:rsidRDefault="00F82905" w:rsidP="00EA6282">
            <w:r w:rsidRPr="005848D7">
              <w:t>Plan of Subdivision</w:t>
            </w:r>
          </w:p>
        </w:tc>
        <w:tc>
          <w:tcPr>
            <w:tcW w:w="1702" w:type="dxa"/>
          </w:tcPr>
          <w:p w14:paraId="6413D06C" w14:textId="1B00A79B" w:rsidR="001F57F8" w:rsidRPr="005848D7" w:rsidRDefault="001424D7" w:rsidP="00EA6282">
            <w:pPr>
              <w:cnfStyle w:val="000000000000" w:firstRow="0" w:lastRow="0" w:firstColumn="0" w:lastColumn="0" w:oddVBand="0" w:evenVBand="0" w:oddHBand="0" w:evenHBand="0" w:firstRowFirstColumn="0" w:firstRowLastColumn="0" w:lastRowFirstColumn="0" w:lastRowLastColumn="0"/>
            </w:pPr>
            <w:r>
              <w:t>8</w:t>
            </w:r>
            <w:r w:rsidR="00D84D4D">
              <w:t>,011</w:t>
            </w:r>
          </w:p>
        </w:tc>
      </w:tr>
      <w:tr w:rsidR="001F57F8" w:rsidRPr="00050253" w14:paraId="31100D5B" w14:textId="77777777" w:rsidTr="00D339EE">
        <w:trPr>
          <w:trHeight w:val="284"/>
        </w:trPr>
        <w:tc>
          <w:tcPr>
            <w:tcW w:w="1559" w:type="dxa"/>
          </w:tcPr>
          <w:p w14:paraId="29E4CA7F" w14:textId="77777777" w:rsidR="001F57F8" w:rsidRPr="005848D7" w:rsidRDefault="001F57F8" w:rsidP="00EA6282">
            <w:r w:rsidRPr="005848D7">
              <w:t>OCAI</w:t>
            </w:r>
          </w:p>
        </w:tc>
        <w:tc>
          <w:tcPr>
            <w:cnfStyle w:val="000010000000" w:firstRow="0" w:lastRow="0" w:firstColumn="0" w:lastColumn="0" w:oddVBand="1" w:evenVBand="0" w:oddHBand="0" w:evenHBand="0" w:firstRowFirstColumn="0" w:firstRowLastColumn="0" w:lastRowFirstColumn="0" w:lastRowLastColumn="0"/>
            <w:tcW w:w="4678" w:type="dxa"/>
          </w:tcPr>
          <w:p w14:paraId="49392FF8" w14:textId="77777777" w:rsidR="001F57F8" w:rsidRPr="005848D7" w:rsidRDefault="001F57F8" w:rsidP="00EA6282">
            <w:r w:rsidRPr="005848D7">
              <w:t>Additional information</w:t>
            </w:r>
          </w:p>
        </w:tc>
        <w:tc>
          <w:tcPr>
            <w:tcW w:w="1702" w:type="dxa"/>
          </w:tcPr>
          <w:p w14:paraId="31F22206" w14:textId="41EBA098" w:rsidR="001F57F8" w:rsidRPr="005848D7" w:rsidRDefault="00F82905" w:rsidP="00EA6282">
            <w:pPr>
              <w:cnfStyle w:val="000000000000" w:firstRow="0" w:lastRow="0" w:firstColumn="0" w:lastColumn="0" w:oddVBand="0" w:evenVBand="0" w:oddHBand="0" w:evenHBand="0" w:firstRowFirstColumn="0" w:firstRowLastColumn="0" w:lastRowFirstColumn="0" w:lastRowLastColumn="0"/>
            </w:pPr>
            <w:r>
              <w:t>3,9</w:t>
            </w:r>
            <w:r w:rsidR="006A5E48">
              <w:t>17</w:t>
            </w:r>
          </w:p>
        </w:tc>
      </w:tr>
      <w:tr w:rsidR="006A3234" w:rsidRPr="00050253" w14:paraId="03E36280" w14:textId="77777777" w:rsidTr="00D339EE">
        <w:trPr>
          <w:trHeight w:val="284"/>
        </w:trPr>
        <w:tc>
          <w:tcPr>
            <w:tcW w:w="1559" w:type="dxa"/>
          </w:tcPr>
          <w:p w14:paraId="4FDD3958" w14:textId="100172D1" w:rsidR="006A3234" w:rsidRPr="005848D7" w:rsidRDefault="006A3234" w:rsidP="006A3234">
            <w:r>
              <w:t>31</w:t>
            </w:r>
          </w:p>
        </w:tc>
        <w:tc>
          <w:tcPr>
            <w:cnfStyle w:val="000010000000" w:firstRow="0" w:lastRow="0" w:firstColumn="0" w:lastColumn="0" w:oddVBand="1" w:evenVBand="0" w:oddHBand="0" w:evenHBand="0" w:firstRowFirstColumn="0" w:firstRowLastColumn="0" w:lastRowFirstColumn="0" w:lastRowLastColumn="0"/>
            <w:tcW w:w="4678" w:type="dxa"/>
          </w:tcPr>
          <w:p w14:paraId="74EDC446" w14:textId="347D8492" w:rsidR="006A3234" w:rsidRPr="005848D7" w:rsidRDefault="006A3234" w:rsidP="006A3234">
            <w:r w:rsidRPr="005848D7">
              <w:t>Application</w:t>
            </w:r>
            <w:r>
              <w:t xml:space="preserve"> for</w:t>
            </w:r>
            <w:r w:rsidRPr="005848D7">
              <w:t xml:space="preserve"> </w:t>
            </w:r>
            <w:r>
              <w:t>lost title</w:t>
            </w:r>
          </w:p>
        </w:tc>
        <w:tc>
          <w:tcPr>
            <w:tcW w:w="1702" w:type="dxa"/>
          </w:tcPr>
          <w:p w14:paraId="608FB36E" w14:textId="7BF878F1" w:rsidR="006A3234" w:rsidRPr="005848D7" w:rsidRDefault="006A3234" w:rsidP="006A3234">
            <w:pPr>
              <w:cnfStyle w:val="000000000000" w:firstRow="0" w:lastRow="0" w:firstColumn="0" w:lastColumn="0" w:oddVBand="0" w:evenVBand="0" w:oddHBand="0" w:evenHBand="0" w:firstRowFirstColumn="0" w:firstRowLastColumn="0" w:lastRowFirstColumn="0" w:lastRowLastColumn="0"/>
            </w:pPr>
            <w:r>
              <w:t>2,729</w:t>
            </w:r>
          </w:p>
        </w:tc>
      </w:tr>
      <w:tr w:rsidR="006A3234" w:rsidRPr="00050253" w14:paraId="77297D1A" w14:textId="77777777" w:rsidTr="00D339EE">
        <w:trPr>
          <w:trHeight w:val="284"/>
        </w:trPr>
        <w:tc>
          <w:tcPr>
            <w:tcW w:w="1559" w:type="dxa"/>
          </w:tcPr>
          <w:p w14:paraId="45466C51" w14:textId="591F18C3" w:rsidR="006A3234" w:rsidRPr="005848D7" w:rsidRDefault="006A3234" w:rsidP="006A3234">
            <w:r w:rsidRPr="005848D7">
              <w:t>173</w:t>
            </w:r>
          </w:p>
        </w:tc>
        <w:tc>
          <w:tcPr>
            <w:cnfStyle w:val="000010000000" w:firstRow="0" w:lastRow="0" w:firstColumn="0" w:lastColumn="0" w:oddVBand="1" w:evenVBand="0" w:oddHBand="0" w:evenHBand="0" w:firstRowFirstColumn="0" w:firstRowLastColumn="0" w:lastRowFirstColumn="0" w:lastRowLastColumn="0"/>
            <w:tcW w:w="4678" w:type="dxa"/>
          </w:tcPr>
          <w:p w14:paraId="39B63286" w14:textId="0F1D7CCC" w:rsidR="006A3234" w:rsidRPr="005848D7" w:rsidRDefault="006A3234" w:rsidP="006A3234">
            <w:r w:rsidRPr="005848D7">
              <w:t>Agreement</w:t>
            </w:r>
          </w:p>
        </w:tc>
        <w:tc>
          <w:tcPr>
            <w:tcW w:w="1702" w:type="dxa"/>
          </w:tcPr>
          <w:p w14:paraId="1DBD0304" w14:textId="104C90D1" w:rsidR="006A3234" w:rsidRPr="005848D7" w:rsidRDefault="006A3234" w:rsidP="006A3234">
            <w:pPr>
              <w:cnfStyle w:val="000000000000" w:firstRow="0" w:lastRow="0" w:firstColumn="0" w:lastColumn="0" w:oddVBand="0" w:evenVBand="0" w:oddHBand="0" w:evenHBand="0" w:firstRowFirstColumn="0" w:firstRowLastColumn="0" w:lastRowFirstColumn="0" w:lastRowLastColumn="0"/>
            </w:pPr>
            <w:r>
              <w:t>2,604</w:t>
            </w:r>
          </w:p>
        </w:tc>
      </w:tr>
      <w:tr w:rsidR="006A3234" w:rsidRPr="00050253" w14:paraId="1167CDA3" w14:textId="77777777" w:rsidTr="00D339EE">
        <w:trPr>
          <w:trHeight w:val="284"/>
        </w:trPr>
        <w:tc>
          <w:tcPr>
            <w:tcW w:w="1559" w:type="dxa"/>
          </w:tcPr>
          <w:p w14:paraId="6C3B79B0" w14:textId="3D0F1333" w:rsidR="006A3234" w:rsidRDefault="006A3234" w:rsidP="006A3234">
            <w:r>
              <w:t>PN</w:t>
            </w:r>
          </w:p>
        </w:tc>
        <w:tc>
          <w:tcPr>
            <w:cnfStyle w:val="000010000000" w:firstRow="0" w:lastRow="0" w:firstColumn="0" w:lastColumn="0" w:oddVBand="1" w:evenVBand="0" w:oddHBand="0" w:evenHBand="0" w:firstRowFirstColumn="0" w:firstRowLastColumn="0" w:lastRowFirstColumn="0" w:lastRowLastColumn="0"/>
            <w:tcW w:w="4678" w:type="dxa"/>
          </w:tcPr>
          <w:p w14:paraId="40B84033" w14:textId="38D61313" w:rsidR="006A3234" w:rsidRPr="005848D7" w:rsidRDefault="006A3234" w:rsidP="006A3234">
            <w:r>
              <w:t>Priority Notice</w:t>
            </w:r>
          </w:p>
        </w:tc>
        <w:tc>
          <w:tcPr>
            <w:tcW w:w="1702" w:type="dxa"/>
          </w:tcPr>
          <w:p w14:paraId="7783ABEE" w14:textId="03CFA076" w:rsidR="006A3234" w:rsidRDefault="00A41108" w:rsidP="006A3234">
            <w:pPr>
              <w:cnfStyle w:val="000000000000" w:firstRow="0" w:lastRow="0" w:firstColumn="0" w:lastColumn="0" w:oddVBand="0" w:evenVBand="0" w:oddHBand="0" w:evenHBand="0" w:firstRowFirstColumn="0" w:firstRowLastColumn="0" w:lastRowFirstColumn="0" w:lastRowLastColumn="0"/>
            </w:pPr>
            <w:r>
              <w:t>1,682</w:t>
            </w:r>
          </w:p>
        </w:tc>
      </w:tr>
      <w:tr w:rsidR="00A41108" w:rsidRPr="00050253" w14:paraId="64BB25C4" w14:textId="77777777" w:rsidTr="00D339EE">
        <w:trPr>
          <w:trHeight w:val="284"/>
        </w:trPr>
        <w:tc>
          <w:tcPr>
            <w:tcW w:w="1559" w:type="dxa"/>
          </w:tcPr>
          <w:p w14:paraId="0DB147AF" w14:textId="52DDE459" w:rsidR="00A41108" w:rsidRPr="005848D7" w:rsidRDefault="00A41108" w:rsidP="00A41108">
            <w:r>
              <w:t>32-2</w:t>
            </w:r>
          </w:p>
        </w:tc>
        <w:tc>
          <w:tcPr>
            <w:cnfStyle w:val="000010000000" w:firstRow="0" w:lastRow="0" w:firstColumn="0" w:lastColumn="0" w:oddVBand="1" w:evenVBand="0" w:oddHBand="0" w:evenHBand="0" w:firstRowFirstColumn="0" w:firstRowLastColumn="0" w:lastRowFirstColumn="0" w:lastRowLastColumn="0"/>
            <w:tcW w:w="4678" w:type="dxa"/>
          </w:tcPr>
          <w:p w14:paraId="6517B427" w14:textId="53122B5D" w:rsidR="00A41108" w:rsidRPr="005848D7" w:rsidRDefault="00A41108" w:rsidP="00A41108">
            <w:r>
              <w:t xml:space="preserve">Application for a new folio </w:t>
            </w:r>
            <w:proofErr w:type="spellStart"/>
            <w:r w:rsidRPr="005848D7">
              <w:t>folio</w:t>
            </w:r>
            <w:proofErr w:type="spellEnd"/>
            <w:r w:rsidRPr="005848D7">
              <w:t xml:space="preserve"> of the register</w:t>
            </w:r>
          </w:p>
        </w:tc>
        <w:tc>
          <w:tcPr>
            <w:tcW w:w="1702" w:type="dxa"/>
          </w:tcPr>
          <w:p w14:paraId="5967231E" w14:textId="2911544C" w:rsidR="00A41108" w:rsidRPr="005848D7" w:rsidRDefault="00A41108" w:rsidP="00A41108">
            <w:pPr>
              <w:cnfStyle w:val="000000000000" w:firstRow="0" w:lastRow="0" w:firstColumn="0" w:lastColumn="0" w:oddVBand="0" w:evenVBand="0" w:oddHBand="0" w:evenHBand="0" w:firstRowFirstColumn="0" w:firstRowLastColumn="0" w:lastRowFirstColumn="0" w:lastRowLastColumn="0"/>
            </w:pPr>
            <w:r>
              <w:t>1</w:t>
            </w:r>
            <w:r w:rsidR="00652DF6">
              <w:t>,038</w:t>
            </w:r>
          </w:p>
        </w:tc>
      </w:tr>
      <w:tr w:rsidR="003D6A13" w:rsidRPr="00050253" w14:paraId="4B3B695B" w14:textId="77777777" w:rsidTr="00D339EE">
        <w:trPr>
          <w:trHeight w:val="284"/>
        </w:trPr>
        <w:tc>
          <w:tcPr>
            <w:tcW w:w="1559" w:type="dxa"/>
          </w:tcPr>
          <w:p w14:paraId="7AA4B14F" w14:textId="54E1F16A" w:rsidR="003D6A13" w:rsidRPr="005848D7" w:rsidRDefault="003D6A13" w:rsidP="003D6A13">
            <w:r>
              <w:t>MCP</w:t>
            </w:r>
          </w:p>
        </w:tc>
        <w:tc>
          <w:tcPr>
            <w:cnfStyle w:val="000010000000" w:firstRow="0" w:lastRow="0" w:firstColumn="0" w:lastColumn="0" w:oddVBand="1" w:evenVBand="0" w:oddHBand="0" w:evenHBand="0" w:firstRowFirstColumn="0" w:firstRowLastColumn="0" w:lastRowFirstColumn="0" w:lastRowLastColumn="0"/>
            <w:tcW w:w="4678" w:type="dxa"/>
          </w:tcPr>
          <w:p w14:paraId="1B330D20" w14:textId="7F82E1EF" w:rsidR="003D6A13" w:rsidRPr="005848D7" w:rsidRDefault="003D6A13" w:rsidP="003D6A13">
            <w:r w:rsidRPr="005848D7">
              <w:t>Memo of Common Provisions</w:t>
            </w:r>
          </w:p>
        </w:tc>
        <w:tc>
          <w:tcPr>
            <w:tcW w:w="1702" w:type="dxa"/>
          </w:tcPr>
          <w:p w14:paraId="108B4DFC" w14:textId="58F165CE" w:rsidR="003D6A13" w:rsidRPr="005848D7" w:rsidRDefault="003D6A13" w:rsidP="003D6A13">
            <w:pPr>
              <w:cnfStyle w:val="000000000000" w:firstRow="0" w:lastRow="0" w:firstColumn="0" w:lastColumn="0" w:oddVBand="0" w:evenVBand="0" w:oddHBand="0" w:evenHBand="0" w:firstRowFirstColumn="0" w:firstRowLastColumn="0" w:lastRowFirstColumn="0" w:lastRowLastColumn="0"/>
            </w:pPr>
            <w:r>
              <w:t>980</w:t>
            </w:r>
          </w:p>
        </w:tc>
      </w:tr>
      <w:tr w:rsidR="003D6A13" w:rsidRPr="00050253" w14:paraId="2EA63504" w14:textId="77777777" w:rsidTr="003D6A13">
        <w:trPr>
          <w:trHeight w:val="202"/>
        </w:trPr>
        <w:tc>
          <w:tcPr>
            <w:tcW w:w="1559" w:type="dxa"/>
          </w:tcPr>
          <w:p w14:paraId="12B1DB35" w14:textId="6C4027D4" w:rsidR="003D6A13" w:rsidRPr="005848D7" w:rsidRDefault="003D6A13" w:rsidP="003D6A13">
            <w:r w:rsidRPr="005848D7">
              <w:t>LTD</w:t>
            </w:r>
          </w:p>
        </w:tc>
        <w:tc>
          <w:tcPr>
            <w:cnfStyle w:val="000010000000" w:firstRow="0" w:lastRow="0" w:firstColumn="0" w:lastColumn="0" w:oddVBand="1" w:evenVBand="0" w:oddHBand="0" w:evenHBand="0" w:firstRowFirstColumn="0" w:firstRowLastColumn="0" w:lastRowFirstColumn="0" w:lastRowLastColumn="0"/>
            <w:tcW w:w="4678" w:type="dxa"/>
          </w:tcPr>
          <w:p w14:paraId="4C333C6C" w14:textId="7444E38D" w:rsidR="003D6A13" w:rsidRPr="005848D7" w:rsidRDefault="003D6A13" w:rsidP="003D6A13">
            <w:r w:rsidRPr="005848D7">
              <w:t>Discharge land tax charge</w:t>
            </w:r>
          </w:p>
        </w:tc>
        <w:tc>
          <w:tcPr>
            <w:tcW w:w="1702" w:type="dxa"/>
          </w:tcPr>
          <w:p w14:paraId="64A1CF9A" w14:textId="200DD69B" w:rsidR="003D6A13" w:rsidRDefault="00BC29BB" w:rsidP="003D6A13">
            <w:pPr>
              <w:cnfStyle w:val="000000000000" w:firstRow="0" w:lastRow="0" w:firstColumn="0" w:lastColumn="0" w:oddVBand="0" w:evenVBand="0" w:oddHBand="0" w:evenHBand="0" w:firstRowFirstColumn="0" w:firstRowLastColumn="0" w:lastRowFirstColumn="0" w:lastRowLastColumn="0"/>
            </w:pPr>
            <w:r>
              <w:t>815</w:t>
            </w:r>
          </w:p>
        </w:tc>
      </w:tr>
      <w:tr w:rsidR="003D6A13" w:rsidRPr="00050253" w14:paraId="05BBD22D" w14:textId="77777777" w:rsidTr="00D339EE">
        <w:trPr>
          <w:trHeight w:val="284"/>
        </w:trPr>
        <w:tc>
          <w:tcPr>
            <w:tcW w:w="1559" w:type="dxa"/>
          </w:tcPr>
          <w:p w14:paraId="10BB1565" w14:textId="39929974" w:rsidR="003D6A13" w:rsidRPr="005848D7" w:rsidRDefault="00BC29BB" w:rsidP="003D6A13">
            <w:r>
              <w:t>89A</w:t>
            </w:r>
          </w:p>
        </w:tc>
        <w:tc>
          <w:tcPr>
            <w:cnfStyle w:val="000010000000" w:firstRow="0" w:lastRow="0" w:firstColumn="0" w:lastColumn="0" w:oddVBand="1" w:evenVBand="0" w:oddHBand="0" w:evenHBand="0" w:firstRowFirstColumn="0" w:firstRowLastColumn="0" w:lastRowFirstColumn="0" w:lastRowLastColumn="0"/>
            <w:tcW w:w="4678" w:type="dxa"/>
          </w:tcPr>
          <w:p w14:paraId="74308AB8" w14:textId="17541B33" w:rsidR="003D6A13" w:rsidRPr="005848D7" w:rsidRDefault="00BC29BB" w:rsidP="003D6A13">
            <w:r>
              <w:t>Removal of caveat</w:t>
            </w:r>
          </w:p>
        </w:tc>
        <w:tc>
          <w:tcPr>
            <w:tcW w:w="1702" w:type="dxa"/>
          </w:tcPr>
          <w:p w14:paraId="0546BC8B" w14:textId="3DE2B4C8" w:rsidR="003D6A13" w:rsidRDefault="00BC29BB" w:rsidP="003D6A13">
            <w:pPr>
              <w:cnfStyle w:val="000000000000" w:firstRow="0" w:lastRow="0" w:firstColumn="0" w:lastColumn="0" w:oddVBand="0" w:evenVBand="0" w:oddHBand="0" w:evenHBand="0" w:firstRowFirstColumn="0" w:firstRowLastColumn="0" w:lastRowFirstColumn="0" w:lastRowLastColumn="0"/>
            </w:pPr>
            <w:r>
              <w:t>731</w:t>
            </w:r>
          </w:p>
        </w:tc>
      </w:tr>
      <w:tr w:rsidR="00060420" w:rsidRPr="00050253" w14:paraId="6E08F49B" w14:textId="77777777" w:rsidTr="00D339EE">
        <w:trPr>
          <w:trHeight w:val="284"/>
        </w:trPr>
        <w:tc>
          <w:tcPr>
            <w:tcW w:w="1559" w:type="dxa"/>
          </w:tcPr>
          <w:p w14:paraId="59FB4ED6" w14:textId="444DA63A" w:rsidR="00060420" w:rsidRDefault="00060420" w:rsidP="00060420">
            <w:r w:rsidRPr="005848D7">
              <w:t>PC</w:t>
            </w:r>
          </w:p>
        </w:tc>
        <w:tc>
          <w:tcPr>
            <w:cnfStyle w:val="000010000000" w:firstRow="0" w:lastRow="0" w:firstColumn="0" w:lastColumn="0" w:oddVBand="1" w:evenVBand="0" w:oddHBand="0" w:evenHBand="0" w:firstRowFirstColumn="0" w:firstRowLastColumn="0" w:lastRowFirstColumn="0" w:lastRowLastColumn="0"/>
            <w:tcW w:w="4678" w:type="dxa"/>
          </w:tcPr>
          <w:p w14:paraId="190C3B97" w14:textId="71EECE44" w:rsidR="00060420" w:rsidRDefault="00060420" w:rsidP="00060420">
            <w:r w:rsidRPr="005848D7">
              <w:t>Plan of consolidation</w:t>
            </w:r>
          </w:p>
        </w:tc>
        <w:tc>
          <w:tcPr>
            <w:tcW w:w="1702" w:type="dxa"/>
          </w:tcPr>
          <w:p w14:paraId="0556CD27" w14:textId="7404ACCB" w:rsidR="00060420" w:rsidRDefault="00060420" w:rsidP="00060420">
            <w:pPr>
              <w:cnfStyle w:val="000000000000" w:firstRow="0" w:lastRow="0" w:firstColumn="0" w:lastColumn="0" w:oddVBand="0" w:evenVBand="0" w:oddHBand="0" w:evenHBand="0" w:firstRowFirstColumn="0" w:firstRowLastColumn="0" w:lastRowFirstColumn="0" w:lastRowLastColumn="0"/>
            </w:pPr>
            <w:r>
              <w:t>679</w:t>
            </w:r>
          </w:p>
        </w:tc>
      </w:tr>
      <w:tr w:rsidR="008F01D1" w:rsidRPr="00050253" w14:paraId="58539BC4" w14:textId="77777777" w:rsidTr="00D339EE">
        <w:trPr>
          <w:trHeight w:val="284"/>
        </w:trPr>
        <w:tc>
          <w:tcPr>
            <w:tcW w:w="1559" w:type="dxa"/>
          </w:tcPr>
          <w:p w14:paraId="7303690B" w14:textId="3FEB572D" w:rsidR="008F01D1" w:rsidRPr="005848D7" w:rsidRDefault="008F01D1" w:rsidP="008F01D1">
            <w:r w:rsidRPr="005848D7">
              <w:t>77</w:t>
            </w:r>
          </w:p>
        </w:tc>
        <w:tc>
          <w:tcPr>
            <w:cnfStyle w:val="000010000000" w:firstRow="0" w:lastRow="0" w:firstColumn="0" w:lastColumn="0" w:oddVBand="1" w:evenVBand="0" w:oddHBand="0" w:evenHBand="0" w:firstRowFirstColumn="0" w:firstRowLastColumn="0" w:lastRowFirstColumn="0" w:lastRowLastColumn="0"/>
            <w:tcW w:w="4678" w:type="dxa"/>
          </w:tcPr>
          <w:p w14:paraId="64E1C653" w14:textId="427C2387" w:rsidR="008F01D1" w:rsidRPr="005848D7" w:rsidRDefault="008F01D1" w:rsidP="008F01D1">
            <w:r w:rsidRPr="005848D7">
              <w:t>Transfer by Mortgagee</w:t>
            </w:r>
          </w:p>
        </w:tc>
        <w:tc>
          <w:tcPr>
            <w:tcW w:w="1702" w:type="dxa"/>
          </w:tcPr>
          <w:p w14:paraId="44825DC1" w14:textId="40300D40" w:rsidR="008F01D1" w:rsidRDefault="008F01D1" w:rsidP="008F01D1">
            <w:pPr>
              <w:cnfStyle w:val="000000000000" w:firstRow="0" w:lastRow="0" w:firstColumn="0" w:lastColumn="0" w:oddVBand="0" w:evenVBand="0" w:oddHBand="0" w:evenHBand="0" w:firstRowFirstColumn="0" w:firstRowLastColumn="0" w:lastRowFirstColumn="0" w:lastRowLastColumn="0"/>
            </w:pPr>
            <w:r>
              <w:t>678</w:t>
            </w:r>
          </w:p>
        </w:tc>
      </w:tr>
      <w:tr w:rsidR="00E85C09" w:rsidRPr="00050253" w14:paraId="664E91E6" w14:textId="77777777" w:rsidTr="00D339EE">
        <w:trPr>
          <w:trHeight w:val="284"/>
        </w:trPr>
        <w:tc>
          <w:tcPr>
            <w:tcW w:w="1559" w:type="dxa"/>
          </w:tcPr>
          <w:p w14:paraId="331981C3" w14:textId="60481867" w:rsidR="00E85C09" w:rsidRPr="005848D7" w:rsidRDefault="00E85C09" w:rsidP="00E85C09">
            <w:r w:rsidRPr="005848D7">
              <w:t>45N</w:t>
            </w:r>
          </w:p>
        </w:tc>
        <w:tc>
          <w:tcPr>
            <w:cnfStyle w:val="000010000000" w:firstRow="0" w:lastRow="0" w:firstColumn="0" w:lastColumn="0" w:oddVBand="1" w:evenVBand="0" w:oddHBand="0" w:evenHBand="0" w:firstRowFirstColumn="0" w:firstRowLastColumn="0" w:lastRowFirstColumn="0" w:lastRowLastColumn="0"/>
            <w:tcW w:w="4678" w:type="dxa"/>
          </w:tcPr>
          <w:p w14:paraId="7493F2D3" w14:textId="48DD11F7" w:rsidR="00E85C09" w:rsidRPr="005848D7" w:rsidRDefault="00E85C09" w:rsidP="00E85C09">
            <w:r w:rsidRPr="005848D7">
              <w:t>Transfer with new title</w:t>
            </w:r>
          </w:p>
        </w:tc>
        <w:tc>
          <w:tcPr>
            <w:tcW w:w="1702" w:type="dxa"/>
          </w:tcPr>
          <w:p w14:paraId="6AD77273" w14:textId="4CEA8105" w:rsidR="00E85C09" w:rsidRDefault="00E85C09" w:rsidP="00E85C09">
            <w:pPr>
              <w:cnfStyle w:val="000000000000" w:firstRow="0" w:lastRow="0" w:firstColumn="0" w:lastColumn="0" w:oddVBand="0" w:evenVBand="0" w:oddHBand="0" w:evenHBand="0" w:firstRowFirstColumn="0" w:firstRowLastColumn="0" w:lastRowFirstColumn="0" w:lastRowLastColumn="0"/>
            </w:pPr>
            <w:r>
              <w:t>628</w:t>
            </w:r>
          </w:p>
        </w:tc>
      </w:tr>
      <w:tr w:rsidR="008C52AA" w:rsidRPr="00050253" w14:paraId="56DBE39A" w14:textId="77777777" w:rsidTr="00D339EE">
        <w:trPr>
          <w:trHeight w:val="284"/>
        </w:trPr>
        <w:tc>
          <w:tcPr>
            <w:tcW w:w="1559" w:type="dxa"/>
          </w:tcPr>
          <w:p w14:paraId="7DD31B65" w14:textId="6F26710A" w:rsidR="008C52AA" w:rsidRPr="005848D7" w:rsidRDefault="008C52AA" w:rsidP="008C52AA">
            <w:r w:rsidRPr="005848D7">
              <w:t>113A</w:t>
            </w:r>
          </w:p>
        </w:tc>
        <w:tc>
          <w:tcPr>
            <w:cnfStyle w:val="000010000000" w:firstRow="0" w:lastRow="0" w:firstColumn="0" w:lastColumn="0" w:oddVBand="1" w:evenVBand="0" w:oddHBand="0" w:evenHBand="0" w:firstRowFirstColumn="0" w:firstRowLastColumn="0" w:lastRowFirstColumn="0" w:lastRowLastColumn="0"/>
            <w:tcW w:w="4678" w:type="dxa"/>
          </w:tcPr>
          <w:p w14:paraId="26CEE635" w14:textId="30CB7B9A" w:rsidR="008C52AA" w:rsidRPr="005848D7" w:rsidRDefault="008C52AA" w:rsidP="008C52AA">
            <w:r w:rsidRPr="005848D7">
              <w:t>Amend address on folio</w:t>
            </w:r>
          </w:p>
        </w:tc>
        <w:tc>
          <w:tcPr>
            <w:tcW w:w="1702" w:type="dxa"/>
          </w:tcPr>
          <w:p w14:paraId="6A62441C" w14:textId="0FFD7F36" w:rsidR="008C52AA" w:rsidRDefault="008C52AA" w:rsidP="008C52AA">
            <w:pPr>
              <w:cnfStyle w:val="000000000000" w:firstRow="0" w:lastRow="0" w:firstColumn="0" w:lastColumn="0" w:oddVBand="0" w:evenVBand="0" w:oddHBand="0" w:evenHBand="0" w:firstRowFirstColumn="0" w:firstRowLastColumn="0" w:lastRowFirstColumn="0" w:lastRowLastColumn="0"/>
            </w:pPr>
            <w:r>
              <w:t>545</w:t>
            </w:r>
          </w:p>
        </w:tc>
      </w:tr>
      <w:tr w:rsidR="002A2BB0" w:rsidRPr="00050253" w14:paraId="6A461BFC" w14:textId="77777777" w:rsidTr="00D339EE">
        <w:trPr>
          <w:trHeight w:val="284"/>
        </w:trPr>
        <w:tc>
          <w:tcPr>
            <w:tcW w:w="1559" w:type="dxa"/>
          </w:tcPr>
          <w:p w14:paraId="1BD8F19C" w14:textId="574AF7D6" w:rsidR="002A2BB0" w:rsidRPr="005848D7" w:rsidRDefault="00386A4A" w:rsidP="008C52AA">
            <w:r>
              <w:t>45E</w:t>
            </w:r>
          </w:p>
        </w:tc>
        <w:tc>
          <w:tcPr>
            <w:cnfStyle w:val="000010000000" w:firstRow="0" w:lastRow="0" w:firstColumn="0" w:lastColumn="0" w:oddVBand="1" w:evenVBand="0" w:oddHBand="0" w:evenHBand="0" w:firstRowFirstColumn="0" w:firstRowLastColumn="0" w:lastRowFirstColumn="0" w:lastRowLastColumn="0"/>
            <w:tcW w:w="4678" w:type="dxa"/>
          </w:tcPr>
          <w:p w14:paraId="6CB99B87" w14:textId="5323DA1F" w:rsidR="002A2BB0" w:rsidRPr="005848D7" w:rsidRDefault="00386A4A" w:rsidP="008C52AA">
            <w:proofErr w:type="spellStart"/>
            <w:r>
              <w:t>Creataion</w:t>
            </w:r>
            <w:proofErr w:type="spellEnd"/>
            <w:r>
              <w:t xml:space="preserve"> of easement </w:t>
            </w:r>
          </w:p>
        </w:tc>
        <w:tc>
          <w:tcPr>
            <w:tcW w:w="1702" w:type="dxa"/>
          </w:tcPr>
          <w:p w14:paraId="27906A2E" w14:textId="15D2A241" w:rsidR="002A2BB0" w:rsidRDefault="00386A4A" w:rsidP="008C52AA">
            <w:pPr>
              <w:cnfStyle w:val="000000000000" w:firstRow="0" w:lastRow="0" w:firstColumn="0" w:lastColumn="0" w:oddVBand="0" w:evenVBand="0" w:oddHBand="0" w:evenHBand="0" w:firstRowFirstColumn="0" w:firstRowLastColumn="0" w:lastRowFirstColumn="0" w:lastRowLastColumn="0"/>
            </w:pPr>
            <w:r>
              <w:t>509</w:t>
            </w:r>
          </w:p>
        </w:tc>
      </w:tr>
      <w:tr w:rsidR="00F62338" w:rsidRPr="00050253" w14:paraId="78BDA8CB" w14:textId="77777777" w:rsidTr="00D339EE">
        <w:trPr>
          <w:trHeight w:val="284"/>
        </w:trPr>
        <w:tc>
          <w:tcPr>
            <w:tcW w:w="1559" w:type="dxa"/>
          </w:tcPr>
          <w:p w14:paraId="33AF844E" w14:textId="7E577B49" w:rsidR="00F62338" w:rsidRPr="005848D7" w:rsidRDefault="00386A4A" w:rsidP="008C52AA">
            <w:r>
              <w:t>LT</w:t>
            </w:r>
            <w:r w:rsidR="00065491">
              <w:t xml:space="preserve">C </w:t>
            </w:r>
          </w:p>
        </w:tc>
        <w:tc>
          <w:tcPr>
            <w:cnfStyle w:val="000010000000" w:firstRow="0" w:lastRow="0" w:firstColumn="0" w:lastColumn="0" w:oddVBand="1" w:evenVBand="0" w:oddHBand="0" w:evenHBand="0" w:firstRowFirstColumn="0" w:firstRowLastColumn="0" w:lastRowFirstColumn="0" w:lastRowLastColumn="0"/>
            <w:tcW w:w="4678" w:type="dxa"/>
          </w:tcPr>
          <w:p w14:paraId="6F7382AB" w14:textId="1C6F1B26" w:rsidR="00F62338" w:rsidRPr="005848D7" w:rsidRDefault="00065491" w:rsidP="008C52AA">
            <w:proofErr w:type="spellStart"/>
            <w:r>
              <w:t>Statuory</w:t>
            </w:r>
            <w:proofErr w:type="spellEnd"/>
            <w:r>
              <w:t xml:space="preserve"> </w:t>
            </w:r>
            <w:r w:rsidR="00DB7216">
              <w:t>Charge</w:t>
            </w:r>
          </w:p>
        </w:tc>
        <w:tc>
          <w:tcPr>
            <w:tcW w:w="1702" w:type="dxa"/>
          </w:tcPr>
          <w:p w14:paraId="3D68CE43" w14:textId="6D6EC881" w:rsidR="00F62338" w:rsidRDefault="00DB7216" w:rsidP="008C52AA">
            <w:pPr>
              <w:cnfStyle w:val="000000000000" w:firstRow="0" w:lastRow="0" w:firstColumn="0" w:lastColumn="0" w:oddVBand="0" w:evenVBand="0" w:oddHBand="0" w:evenHBand="0" w:firstRowFirstColumn="0" w:firstRowLastColumn="0" w:lastRowFirstColumn="0" w:lastRowLastColumn="0"/>
            </w:pPr>
            <w:r>
              <w:t>478</w:t>
            </w:r>
          </w:p>
        </w:tc>
      </w:tr>
      <w:tr w:rsidR="003C23AC" w:rsidRPr="00050253" w14:paraId="5541BA28" w14:textId="77777777" w:rsidTr="00D339EE">
        <w:trPr>
          <w:trHeight w:val="284"/>
        </w:trPr>
        <w:tc>
          <w:tcPr>
            <w:tcW w:w="1559" w:type="dxa"/>
          </w:tcPr>
          <w:p w14:paraId="30C7BD57" w14:textId="303E3F01" w:rsidR="003C23AC" w:rsidRDefault="003C23AC" w:rsidP="003C23AC">
            <w:r w:rsidRPr="005848D7">
              <w:t>52-2</w:t>
            </w:r>
          </w:p>
        </w:tc>
        <w:tc>
          <w:tcPr>
            <w:cnfStyle w:val="000010000000" w:firstRow="0" w:lastRow="0" w:firstColumn="0" w:lastColumn="0" w:oddVBand="1" w:evenVBand="0" w:oddHBand="0" w:evenHBand="0" w:firstRowFirstColumn="0" w:firstRowLastColumn="0" w:lastRowFirstColumn="0" w:lastRowLastColumn="0"/>
            <w:tcW w:w="4678" w:type="dxa"/>
          </w:tcPr>
          <w:p w14:paraId="79B7846D" w14:textId="5F03E73F" w:rsidR="003C23AC" w:rsidRDefault="003C23AC" w:rsidP="003C23AC">
            <w:r w:rsidRPr="005848D7">
              <w:t>Warrant</w:t>
            </w:r>
          </w:p>
        </w:tc>
        <w:tc>
          <w:tcPr>
            <w:tcW w:w="1702" w:type="dxa"/>
          </w:tcPr>
          <w:p w14:paraId="106030ED" w14:textId="6820C354" w:rsidR="003C23AC" w:rsidRDefault="002916B7" w:rsidP="003C23AC">
            <w:pPr>
              <w:cnfStyle w:val="000000000000" w:firstRow="0" w:lastRow="0" w:firstColumn="0" w:lastColumn="0" w:oddVBand="0" w:evenVBand="0" w:oddHBand="0" w:evenHBand="0" w:firstRowFirstColumn="0" w:firstRowLastColumn="0" w:lastRowFirstColumn="0" w:lastRowLastColumn="0"/>
            </w:pPr>
            <w:r>
              <w:t>465</w:t>
            </w:r>
          </w:p>
        </w:tc>
      </w:tr>
      <w:tr w:rsidR="003C23AC" w:rsidRPr="00050253" w14:paraId="3386CED9" w14:textId="77777777" w:rsidTr="00D339EE">
        <w:trPr>
          <w:trHeight w:val="284"/>
        </w:trPr>
        <w:tc>
          <w:tcPr>
            <w:tcW w:w="1559" w:type="dxa"/>
          </w:tcPr>
          <w:p w14:paraId="0D7AFDE4" w14:textId="45B4BAF1" w:rsidR="003C23AC" w:rsidRDefault="00D76BA5" w:rsidP="003C23AC">
            <w:r>
              <w:t>23</w:t>
            </w:r>
          </w:p>
        </w:tc>
        <w:tc>
          <w:tcPr>
            <w:cnfStyle w:val="000010000000" w:firstRow="0" w:lastRow="0" w:firstColumn="0" w:lastColumn="0" w:oddVBand="1" w:evenVBand="0" w:oddHBand="0" w:evenHBand="0" w:firstRowFirstColumn="0" w:firstRowLastColumn="0" w:lastRowFirstColumn="0" w:lastRowLastColumn="0"/>
            <w:tcW w:w="4678" w:type="dxa"/>
          </w:tcPr>
          <w:p w14:paraId="426AC0A3" w14:textId="750EA452" w:rsidR="003C23AC" w:rsidRDefault="00A80D04" w:rsidP="003C23AC">
            <w:r>
              <w:t xml:space="preserve">Application TLA </w:t>
            </w:r>
          </w:p>
        </w:tc>
        <w:tc>
          <w:tcPr>
            <w:tcW w:w="1702" w:type="dxa"/>
          </w:tcPr>
          <w:p w14:paraId="146CF885" w14:textId="584AC4CA" w:rsidR="003C23AC" w:rsidRDefault="008E52F5" w:rsidP="003C23AC">
            <w:pPr>
              <w:cnfStyle w:val="000000000000" w:firstRow="0" w:lastRow="0" w:firstColumn="0" w:lastColumn="0" w:oddVBand="0" w:evenVBand="0" w:oddHBand="0" w:evenHBand="0" w:firstRowFirstColumn="0" w:firstRowLastColumn="0" w:lastRowFirstColumn="0" w:lastRowLastColumn="0"/>
            </w:pPr>
            <w:r>
              <w:t>375</w:t>
            </w:r>
          </w:p>
        </w:tc>
      </w:tr>
      <w:tr w:rsidR="00515969" w:rsidRPr="00050253" w14:paraId="2254E90C" w14:textId="77777777" w:rsidTr="00D339EE">
        <w:trPr>
          <w:trHeight w:val="284"/>
        </w:trPr>
        <w:tc>
          <w:tcPr>
            <w:tcW w:w="1559" w:type="dxa"/>
          </w:tcPr>
          <w:p w14:paraId="7649BE18" w14:textId="5DC871FF" w:rsidR="00515969" w:rsidRDefault="00515969" w:rsidP="003C23AC">
            <w:r>
              <w:t>183W</w:t>
            </w:r>
          </w:p>
        </w:tc>
        <w:tc>
          <w:tcPr>
            <w:cnfStyle w:val="000010000000" w:firstRow="0" w:lastRow="0" w:firstColumn="0" w:lastColumn="0" w:oddVBand="1" w:evenVBand="0" w:oddHBand="0" w:evenHBand="0" w:firstRowFirstColumn="0" w:firstRowLastColumn="0" w:lastRowFirstColumn="0" w:lastRowLastColumn="0"/>
            <w:tcW w:w="4678" w:type="dxa"/>
          </w:tcPr>
          <w:p w14:paraId="060EA3B8" w14:textId="1C045D4C" w:rsidR="00515969" w:rsidRDefault="00515969" w:rsidP="003C23AC">
            <w:r>
              <w:t>Removal of Agreement</w:t>
            </w:r>
          </w:p>
        </w:tc>
        <w:tc>
          <w:tcPr>
            <w:tcW w:w="1702" w:type="dxa"/>
          </w:tcPr>
          <w:p w14:paraId="7AAB8D33" w14:textId="46887722" w:rsidR="00515969" w:rsidRDefault="00B57622" w:rsidP="003C23AC">
            <w:pPr>
              <w:cnfStyle w:val="000000000000" w:firstRow="0" w:lastRow="0" w:firstColumn="0" w:lastColumn="0" w:oddVBand="0" w:evenVBand="0" w:oddHBand="0" w:evenHBand="0" w:firstRowFirstColumn="0" w:firstRowLastColumn="0" w:lastRowFirstColumn="0" w:lastRowLastColumn="0"/>
            </w:pPr>
            <w:r>
              <w:t>375</w:t>
            </w:r>
          </w:p>
        </w:tc>
      </w:tr>
      <w:tr w:rsidR="00B57622" w:rsidRPr="00050253" w14:paraId="67E7CEBD" w14:textId="77777777" w:rsidTr="00D339EE">
        <w:trPr>
          <w:trHeight w:val="284"/>
        </w:trPr>
        <w:tc>
          <w:tcPr>
            <w:tcW w:w="1559" w:type="dxa"/>
          </w:tcPr>
          <w:p w14:paraId="7F546D87" w14:textId="6CF01000" w:rsidR="00B57622" w:rsidRDefault="00B57622" w:rsidP="00B57622">
            <w:r>
              <w:t>106C</w:t>
            </w:r>
          </w:p>
        </w:tc>
        <w:tc>
          <w:tcPr>
            <w:cnfStyle w:val="000010000000" w:firstRow="0" w:lastRow="0" w:firstColumn="0" w:lastColumn="0" w:oddVBand="1" w:evenVBand="0" w:oddHBand="0" w:evenHBand="0" w:firstRowFirstColumn="0" w:firstRowLastColumn="0" w:lastRowFirstColumn="0" w:lastRowLastColumn="0"/>
            <w:tcW w:w="4678" w:type="dxa"/>
          </w:tcPr>
          <w:p w14:paraId="64FAC149" w14:textId="50A2C6FC" w:rsidR="00B57622" w:rsidRDefault="00B57622" w:rsidP="00B57622">
            <w:r w:rsidRPr="005848D7">
              <w:t>Removal of encumbrance</w:t>
            </w:r>
          </w:p>
        </w:tc>
        <w:tc>
          <w:tcPr>
            <w:tcW w:w="1702" w:type="dxa"/>
          </w:tcPr>
          <w:p w14:paraId="02D6076F" w14:textId="322ACEA6" w:rsidR="00B57622" w:rsidRDefault="0002710E" w:rsidP="00B57622">
            <w:pPr>
              <w:cnfStyle w:val="000000000000" w:firstRow="0" w:lastRow="0" w:firstColumn="0" w:lastColumn="0" w:oddVBand="0" w:evenVBand="0" w:oddHBand="0" w:evenHBand="0" w:firstRowFirstColumn="0" w:firstRowLastColumn="0" w:lastRowFirstColumn="0" w:lastRowLastColumn="0"/>
            </w:pPr>
            <w:r>
              <w:t>367</w:t>
            </w:r>
          </w:p>
        </w:tc>
      </w:tr>
      <w:tr w:rsidR="00EA7C3A" w:rsidRPr="00050253" w14:paraId="05363F96" w14:textId="77777777" w:rsidTr="00D339EE">
        <w:trPr>
          <w:trHeight w:val="284"/>
        </w:trPr>
        <w:tc>
          <w:tcPr>
            <w:tcW w:w="1559" w:type="dxa"/>
          </w:tcPr>
          <w:p w14:paraId="01A6D64C" w14:textId="35092547" w:rsidR="00EA7C3A" w:rsidRDefault="00EA7C3A" w:rsidP="00B57622">
            <w:r>
              <w:t>OCR</w:t>
            </w:r>
          </w:p>
        </w:tc>
        <w:tc>
          <w:tcPr>
            <w:cnfStyle w:val="000010000000" w:firstRow="0" w:lastRow="0" w:firstColumn="0" w:lastColumn="0" w:oddVBand="1" w:evenVBand="0" w:oddHBand="0" w:evenHBand="0" w:firstRowFirstColumn="0" w:firstRowLastColumn="0" w:lastRowFirstColumn="0" w:lastRowLastColumn="0"/>
            <w:tcW w:w="4678" w:type="dxa"/>
          </w:tcPr>
          <w:p w14:paraId="7877C413" w14:textId="62986DCD" w:rsidR="00EA7C3A" w:rsidRPr="005848D7" w:rsidRDefault="00D87E02" w:rsidP="00B57622">
            <w:r>
              <w:t>Owners Corporation</w:t>
            </w:r>
          </w:p>
        </w:tc>
        <w:tc>
          <w:tcPr>
            <w:tcW w:w="1702" w:type="dxa"/>
          </w:tcPr>
          <w:p w14:paraId="25A9FC06" w14:textId="34093CAF" w:rsidR="00EA7C3A" w:rsidRDefault="00A15688" w:rsidP="00B57622">
            <w:pPr>
              <w:cnfStyle w:val="000000000000" w:firstRow="0" w:lastRow="0" w:firstColumn="0" w:lastColumn="0" w:oddVBand="0" w:evenVBand="0" w:oddHBand="0" w:evenHBand="0" w:firstRowFirstColumn="0" w:firstRowLastColumn="0" w:lastRowFirstColumn="0" w:lastRowLastColumn="0"/>
            </w:pPr>
            <w:r>
              <w:t>333</w:t>
            </w:r>
          </w:p>
        </w:tc>
      </w:tr>
      <w:tr w:rsidR="002916B7" w:rsidRPr="00050253" w14:paraId="55715337" w14:textId="77777777" w:rsidTr="00D339EE">
        <w:trPr>
          <w:trHeight w:val="284"/>
        </w:trPr>
        <w:tc>
          <w:tcPr>
            <w:tcW w:w="1559" w:type="dxa"/>
          </w:tcPr>
          <w:p w14:paraId="32BC2097" w14:textId="733BDDEA" w:rsidR="002916B7" w:rsidRDefault="002916B7" w:rsidP="00B57622">
            <w:r>
              <w:t>106AR</w:t>
            </w:r>
          </w:p>
        </w:tc>
        <w:tc>
          <w:tcPr>
            <w:cnfStyle w:val="000010000000" w:firstRow="0" w:lastRow="0" w:firstColumn="0" w:lastColumn="0" w:oddVBand="1" w:evenVBand="0" w:oddHBand="0" w:evenHBand="0" w:firstRowFirstColumn="0" w:firstRowLastColumn="0" w:lastRowFirstColumn="0" w:lastRowLastColumn="0"/>
            <w:tcW w:w="4678" w:type="dxa"/>
          </w:tcPr>
          <w:p w14:paraId="763B10CD" w14:textId="088FC199" w:rsidR="002916B7" w:rsidRDefault="002916B7" w:rsidP="00B57622">
            <w:r>
              <w:t>Registrars caveat</w:t>
            </w:r>
          </w:p>
        </w:tc>
        <w:tc>
          <w:tcPr>
            <w:tcW w:w="1702" w:type="dxa"/>
          </w:tcPr>
          <w:p w14:paraId="53008168" w14:textId="6753DA6B" w:rsidR="002916B7" w:rsidRDefault="002916B7" w:rsidP="00B57622">
            <w:pPr>
              <w:cnfStyle w:val="000000000000" w:firstRow="0" w:lastRow="0" w:firstColumn="0" w:lastColumn="0" w:oddVBand="0" w:evenVBand="0" w:oddHBand="0" w:evenHBand="0" w:firstRowFirstColumn="0" w:firstRowLastColumn="0" w:lastRowFirstColumn="0" w:lastRowLastColumn="0"/>
            </w:pPr>
            <w:r>
              <w:t>326</w:t>
            </w:r>
          </w:p>
        </w:tc>
      </w:tr>
      <w:tr w:rsidR="00AA538F" w:rsidRPr="00050253" w14:paraId="60F9CA8E" w14:textId="77777777" w:rsidTr="00D339EE">
        <w:trPr>
          <w:trHeight w:val="284"/>
        </w:trPr>
        <w:tc>
          <w:tcPr>
            <w:tcW w:w="1559" w:type="dxa"/>
          </w:tcPr>
          <w:p w14:paraId="0B3C1E70" w14:textId="3E915F1D" w:rsidR="00AA538F" w:rsidRDefault="00AA538F" w:rsidP="00AA538F">
            <w:r w:rsidRPr="005848D7">
              <w:t>SACA</w:t>
            </w:r>
          </w:p>
        </w:tc>
        <w:tc>
          <w:tcPr>
            <w:cnfStyle w:val="000010000000" w:firstRow="0" w:lastRow="0" w:firstColumn="0" w:lastColumn="0" w:oddVBand="1" w:evenVBand="0" w:oddHBand="0" w:evenHBand="0" w:firstRowFirstColumn="0" w:firstRowLastColumn="0" w:lastRowFirstColumn="0" w:lastRowLastColumn="0"/>
            <w:tcW w:w="4678" w:type="dxa"/>
          </w:tcPr>
          <w:p w14:paraId="1C686889" w14:textId="69FAA39D" w:rsidR="00AA538F" w:rsidRDefault="00AA538F" w:rsidP="00AA538F">
            <w:r w:rsidRPr="005848D7">
              <w:t xml:space="preserve">Change of address </w:t>
            </w:r>
            <w:proofErr w:type="gramStart"/>
            <w:r w:rsidRPr="005848D7">
              <w:t>owners</w:t>
            </w:r>
            <w:proofErr w:type="gramEnd"/>
            <w:r w:rsidRPr="005848D7">
              <w:t xml:space="preserve"> corporation</w:t>
            </w:r>
          </w:p>
        </w:tc>
        <w:tc>
          <w:tcPr>
            <w:tcW w:w="1702" w:type="dxa"/>
          </w:tcPr>
          <w:p w14:paraId="6C7F0BEF" w14:textId="4F63B432" w:rsidR="00AA538F" w:rsidRDefault="00AA538F" w:rsidP="00AA538F">
            <w:pPr>
              <w:cnfStyle w:val="000000000000" w:firstRow="0" w:lastRow="0" w:firstColumn="0" w:lastColumn="0" w:oddVBand="0" w:evenVBand="0" w:oddHBand="0" w:evenHBand="0" w:firstRowFirstColumn="0" w:firstRowLastColumn="0" w:lastRowFirstColumn="0" w:lastRowLastColumn="0"/>
            </w:pPr>
            <w:r>
              <w:t>255</w:t>
            </w:r>
          </w:p>
        </w:tc>
      </w:tr>
      <w:tr w:rsidR="00AA538F" w:rsidRPr="00050253" w14:paraId="51337522" w14:textId="77777777" w:rsidTr="00D339EE">
        <w:trPr>
          <w:trHeight w:val="284"/>
        </w:trPr>
        <w:tc>
          <w:tcPr>
            <w:tcW w:w="1559" w:type="dxa"/>
          </w:tcPr>
          <w:p w14:paraId="4F6D025D" w14:textId="064196C3" w:rsidR="00AA538F" w:rsidRPr="005848D7" w:rsidRDefault="00AA538F" w:rsidP="00AA538F">
            <w:r w:rsidRPr="005848D7">
              <w:t>103B</w:t>
            </w:r>
          </w:p>
        </w:tc>
        <w:tc>
          <w:tcPr>
            <w:cnfStyle w:val="000010000000" w:firstRow="0" w:lastRow="0" w:firstColumn="0" w:lastColumn="0" w:oddVBand="1" w:evenVBand="0" w:oddHBand="0" w:evenHBand="0" w:firstRowFirstColumn="0" w:firstRowLastColumn="0" w:lastRowFirstColumn="0" w:lastRowLastColumn="0"/>
            <w:tcW w:w="4678" w:type="dxa"/>
          </w:tcPr>
          <w:p w14:paraId="240099CE" w14:textId="1D41727C" w:rsidR="00AA538F" w:rsidRPr="005848D7" w:rsidRDefault="00AA538F" w:rsidP="00AA538F">
            <w:r w:rsidRPr="005848D7">
              <w:t>Amend proprietor name</w:t>
            </w:r>
          </w:p>
        </w:tc>
        <w:tc>
          <w:tcPr>
            <w:tcW w:w="1702" w:type="dxa"/>
          </w:tcPr>
          <w:p w14:paraId="46193C84" w14:textId="72D1C900" w:rsidR="00AA538F" w:rsidRDefault="00AA538F" w:rsidP="00AA538F">
            <w:pPr>
              <w:cnfStyle w:val="000000000000" w:firstRow="0" w:lastRow="0" w:firstColumn="0" w:lastColumn="0" w:oddVBand="0" w:evenVBand="0" w:oddHBand="0" w:evenHBand="0" w:firstRowFirstColumn="0" w:firstRowLastColumn="0" w:lastRowFirstColumn="0" w:lastRowLastColumn="0"/>
            </w:pPr>
            <w:r>
              <w:t>253</w:t>
            </w:r>
          </w:p>
        </w:tc>
      </w:tr>
      <w:tr w:rsidR="00AA538F" w:rsidRPr="00050253" w14:paraId="17B44100" w14:textId="77777777" w:rsidTr="00D339EE">
        <w:trPr>
          <w:trHeight w:val="284"/>
        </w:trPr>
        <w:tc>
          <w:tcPr>
            <w:tcW w:w="1559" w:type="dxa"/>
          </w:tcPr>
          <w:p w14:paraId="623949CB" w14:textId="6D728DB6" w:rsidR="00AA538F" w:rsidRDefault="00AA538F" w:rsidP="00AA538F">
            <w:r w:rsidRPr="005848D7">
              <w:t>14</w:t>
            </w:r>
          </w:p>
        </w:tc>
        <w:tc>
          <w:tcPr>
            <w:cnfStyle w:val="000010000000" w:firstRow="0" w:lastRow="0" w:firstColumn="0" w:lastColumn="0" w:oddVBand="1" w:evenVBand="0" w:oddHBand="0" w:evenHBand="0" w:firstRowFirstColumn="0" w:firstRowLastColumn="0" w:lastRowFirstColumn="0" w:lastRowLastColumn="0"/>
            <w:tcW w:w="4678" w:type="dxa"/>
          </w:tcPr>
          <w:p w14:paraId="4AD0D96C" w14:textId="26C682EF" w:rsidR="00AA538F" w:rsidRDefault="00AA538F" w:rsidP="00AA538F">
            <w:r w:rsidRPr="005848D7">
              <w:t>Non-survey conversion</w:t>
            </w:r>
          </w:p>
        </w:tc>
        <w:tc>
          <w:tcPr>
            <w:tcW w:w="1702" w:type="dxa"/>
          </w:tcPr>
          <w:p w14:paraId="4931D48F" w14:textId="31E08B33" w:rsidR="00AA538F" w:rsidRDefault="00AA538F" w:rsidP="00AA538F">
            <w:pPr>
              <w:cnfStyle w:val="000000000000" w:firstRow="0" w:lastRow="0" w:firstColumn="0" w:lastColumn="0" w:oddVBand="0" w:evenVBand="0" w:oddHBand="0" w:evenHBand="0" w:firstRowFirstColumn="0" w:firstRowLastColumn="0" w:lastRowFirstColumn="0" w:lastRowLastColumn="0"/>
            </w:pPr>
            <w:r>
              <w:t>247</w:t>
            </w:r>
          </w:p>
        </w:tc>
      </w:tr>
      <w:tr w:rsidR="00AA538F" w:rsidRPr="00050253" w14:paraId="35C5CC39" w14:textId="77777777" w:rsidTr="00D339EE">
        <w:trPr>
          <w:trHeight w:val="284"/>
        </w:trPr>
        <w:tc>
          <w:tcPr>
            <w:tcW w:w="1559" w:type="dxa"/>
          </w:tcPr>
          <w:p w14:paraId="361C608E" w14:textId="11263080" w:rsidR="00AA538F" w:rsidRPr="005848D7" w:rsidRDefault="00AA538F" w:rsidP="00AA538F">
            <w:r>
              <w:t>PS35</w:t>
            </w:r>
          </w:p>
        </w:tc>
        <w:tc>
          <w:tcPr>
            <w:cnfStyle w:val="000010000000" w:firstRow="0" w:lastRow="0" w:firstColumn="0" w:lastColumn="0" w:oddVBand="1" w:evenVBand="0" w:oddHBand="0" w:evenHBand="0" w:firstRowFirstColumn="0" w:firstRowLastColumn="0" w:lastRowFirstColumn="0" w:lastRowLastColumn="0"/>
            <w:tcW w:w="4678" w:type="dxa"/>
          </w:tcPr>
          <w:p w14:paraId="79B0F13D" w14:textId="0010F635" w:rsidR="00AA538F" w:rsidRPr="005848D7" w:rsidRDefault="00472AF0" w:rsidP="00AA538F">
            <w:r>
              <w:t>Plan of Subdivision X35</w:t>
            </w:r>
          </w:p>
        </w:tc>
        <w:tc>
          <w:tcPr>
            <w:tcW w:w="1702" w:type="dxa"/>
          </w:tcPr>
          <w:p w14:paraId="1423A035" w14:textId="57D95056" w:rsidR="00AA538F" w:rsidRDefault="00AA538F" w:rsidP="00AA538F">
            <w:pPr>
              <w:cnfStyle w:val="000000000000" w:firstRow="0" w:lastRow="0" w:firstColumn="0" w:lastColumn="0" w:oddVBand="0" w:evenVBand="0" w:oddHBand="0" w:evenHBand="0" w:firstRowFirstColumn="0" w:firstRowLastColumn="0" w:lastRowFirstColumn="0" w:lastRowLastColumn="0"/>
            </w:pPr>
            <w:r>
              <w:t>228</w:t>
            </w:r>
          </w:p>
        </w:tc>
      </w:tr>
      <w:tr w:rsidR="00AA538F" w:rsidRPr="00050253" w14:paraId="7871B597" w14:textId="77777777" w:rsidTr="00D339EE">
        <w:trPr>
          <w:trHeight w:val="284"/>
        </w:trPr>
        <w:tc>
          <w:tcPr>
            <w:tcW w:w="1559" w:type="dxa"/>
          </w:tcPr>
          <w:p w14:paraId="69957638" w14:textId="41A3282D" w:rsidR="00AA538F" w:rsidRDefault="00AA538F" w:rsidP="00AA538F">
            <w:r>
              <w:t>45M</w:t>
            </w:r>
          </w:p>
        </w:tc>
        <w:tc>
          <w:tcPr>
            <w:cnfStyle w:val="000010000000" w:firstRow="0" w:lastRow="0" w:firstColumn="0" w:lastColumn="0" w:oddVBand="1" w:evenVBand="0" w:oddHBand="0" w:evenHBand="0" w:firstRowFirstColumn="0" w:firstRowLastColumn="0" w:lastRowFirstColumn="0" w:lastRowLastColumn="0"/>
            <w:tcW w:w="4678" w:type="dxa"/>
          </w:tcPr>
          <w:p w14:paraId="25E5435F" w14:textId="2B491A6B" w:rsidR="00AA538F" w:rsidRDefault="00AA538F" w:rsidP="00AA538F">
            <w:r>
              <w:t>Transfer of Mortgage</w:t>
            </w:r>
          </w:p>
        </w:tc>
        <w:tc>
          <w:tcPr>
            <w:tcW w:w="1702" w:type="dxa"/>
          </w:tcPr>
          <w:p w14:paraId="6756651B" w14:textId="08A98598" w:rsidR="00AA538F" w:rsidRDefault="00AA538F" w:rsidP="00AA538F">
            <w:pPr>
              <w:cnfStyle w:val="000000000000" w:firstRow="0" w:lastRow="0" w:firstColumn="0" w:lastColumn="0" w:oddVBand="0" w:evenVBand="0" w:oddHBand="0" w:evenHBand="0" w:firstRowFirstColumn="0" w:firstRowLastColumn="0" w:lastRowFirstColumn="0" w:lastRowLastColumn="0"/>
            </w:pPr>
            <w:r>
              <w:t>221</w:t>
            </w:r>
          </w:p>
        </w:tc>
      </w:tr>
      <w:tr w:rsidR="00AA538F" w:rsidRPr="00050253" w14:paraId="4D86666D" w14:textId="77777777" w:rsidTr="00D339EE">
        <w:trPr>
          <w:trHeight w:val="284"/>
        </w:trPr>
        <w:tc>
          <w:tcPr>
            <w:tcW w:w="1559" w:type="dxa"/>
          </w:tcPr>
          <w:p w14:paraId="6F0A05C6" w14:textId="79EEF6DA" w:rsidR="00AA538F" w:rsidRDefault="00AA538F" w:rsidP="00AA538F">
            <w:r>
              <w:t>SA32PS</w:t>
            </w:r>
          </w:p>
        </w:tc>
        <w:tc>
          <w:tcPr>
            <w:cnfStyle w:val="000010000000" w:firstRow="0" w:lastRow="0" w:firstColumn="0" w:lastColumn="0" w:oddVBand="1" w:evenVBand="0" w:oddHBand="0" w:evenHBand="0" w:firstRowFirstColumn="0" w:firstRowLastColumn="0" w:lastRowFirstColumn="0" w:lastRowLastColumn="0"/>
            <w:tcW w:w="4678" w:type="dxa"/>
          </w:tcPr>
          <w:p w14:paraId="6E8C70C4" w14:textId="154FCDB4" w:rsidR="00AA538F" w:rsidRDefault="00AA538F" w:rsidP="00AA538F">
            <w:r w:rsidRPr="00AA538F">
              <w:t>P</w:t>
            </w:r>
            <w:r>
              <w:t>lan</w:t>
            </w:r>
            <w:r w:rsidRPr="00AA538F">
              <w:t xml:space="preserve"> </w:t>
            </w:r>
            <w:r>
              <w:t>of Subdivision</w:t>
            </w:r>
            <w:r w:rsidRPr="00AA538F">
              <w:t>. X3</w:t>
            </w:r>
          </w:p>
        </w:tc>
        <w:tc>
          <w:tcPr>
            <w:tcW w:w="1702" w:type="dxa"/>
          </w:tcPr>
          <w:p w14:paraId="1CCF0884" w14:textId="73440823" w:rsidR="00AA538F" w:rsidRDefault="00AA538F" w:rsidP="00AA538F">
            <w:pPr>
              <w:cnfStyle w:val="000000000000" w:firstRow="0" w:lastRow="0" w:firstColumn="0" w:lastColumn="0" w:oddVBand="0" w:evenVBand="0" w:oddHBand="0" w:evenHBand="0" w:firstRowFirstColumn="0" w:firstRowLastColumn="0" w:lastRowFirstColumn="0" w:lastRowLastColumn="0"/>
            </w:pPr>
            <w:r>
              <w:t>198</w:t>
            </w:r>
          </w:p>
        </w:tc>
      </w:tr>
      <w:tr w:rsidR="00AA538F" w:rsidRPr="00050253" w14:paraId="4602FF08" w14:textId="77777777" w:rsidTr="00D339EE">
        <w:trPr>
          <w:trHeight w:val="284"/>
        </w:trPr>
        <w:tc>
          <w:tcPr>
            <w:tcW w:w="1559" w:type="dxa"/>
          </w:tcPr>
          <w:p w14:paraId="112A5C4E" w14:textId="21E7F145" w:rsidR="00AA538F" w:rsidRDefault="00AA538F" w:rsidP="00AA538F">
            <w:r w:rsidRPr="005848D7">
              <w:t>60</w:t>
            </w:r>
          </w:p>
        </w:tc>
        <w:tc>
          <w:tcPr>
            <w:cnfStyle w:val="000010000000" w:firstRow="0" w:lastRow="0" w:firstColumn="0" w:lastColumn="0" w:oddVBand="1" w:evenVBand="0" w:oddHBand="0" w:evenHBand="0" w:firstRowFirstColumn="0" w:firstRowLastColumn="0" w:lastRowFirstColumn="0" w:lastRowLastColumn="0"/>
            <w:tcW w:w="4678" w:type="dxa"/>
          </w:tcPr>
          <w:p w14:paraId="2123D2A9" w14:textId="5A1FBA3C" w:rsidR="00AA538F" w:rsidRDefault="00AA538F" w:rsidP="00AA538F">
            <w:r w:rsidRPr="005848D7">
              <w:t xml:space="preserve">Adverse Possession </w:t>
            </w:r>
          </w:p>
        </w:tc>
        <w:tc>
          <w:tcPr>
            <w:tcW w:w="1702" w:type="dxa"/>
          </w:tcPr>
          <w:p w14:paraId="76556B51" w14:textId="0E38654B" w:rsidR="00AA538F" w:rsidRDefault="00AA538F" w:rsidP="00AA538F">
            <w:pPr>
              <w:cnfStyle w:val="000000000000" w:firstRow="0" w:lastRow="0" w:firstColumn="0" w:lastColumn="0" w:oddVBand="0" w:evenVBand="0" w:oddHBand="0" w:evenHBand="0" w:firstRowFirstColumn="0" w:firstRowLastColumn="0" w:lastRowFirstColumn="0" w:lastRowLastColumn="0"/>
            </w:pPr>
            <w:r>
              <w:t>188</w:t>
            </w:r>
          </w:p>
        </w:tc>
      </w:tr>
      <w:tr w:rsidR="00AA538F" w:rsidRPr="00050253" w14:paraId="284B0A5C" w14:textId="77777777" w:rsidTr="00D339EE">
        <w:trPr>
          <w:trHeight w:val="284"/>
        </w:trPr>
        <w:tc>
          <w:tcPr>
            <w:tcW w:w="1559" w:type="dxa"/>
          </w:tcPr>
          <w:p w14:paraId="52B87A4E" w14:textId="76F58063" w:rsidR="00AA538F" w:rsidRDefault="00AA538F" w:rsidP="00AA538F">
            <w:r>
              <w:t>XEN</w:t>
            </w:r>
          </w:p>
        </w:tc>
        <w:tc>
          <w:tcPr>
            <w:cnfStyle w:val="000010000000" w:firstRow="0" w:lastRow="0" w:firstColumn="0" w:lastColumn="0" w:oddVBand="1" w:evenVBand="0" w:oddHBand="0" w:evenHBand="0" w:firstRowFirstColumn="0" w:firstRowLastColumn="0" w:lastRowFirstColumn="0" w:lastRowLastColumn="0"/>
            <w:tcW w:w="4678" w:type="dxa"/>
          </w:tcPr>
          <w:p w14:paraId="0A38F56E" w14:textId="4ED7F36C" w:rsidR="00AA538F" w:rsidRDefault="00AA538F" w:rsidP="00AA538F">
            <w:r>
              <w:t>Expiry of encumbrance</w:t>
            </w:r>
          </w:p>
        </w:tc>
        <w:tc>
          <w:tcPr>
            <w:tcW w:w="1702" w:type="dxa"/>
          </w:tcPr>
          <w:p w14:paraId="462C3070" w14:textId="3F0AEFEA" w:rsidR="00AA538F" w:rsidRDefault="00AA538F" w:rsidP="00AA538F">
            <w:pPr>
              <w:cnfStyle w:val="000000000000" w:firstRow="0" w:lastRow="0" w:firstColumn="0" w:lastColumn="0" w:oddVBand="0" w:evenVBand="0" w:oddHBand="0" w:evenHBand="0" w:firstRowFirstColumn="0" w:firstRowLastColumn="0" w:lastRowFirstColumn="0" w:lastRowLastColumn="0"/>
            </w:pPr>
            <w:r>
              <w:t>181</w:t>
            </w:r>
          </w:p>
        </w:tc>
      </w:tr>
      <w:tr w:rsidR="00AA538F" w:rsidRPr="00050253" w14:paraId="157C0A44" w14:textId="77777777" w:rsidTr="00D339EE">
        <w:trPr>
          <w:trHeight w:val="284"/>
        </w:trPr>
        <w:tc>
          <w:tcPr>
            <w:tcW w:w="1559" w:type="dxa"/>
          </w:tcPr>
          <w:p w14:paraId="3987D45F" w14:textId="64A0ED7D" w:rsidR="00AA538F" w:rsidRDefault="00AA538F" w:rsidP="00AA538F">
            <w:r>
              <w:t>LACA</w:t>
            </w:r>
          </w:p>
        </w:tc>
        <w:tc>
          <w:tcPr>
            <w:cnfStyle w:val="000010000000" w:firstRow="0" w:lastRow="0" w:firstColumn="0" w:lastColumn="0" w:oddVBand="1" w:evenVBand="0" w:oddHBand="0" w:evenHBand="0" w:firstRowFirstColumn="0" w:firstRowLastColumn="0" w:lastRowFirstColumn="0" w:lastRowLastColumn="0"/>
            <w:tcW w:w="4678" w:type="dxa"/>
          </w:tcPr>
          <w:p w14:paraId="2AEB2631" w14:textId="0C957BFA" w:rsidR="00AA538F" w:rsidRDefault="00AA538F" w:rsidP="00AA538F">
            <w:r>
              <w:t>Notice</w:t>
            </w:r>
          </w:p>
        </w:tc>
        <w:tc>
          <w:tcPr>
            <w:tcW w:w="1702" w:type="dxa"/>
          </w:tcPr>
          <w:p w14:paraId="1A24EBF0" w14:textId="0969D032" w:rsidR="00AA538F" w:rsidRDefault="00AA538F" w:rsidP="00AA538F">
            <w:pPr>
              <w:cnfStyle w:val="000000000000" w:firstRow="0" w:lastRow="0" w:firstColumn="0" w:lastColumn="0" w:oddVBand="0" w:evenVBand="0" w:oddHBand="0" w:evenHBand="0" w:firstRowFirstColumn="0" w:firstRowLastColumn="0" w:lastRowFirstColumn="0" w:lastRowLastColumn="0"/>
            </w:pPr>
            <w:r>
              <w:t>179</w:t>
            </w:r>
          </w:p>
        </w:tc>
      </w:tr>
      <w:tr w:rsidR="00AA538F" w:rsidRPr="00050253" w14:paraId="6CA4E473" w14:textId="77777777" w:rsidTr="00D339EE">
        <w:trPr>
          <w:trHeight w:val="284"/>
        </w:trPr>
        <w:tc>
          <w:tcPr>
            <w:tcW w:w="1559" w:type="dxa"/>
          </w:tcPr>
          <w:p w14:paraId="1FB07030" w14:textId="6E275D4B" w:rsidR="00AA538F" w:rsidRDefault="00AA538F" w:rsidP="00AA538F">
            <w:r>
              <w:t>OCAR</w:t>
            </w:r>
          </w:p>
        </w:tc>
        <w:tc>
          <w:tcPr>
            <w:cnfStyle w:val="000010000000" w:firstRow="0" w:lastRow="0" w:firstColumn="0" w:lastColumn="0" w:oddVBand="1" w:evenVBand="0" w:oddHBand="0" w:evenHBand="0" w:firstRowFirstColumn="0" w:firstRowLastColumn="0" w:lastRowFirstColumn="0" w:lastRowLastColumn="0"/>
            <w:tcW w:w="4678" w:type="dxa"/>
          </w:tcPr>
          <w:p w14:paraId="4ECCA15A" w14:textId="2D25A057" w:rsidR="00AA538F" w:rsidRDefault="00AA538F" w:rsidP="00AA538F">
            <w:r w:rsidRPr="005848D7">
              <w:t>Owners Corporation</w:t>
            </w:r>
            <w:r>
              <w:t xml:space="preserve"> Rules</w:t>
            </w:r>
          </w:p>
        </w:tc>
        <w:tc>
          <w:tcPr>
            <w:tcW w:w="1702" w:type="dxa"/>
          </w:tcPr>
          <w:p w14:paraId="1B56D137" w14:textId="385AB868" w:rsidR="00AA538F" w:rsidRDefault="00AA538F" w:rsidP="00AA538F">
            <w:pPr>
              <w:cnfStyle w:val="000000000000" w:firstRow="0" w:lastRow="0" w:firstColumn="0" w:lastColumn="0" w:oddVBand="0" w:evenVBand="0" w:oddHBand="0" w:evenHBand="0" w:firstRowFirstColumn="0" w:firstRowLastColumn="0" w:lastRowFirstColumn="0" w:lastRowLastColumn="0"/>
            </w:pPr>
            <w:r>
              <w:t>149</w:t>
            </w:r>
          </w:p>
        </w:tc>
      </w:tr>
    </w:tbl>
    <w:p w14:paraId="51423723" w14:textId="77777777" w:rsidR="00D339EE" w:rsidRDefault="00D339EE">
      <w:pPr>
        <w:rPr>
          <w:b/>
          <w:bCs/>
          <w:color w:val="B3272F" w:themeColor="text2"/>
          <w:kern w:val="32"/>
          <w:sz w:val="40"/>
          <w:szCs w:val="32"/>
        </w:rPr>
      </w:pPr>
      <w:r>
        <w:br w:type="page"/>
      </w:r>
    </w:p>
    <w:p w14:paraId="744A1CFE" w14:textId="25EF6293" w:rsidR="001F57F8" w:rsidRDefault="001F57F8" w:rsidP="001F57F8">
      <w:pPr>
        <w:pStyle w:val="Heading1"/>
      </w:pPr>
      <w:bookmarkStart w:id="53" w:name="_Toc46161468"/>
      <w:bookmarkStart w:id="54" w:name="_Toc46822595"/>
      <w:r>
        <w:t>Other measures of Land Registr</w:t>
      </w:r>
      <w:r w:rsidR="005259B5">
        <w:t>y</w:t>
      </w:r>
      <w:r>
        <w:t xml:space="preserve"> Services activity</w:t>
      </w:r>
      <w:bookmarkEnd w:id="53"/>
      <w:bookmarkEnd w:id="54"/>
    </w:p>
    <w:p w14:paraId="5A472FF6" w14:textId="77777777" w:rsidR="001F57F8" w:rsidRDefault="001F57F8" w:rsidP="001F57F8">
      <w:pPr>
        <w:pStyle w:val="Heading2"/>
      </w:pPr>
      <w:bookmarkStart w:id="55" w:name="_Toc46161469"/>
      <w:bookmarkStart w:id="56" w:name="_Toc46822596"/>
      <w:r>
        <w:t>Registrations</w:t>
      </w:r>
      <w:bookmarkEnd w:id="55"/>
      <w:bookmarkEnd w:id="56"/>
    </w:p>
    <w:p w14:paraId="7807DB96" w14:textId="77777777" w:rsidR="001F57F8" w:rsidRDefault="001F57F8" w:rsidP="001F57F8">
      <w:pPr>
        <w:pStyle w:val="Heading3"/>
      </w:pPr>
      <w:bookmarkStart w:id="57" w:name="_Toc46161470"/>
      <w:bookmarkStart w:id="58" w:name="_Toc46822597"/>
      <w:r>
        <w:t>Number of dealings registered</w:t>
      </w:r>
      <w:bookmarkEnd w:id="57"/>
      <w:bookmarkEnd w:id="58"/>
    </w:p>
    <w:p w14:paraId="608006EC" w14:textId="5408E010" w:rsidR="001F57F8" w:rsidRDefault="001F57F8" w:rsidP="001F57F8">
      <w:pPr>
        <w:pStyle w:val="BodyText"/>
        <w:keepNext/>
      </w:pPr>
      <w:r>
        <w:t>The number of tra</w:t>
      </w:r>
      <w:r w:rsidR="00986F12">
        <w:t xml:space="preserve">nsactions </w:t>
      </w:r>
      <w:r w:rsidR="005259B5">
        <w:t>r</w:t>
      </w:r>
      <w:r w:rsidR="00986F12">
        <w:t xml:space="preserve">egistered in the </w:t>
      </w:r>
      <w:r w:rsidR="0073216D">
        <w:t>201</w:t>
      </w:r>
      <w:r w:rsidR="00F57CB8">
        <w:t>9</w:t>
      </w:r>
      <w:r w:rsidR="0073216D">
        <w:t>–20</w:t>
      </w:r>
      <w:r w:rsidR="00F57CB8">
        <w:t>20</w:t>
      </w:r>
      <w:r w:rsidR="00306BB3">
        <w:t xml:space="preserve"> financial year was </w:t>
      </w:r>
      <w:r w:rsidR="007D095E">
        <w:t>8</w:t>
      </w:r>
      <w:r w:rsidR="00F57CB8">
        <w:t>5</w:t>
      </w:r>
      <w:r w:rsidR="00A726D3">
        <w:t>2</w:t>
      </w:r>
      <w:r w:rsidR="00F57CB8">
        <w:t>,3</w:t>
      </w:r>
      <w:r w:rsidR="00A726D3">
        <w:t>27</w:t>
      </w:r>
    </w:p>
    <w:p w14:paraId="2A966846" w14:textId="77777777" w:rsidR="001F57F8" w:rsidRDefault="001F57F8" w:rsidP="001F57F8">
      <w:pPr>
        <w:pStyle w:val="Heading3"/>
      </w:pPr>
      <w:bookmarkStart w:id="59" w:name="_Toc46161471"/>
      <w:bookmarkStart w:id="60" w:name="_Toc46822598"/>
      <w:r>
        <w:t>Percentage of dealings registered within 5 days</w:t>
      </w:r>
      <w:bookmarkEnd w:id="59"/>
      <w:bookmarkEnd w:id="60"/>
      <w:r>
        <w:t xml:space="preserve"> </w:t>
      </w:r>
    </w:p>
    <w:p w14:paraId="672B056B" w14:textId="77777777" w:rsidR="001F57F8" w:rsidRDefault="001F57F8" w:rsidP="001F57F8">
      <w:pPr>
        <w:pStyle w:val="BodyText"/>
        <w:keepNext/>
      </w:pPr>
      <w:r>
        <w:t xml:space="preserve">The average percentages achieved were greater than 99 per cent for the whole of the financial year. </w:t>
      </w:r>
    </w:p>
    <w:p w14:paraId="787BB85A" w14:textId="77777777" w:rsidR="001F57F8" w:rsidRDefault="001F57F8" w:rsidP="001F57F8">
      <w:pPr>
        <w:pStyle w:val="Heading3"/>
      </w:pPr>
      <w:bookmarkStart w:id="61" w:name="_Toc46161472"/>
      <w:bookmarkStart w:id="62" w:name="_Toc46822599"/>
      <w:r>
        <w:t>Number of plans registered</w:t>
      </w:r>
      <w:bookmarkEnd w:id="61"/>
      <w:bookmarkEnd w:id="62"/>
    </w:p>
    <w:p w14:paraId="1A79A9FF" w14:textId="70ECF51F" w:rsidR="001F57F8" w:rsidRDefault="001F57F8" w:rsidP="002845A6">
      <w:pPr>
        <w:pStyle w:val="BodyText"/>
        <w:keepNext/>
      </w:pPr>
      <w:r>
        <w:t xml:space="preserve">The number of plans registered </w:t>
      </w:r>
      <w:r w:rsidR="00306BB3">
        <w:t>for the financial year was 8</w:t>
      </w:r>
      <w:r w:rsidR="00324F47">
        <w:t>,</w:t>
      </w:r>
      <w:bookmarkStart w:id="63" w:name="_Toc46161473"/>
      <w:r w:rsidR="00D22C1F">
        <w:t>712</w:t>
      </w:r>
      <w:r w:rsidR="002845A6">
        <w:t xml:space="preserve"> </w:t>
      </w:r>
      <w:r w:rsidR="00801BCF">
        <w:t>p</w:t>
      </w:r>
      <w:r>
        <w:t>ercentage of plans registered within 15 days</w:t>
      </w:r>
      <w:bookmarkEnd w:id="63"/>
      <w:r w:rsidR="0042271E">
        <w:t>.</w:t>
      </w:r>
      <w:r>
        <w:t xml:space="preserve"> </w:t>
      </w:r>
    </w:p>
    <w:p w14:paraId="487B5ABA" w14:textId="27F10AF0" w:rsidR="001F57F8" w:rsidRDefault="001F57F8" w:rsidP="001F57F8">
      <w:pPr>
        <w:pStyle w:val="BodyText"/>
        <w:keepNext/>
      </w:pPr>
      <w:r>
        <w:t>The average</w:t>
      </w:r>
      <w:r w:rsidR="00986F12">
        <w:t xml:space="preserve"> percentage achieved was </w:t>
      </w:r>
      <w:r w:rsidR="00F76430">
        <w:t>9</w:t>
      </w:r>
      <w:r w:rsidR="003F7C13">
        <w:t>5</w:t>
      </w:r>
      <w:r w:rsidR="000E460A">
        <w:t xml:space="preserve"> per cent</w:t>
      </w:r>
      <w:r>
        <w:t xml:space="preserve"> for the whole of the financial year. </w:t>
      </w:r>
    </w:p>
    <w:p w14:paraId="3F546929" w14:textId="77777777" w:rsidR="001F57F8" w:rsidRDefault="001F57F8" w:rsidP="001F57F8">
      <w:pPr>
        <w:pStyle w:val="Heading3"/>
      </w:pPr>
      <w:bookmarkStart w:id="64" w:name="_Toc46161474"/>
      <w:bookmarkStart w:id="65" w:name="_Toc46822600"/>
      <w:r>
        <w:t>Number of dealings refused</w:t>
      </w:r>
      <w:bookmarkEnd w:id="64"/>
      <w:bookmarkEnd w:id="65"/>
      <w:r>
        <w:t xml:space="preserve"> </w:t>
      </w:r>
    </w:p>
    <w:p w14:paraId="245330B3" w14:textId="5E97B65A" w:rsidR="001F57F8" w:rsidRDefault="001F57F8" w:rsidP="001F57F8">
      <w:pPr>
        <w:pStyle w:val="BodyText"/>
        <w:keepNext/>
      </w:pPr>
      <w:r>
        <w:t xml:space="preserve">The number of dealings refused for this financial year was </w:t>
      </w:r>
      <w:r w:rsidR="00523DB9">
        <w:t>9,248</w:t>
      </w:r>
      <w:r w:rsidR="0033766B">
        <w:t xml:space="preserve">. </w:t>
      </w:r>
      <w:r w:rsidR="008D30DC">
        <w:t xml:space="preserve">This represents </w:t>
      </w:r>
      <w:r w:rsidR="006E0D77">
        <w:t xml:space="preserve">1.0 </w:t>
      </w:r>
      <w:r>
        <w:t xml:space="preserve">per cent of total dealings presented for acceptance at Land </w:t>
      </w:r>
      <w:r w:rsidR="005259B5">
        <w:t>Registry Services</w:t>
      </w:r>
      <w:r>
        <w:t xml:space="preserve"> for the financial year.</w:t>
      </w:r>
    </w:p>
    <w:p w14:paraId="267FFE99" w14:textId="7D3B7EB9" w:rsidR="001F57F8" w:rsidRDefault="008D30DC" w:rsidP="001F57F8">
      <w:pPr>
        <w:pStyle w:val="BodyText"/>
        <w:keepNext/>
      </w:pPr>
      <w:r>
        <w:t>In the 201</w:t>
      </w:r>
      <w:r w:rsidR="00430878">
        <w:t>8</w:t>
      </w:r>
      <w:r>
        <w:t>–201</w:t>
      </w:r>
      <w:r w:rsidR="00430878">
        <w:t>9</w:t>
      </w:r>
      <w:r w:rsidR="001F57F8">
        <w:t xml:space="preserve"> </w:t>
      </w:r>
      <w:r w:rsidR="00EF688C">
        <w:t xml:space="preserve">financial year was </w:t>
      </w:r>
      <w:r w:rsidR="00901142">
        <w:t>79,217</w:t>
      </w:r>
      <w:r w:rsidR="00EF688C">
        <w:t xml:space="preserve">. This represents </w:t>
      </w:r>
      <w:r w:rsidR="00901142">
        <w:t>9.8</w:t>
      </w:r>
      <w:r w:rsidR="00EF688C">
        <w:t xml:space="preserve"> per cent of total dealings presented for acceptance at Land </w:t>
      </w:r>
      <w:r w:rsidR="005259B5">
        <w:t>Registry Services</w:t>
      </w:r>
      <w:r w:rsidR="001F57F8">
        <w:t>.</w:t>
      </w:r>
    </w:p>
    <w:p w14:paraId="1756F692" w14:textId="77777777" w:rsidR="001F57F8" w:rsidRDefault="001F57F8" w:rsidP="001F57F8">
      <w:pPr>
        <w:pStyle w:val="Heading3"/>
      </w:pPr>
      <w:bookmarkStart w:id="66" w:name="_Toc46161475"/>
      <w:bookmarkStart w:id="67" w:name="_Toc46822601"/>
      <w:r>
        <w:t>Number of dealings waiting to be processed</w:t>
      </w:r>
      <w:bookmarkEnd w:id="66"/>
      <w:bookmarkEnd w:id="67"/>
    </w:p>
    <w:p w14:paraId="7E3E0159" w14:textId="5B4C0735" w:rsidR="001F57F8" w:rsidRDefault="001F57F8" w:rsidP="001F57F8">
      <w:pPr>
        <w:pStyle w:val="BodyText"/>
        <w:keepNext/>
      </w:pPr>
      <w:r>
        <w:t>The number of dealings waiting to be processed in this financial year has stabilised. The ‘holding level’ at the commencement</w:t>
      </w:r>
      <w:r w:rsidR="00C66840">
        <w:t xml:space="preserve"> of the financial year was 2,</w:t>
      </w:r>
      <w:r w:rsidR="00761AEF">
        <w:t>553</w:t>
      </w:r>
      <w:r>
        <w:t xml:space="preserve">. For </w:t>
      </w:r>
      <w:proofErr w:type="gramStart"/>
      <w:r>
        <w:t>the majority of</w:t>
      </w:r>
      <w:proofErr w:type="gramEnd"/>
      <w:r>
        <w:t xml:space="preserve"> this year th</w:t>
      </w:r>
      <w:r w:rsidR="008B1F83">
        <w:t>at figure has been less than 2,7</w:t>
      </w:r>
      <w:r>
        <w:t xml:space="preserve">00. The majority, if not </w:t>
      </w:r>
      <w:proofErr w:type="gramStart"/>
      <w:r>
        <w:t>all of</w:t>
      </w:r>
      <w:proofErr w:type="gramEnd"/>
      <w:r>
        <w:t xml:space="preserve"> these dealings, will be in a processing state that requires attention from customers, or cannot be processed until a statutory perio</w:t>
      </w:r>
      <w:r w:rsidR="007513BF">
        <w:t>d has elapsed. As at 1 July 2</w:t>
      </w:r>
      <w:r w:rsidR="00112A21">
        <w:t>020</w:t>
      </w:r>
      <w:r w:rsidR="007E77B4">
        <w:t xml:space="preserve"> the figure was 2,</w:t>
      </w:r>
      <w:r w:rsidR="00F9366B">
        <w:t>87</w:t>
      </w:r>
      <w:r w:rsidR="00A9158B">
        <w:t>2</w:t>
      </w:r>
      <w:r w:rsidR="008B1F83">
        <w:t>.</w:t>
      </w:r>
    </w:p>
    <w:p w14:paraId="2BC6AA05" w14:textId="77777777" w:rsidR="001F57F8" w:rsidRDefault="001F57F8">
      <w:pPr>
        <w:rPr>
          <w:b/>
          <w:bCs/>
          <w:color w:val="B3272F" w:themeColor="text2"/>
          <w:kern w:val="32"/>
          <w:sz w:val="40"/>
          <w:szCs w:val="32"/>
        </w:rPr>
      </w:pPr>
      <w:r>
        <w:br w:type="page"/>
      </w:r>
    </w:p>
    <w:p w14:paraId="7F7550DD" w14:textId="77777777" w:rsidR="001F57F8" w:rsidRDefault="001F57F8" w:rsidP="001F57F8">
      <w:pPr>
        <w:pStyle w:val="Heading1"/>
      </w:pPr>
      <w:bookmarkStart w:id="68" w:name="_Toc46161476"/>
      <w:bookmarkStart w:id="69" w:name="_Toc46822602"/>
      <w:r>
        <w:t>Electronic transactions processing</w:t>
      </w:r>
      <w:bookmarkEnd w:id="68"/>
      <w:bookmarkEnd w:id="69"/>
    </w:p>
    <w:p w14:paraId="52AC2053" w14:textId="5AF1DBAF" w:rsidR="001F57F8" w:rsidRDefault="001F57F8" w:rsidP="001F57F8">
      <w:pPr>
        <w:pStyle w:val="Heading2"/>
      </w:pPr>
      <w:bookmarkStart w:id="70" w:name="_Toc46822603"/>
      <w:bookmarkStart w:id="71" w:name="_Toc46161477"/>
      <w:r>
        <w:t xml:space="preserve">Electronic Conveyancing </w:t>
      </w:r>
      <w:bookmarkEnd w:id="70"/>
      <w:bookmarkEnd w:id="71"/>
    </w:p>
    <w:p w14:paraId="472C76D9" w14:textId="35A3EECD" w:rsidR="00BA0441" w:rsidRDefault="001F57F8" w:rsidP="001F57F8">
      <w:pPr>
        <w:pStyle w:val="BodyText"/>
        <w:keepNext/>
      </w:pPr>
      <w:r>
        <w:t>The number of transactions</w:t>
      </w:r>
      <w:r w:rsidR="00285922">
        <w:t xml:space="preserve"> lodged </w:t>
      </w:r>
      <w:r w:rsidR="003607D8">
        <w:t>electronically</w:t>
      </w:r>
      <w:r w:rsidR="00285922">
        <w:t xml:space="preserve"> in the 201</w:t>
      </w:r>
      <w:r w:rsidR="00CD4463">
        <w:t>9</w:t>
      </w:r>
      <w:r w:rsidR="00285922">
        <w:t>–20</w:t>
      </w:r>
      <w:r w:rsidR="00CD4463">
        <w:t>20</w:t>
      </w:r>
      <w:r>
        <w:t xml:space="preserve"> financial</w:t>
      </w:r>
      <w:r w:rsidR="00C6207C">
        <w:t xml:space="preserve"> year was</w:t>
      </w:r>
      <w:r w:rsidR="0075274F">
        <w:t xml:space="preserve"> </w:t>
      </w:r>
      <w:r w:rsidR="00CD4463">
        <w:t>806,643</w:t>
      </w:r>
      <w:r w:rsidR="0075274F">
        <w:t xml:space="preserve">, up from </w:t>
      </w:r>
      <w:r w:rsidR="003B3D16">
        <w:t>681,620</w:t>
      </w:r>
      <w:r w:rsidR="0075274F">
        <w:t xml:space="preserve"> in 201</w:t>
      </w:r>
      <w:r w:rsidR="002344A4">
        <w:t>8</w:t>
      </w:r>
      <w:r w:rsidR="0075274F">
        <w:t>–201</w:t>
      </w:r>
      <w:r w:rsidR="002344A4">
        <w:t>9</w:t>
      </w:r>
      <w:r>
        <w:t xml:space="preserve">. </w:t>
      </w:r>
      <w:r w:rsidR="00E9487A">
        <w:t xml:space="preserve">Transactions lodged </w:t>
      </w:r>
      <w:r w:rsidR="00280CD9">
        <w:t>electronic</w:t>
      </w:r>
      <w:r w:rsidR="00E9487A">
        <w:t xml:space="preserve">ally in </w:t>
      </w:r>
      <w:r w:rsidR="00B81E4F">
        <w:t>2019</w:t>
      </w:r>
      <w:r w:rsidR="00B44458">
        <w:t>-</w:t>
      </w:r>
      <w:r w:rsidR="00B81E4F">
        <w:t xml:space="preserve">2020 financial year </w:t>
      </w:r>
      <w:r w:rsidR="00E9487A">
        <w:t>accounted for</w:t>
      </w:r>
      <w:r w:rsidR="00B81E4F">
        <w:t xml:space="preserve"> 94.</w:t>
      </w:r>
      <w:r w:rsidR="00BA0441">
        <w:t>5</w:t>
      </w:r>
      <w:r w:rsidR="00A53D7F">
        <w:t>4 per cent</w:t>
      </w:r>
      <w:r w:rsidR="00E9487A">
        <w:t xml:space="preserve"> of all lodgements</w:t>
      </w:r>
      <w:r w:rsidR="00BA0441">
        <w:t>.</w:t>
      </w:r>
    </w:p>
    <w:p w14:paraId="13A3E86D" w14:textId="77777777" w:rsidR="001F57F8" w:rsidRDefault="001F57F8" w:rsidP="00E57AE9">
      <w:pPr>
        <w:pStyle w:val="BodyText"/>
        <w:keepNext/>
      </w:pPr>
      <w:r>
        <w:t>This is made up of the following:</w:t>
      </w:r>
    </w:p>
    <w:tbl>
      <w:tblPr>
        <w:tblStyle w:val="TableGrid"/>
        <w:tblW w:w="0" w:type="auto"/>
        <w:tblLook w:val="00A0" w:firstRow="1" w:lastRow="0" w:firstColumn="1" w:lastColumn="0" w:noHBand="0" w:noVBand="0"/>
      </w:tblPr>
      <w:tblGrid>
        <w:gridCol w:w="3261"/>
        <w:gridCol w:w="1559"/>
      </w:tblGrid>
      <w:tr w:rsidR="00014E1E" w:rsidRPr="00050253" w14:paraId="489F1426" w14:textId="77777777" w:rsidTr="00014E1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261" w:type="dxa"/>
          </w:tcPr>
          <w:p w14:paraId="12186981" w14:textId="77777777" w:rsidR="00014E1E" w:rsidRPr="00050253" w:rsidRDefault="00014E1E" w:rsidP="004C1C2A">
            <w:pPr>
              <w:pStyle w:val="TableHeadingLeft"/>
            </w:pPr>
          </w:p>
        </w:tc>
        <w:tc>
          <w:tcPr>
            <w:cnfStyle w:val="000010000000" w:firstRow="0" w:lastRow="0" w:firstColumn="0" w:lastColumn="0" w:oddVBand="1" w:evenVBand="0" w:oddHBand="0" w:evenHBand="0" w:firstRowFirstColumn="0" w:firstRowLastColumn="0" w:lastRowFirstColumn="0" w:lastRowLastColumn="0"/>
            <w:tcW w:w="1559" w:type="dxa"/>
          </w:tcPr>
          <w:p w14:paraId="4D942D6A" w14:textId="77777777" w:rsidR="00014E1E" w:rsidRPr="00050253" w:rsidRDefault="00014E1E" w:rsidP="004C1C2A">
            <w:pPr>
              <w:pStyle w:val="TableHeadingLeft"/>
            </w:pPr>
          </w:p>
        </w:tc>
      </w:tr>
      <w:tr w:rsidR="00014E1E" w:rsidRPr="00050253" w14:paraId="198C2B19" w14:textId="77777777" w:rsidTr="00014E1E">
        <w:tc>
          <w:tcPr>
            <w:tcW w:w="3261" w:type="dxa"/>
          </w:tcPr>
          <w:p w14:paraId="19D4CB13" w14:textId="77777777" w:rsidR="00014E1E" w:rsidRPr="00997FFC" w:rsidRDefault="00014E1E" w:rsidP="004C1C2A">
            <w:r w:rsidRPr="00997FFC">
              <w:t>Discharges of mortgage</w:t>
            </w:r>
          </w:p>
        </w:tc>
        <w:tc>
          <w:tcPr>
            <w:cnfStyle w:val="000010000000" w:firstRow="0" w:lastRow="0" w:firstColumn="0" w:lastColumn="0" w:oddVBand="1" w:evenVBand="0" w:oddHBand="0" w:evenHBand="0" w:firstRowFirstColumn="0" w:firstRowLastColumn="0" w:lastRowFirstColumn="0" w:lastRowLastColumn="0"/>
            <w:tcW w:w="1559" w:type="dxa"/>
          </w:tcPr>
          <w:p w14:paraId="137F6681" w14:textId="135515A7" w:rsidR="00014E1E" w:rsidRPr="00997FFC" w:rsidRDefault="00924F5B" w:rsidP="004C1C2A">
            <w:r>
              <w:t>268,</w:t>
            </w:r>
            <w:r w:rsidR="00840767">
              <w:t>855</w:t>
            </w:r>
          </w:p>
        </w:tc>
      </w:tr>
      <w:tr w:rsidR="00531580" w:rsidRPr="00050253" w14:paraId="5D99C5D2" w14:textId="77777777" w:rsidTr="00014E1E">
        <w:tc>
          <w:tcPr>
            <w:tcW w:w="3261" w:type="dxa"/>
          </w:tcPr>
          <w:p w14:paraId="27BC43AC" w14:textId="7F6C8213" w:rsidR="00531580" w:rsidRPr="00997FFC" w:rsidRDefault="00531580" w:rsidP="00531580">
            <w:r w:rsidRPr="00997FFC">
              <w:t>Mortgage</w:t>
            </w:r>
          </w:p>
        </w:tc>
        <w:tc>
          <w:tcPr>
            <w:cnfStyle w:val="000010000000" w:firstRow="0" w:lastRow="0" w:firstColumn="0" w:lastColumn="0" w:oddVBand="1" w:evenVBand="0" w:oddHBand="0" w:evenHBand="0" w:firstRowFirstColumn="0" w:firstRowLastColumn="0" w:lastRowFirstColumn="0" w:lastRowLastColumn="0"/>
            <w:tcW w:w="1559" w:type="dxa"/>
          </w:tcPr>
          <w:p w14:paraId="7C7CDF91" w14:textId="2BD97458" w:rsidR="00531580" w:rsidRDefault="005F2ED1" w:rsidP="00531580">
            <w:r>
              <w:t>260,744</w:t>
            </w:r>
          </w:p>
        </w:tc>
      </w:tr>
      <w:tr w:rsidR="00531580" w:rsidRPr="00050253" w14:paraId="56A56B77" w14:textId="77777777" w:rsidTr="00014E1E">
        <w:tc>
          <w:tcPr>
            <w:tcW w:w="3261" w:type="dxa"/>
          </w:tcPr>
          <w:p w14:paraId="315E1575" w14:textId="77777777" w:rsidR="00531580" w:rsidRPr="00997FFC" w:rsidRDefault="00531580" w:rsidP="00531580">
            <w:r w:rsidRPr="00997FFC">
              <w:t>Caveats</w:t>
            </w:r>
          </w:p>
        </w:tc>
        <w:tc>
          <w:tcPr>
            <w:cnfStyle w:val="000010000000" w:firstRow="0" w:lastRow="0" w:firstColumn="0" w:lastColumn="0" w:oddVBand="1" w:evenVBand="0" w:oddHBand="0" w:evenHBand="0" w:firstRowFirstColumn="0" w:firstRowLastColumn="0" w:lastRowFirstColumn="0" w:lastRowLastColumn="0"/>
            <w:tcW w:w="1559" w:type="dxa"/>
          </w:tcPr>
          <w:p w14:paraId="0169E5E6" w14:textId="3A4FDC32" w:rsidR="00531580" w:rsidRPr="00997FFC" w:rsidRDefault="00531580" w:rsidP="00531580">
            <w:r>
              <w:t>30,179</w:t>
            </w:r>
          </w:p>
        </w:tc>
      </w:tr>
      <w:tr w:rsidR="00531580" w:rsidRPr="00050253" w14:paraId="1B069DBE" w14:textId="77777777" w:rsidTr="00014E1E">
        <w:tc>
          <w:tcPr>
            <w:tcW w:w="3261" w:type="dxa"/>
          </w:tcPr>
          <w:p w14:paraId="231895F1" w14:textId="77777777" w:rsidR="00531580" w:rsidRPr="00997FFC" w:rsidRDefault="00531580" w:rsidP="00531580">
            <w:r w:rsidRPr="00997FFC">
              <w:t>Withdrawal of caveat</w:t>
            </w:r>
          </w:p>
        </w:tc>
        <w:tc>
          <w:tcPr>
            <w:cnfStyle w:val="000010000000" w:firstRow="0" w:lastRow="0" w:firstColumn="0" w:lastColumn="0" w:oddVBand="1" w:evenVBand="0" w:oddHBand="0" w:evenHBand="0" w:firstRowFirstColumn="0" w:firstRowLastColumn="0" w:lastRowFirstColumn="0" w:lastRowLastColumn="0"/>
            <w:tcW w:w="1559" w:type="dxa"/>
          </w:tcPr>
          <w:p w14:paraId="013CF81A" w14:textId="49AE30CD" w:rsidR="00531580" w:rsidRPr="00997FFC" w:rsidRDefault="00531580" w:rsidP="00531580">
            <w:r>
              <w:t>17,519</w:t>
            </w:r>
          </w:p>
        </w:tc>
      </w:tr>
      <w:tr w:rsidR="00531580" w:rsidRPr="00050253" w14:paraId="2F74187D" w14:textId="77777777" w:rsidTr="00014E1E">
        <w:tc>
          <w:tcPr>
            <w:tcW w:w="3261" w:type="dxa"/>
          </w:tcPr>
          <w:p w14:paraId="67DE4083" w14:textId="77777777" w:rsidR="00531580" w:rsidRPr="00997FFC" w:rsidRDefault="00531580" w:rsidP="00531580">
            <w:r w:rsidRPr="00997FFC">
              <w:t>Transfer of land</w:t>
            </w:r>
          </w:p>
        </w:tc>
        <w:tc>
          <w:tcPr>
            <w:cnfStyle w:val="000010000000" w:firstRow="0" w:lastRow="0" w:firstColumn="0" w:lastColumn="0" w:oddVBand="1" w:evenVBand="0" w:oddHBand="0" w:evenHBand="0" w:firstRowFirstColumn="0" w:firstRowLastColumn="0" w:lastRowFirstColumn="0" w:lastRowLastColumn="0"/>
            <w:tcW w:w="1559" w:type="dxa"/>
          </w:tcPr>
          <w:p w14:paraId="545DD9A9" w14:textId="761BFEC4" w:rsidR="00531580" w:rsidRPr="00997FFC" w:rsidRDefault="00531580" w:rsidP="00531580">
            <w:r>
              <w:t>197,145</w:t>
            </w:r>
          </w:p>
        </w:tc>
      </w:tr>
      <w:tr w:rsidR="00531580" w:rsidRPr="00050253" w14:paraId="1FDE3502" w14:textId="77777777" w:rsidTr="00014E1E">
        <w:tc>
          <w:tcPr>
            <w:tcW w:w="3261" w:type="dxa"/>
          </w:tcPr>
          <w:p w14:paraId="35924A5A" w14:textId="6F00EFE3" w:rsidR="00531580" w:rsidRPr="00997FFC" w:rsidRDefault="00531580" w:rsidP="00531580">
            <w:r>
              <w:t>Transfer of mortgage</w:t>
            </w:r>
          </w:p>
        </w:tc>
        <w:tc>
          <w:tcPr>
            <w:cnfStyle w:val="000010000000" w:firstRow="0" w:lastRow="0" w:firstColumn="0" w:lastColumn="0" w:oddVBand="1" w:evenVBand="0" w:oddHBand="0" w:evenHBand="0" w:firstRowFirstColumn="0" w:firstRowLastColumn="0" w:lastRowFirstColumn="0" w:lastRowLastColumn="0"/>
            <w:tcW w:w="1559" w:type="dxa"/>
          </w:tcPr>
          <w:p w14:paraId="483B23EE" w14:textId="748BD23D" w:rsidR="00531580" w:rsidRDefault="00531580" w:rsidP="00531580">
            <w:r>
              <w:t>169</w:t>
            </w:r>
          </w:p>
        </w:tc>
      </w:tr>
      <w:tr w:rsidR="00531580" w:rsidRPr="00050253" w14:paraId="39A01CD7" w14:textId="77777777" w:rsidTr="00014E1E">
        <w:tc>
          <w:tcPr>
            <w:tcW w:w="3261" w:type="dxa"/>
          </w:tcPr>
          <w:p w14:paraId="51AE93FD" w14:textId="40FAD074" w:rsidR="00531580" w:rsidRDefault="00531580" w:rsidP="00531580">
            <w:r>
              <w:t>Transfer by mortgagee</w:t>
            </w:r>
          </w:p>
        </w:tc>
        <w:tc>
          <w:tcPr>
            <w:cnfStyle w:val="000010000000" w:firstRow="0" w:lastRow="0" w:firstColumn="0" w:lastColumn="0" w:oddVBand="1" w:evenVBand="0" w:oddHBand="0" w:evenHBand="0" w:firstRowFirstColumn="0" w:firstRowLastColumn="0" w:lastRowFirstColumn="0" w:lastRowLastColumn="0"/>
            <w:tcW w:w="1559" w:type="dxa"/>
          </w:tcPr>
          <w:p w14:paraId="31703B4F" w14:textId="52D6572A" w:rsidR="00531580" w:rsidRDefault="005F2ED1" w:rsidP="00531580">
            <w:r>
              <w:t>657</w:t>
            </w:r>
          </w:p>
        </w:tc>
      </w:tr>
      <w:tr w:rsidR="00531580" w:rsidRPr="00050253" w14:paraId="29D4A7EB" w14:textId="77777777" w:rsidTr="00014E1E">
        <w:tc>
          <w:tcPr>
            <w:tcW w:w="3261" w:type="dxa"/>
          </w:tcPr>
          <w:p w14:paraId="75449077" w14:textId="58C624D9" w:rsidR="00531580" w:rsidRPr="00997FFC" w:rsidRDefault="00531580" w:rsidP="00531580">
            <w:r>
              <w:t xml:space="preserve">Survivorship </w:t>
            </w:r>
          </w:p>
        </w:tc>
        <w:tc>
          <w:tcPr>
            <w:cnfStyle w:val="000010000000" w:firstRow="0" w:lastRow="0" w:firstColumn="0" w:lastColumn="0" w:oddVBand="1" w:evenVBand="0" w:oddHBand="0" w:evenHBand="0" w:firstRowFirstColumn="0" w:firstRowLastColumn="0" w:lastRowFirstColumn="0" w:lastRowLastColumn="0"/>
            <w:tcW w:w="1559" w:type="dxa"/>
          </w:tcPr>
          <w:p w14:paraId="626723C8" w14:textId="18FE05BE" w:rsidR="00531580" w:rsidRDefault="005F2ED1" w:rsidP="00531580">
            <w:r>
              <w:t>9,335</w:t>
            </w:r>
          </w:p>
        </w:tc>
      </w:tr>
      <w:tr w:rsidR="00531580" w:rsidRPr="00050253" w14:paraId="781F4AA6" w14:textId="77777777" w:rsidTr="00014E1E">
        <w:tc>
          <w:tcPr>
            <w:tcW w:w="3261" w:type="dxa"/>
          </w:tcPr>
          <w:p w14:paraId="2D8ABF83" w14:textId="6CC2F600" w:rsidR="00531580" w:rsidRDefault="00531580" w:rsidP="00531580">
            <w:r>
              <w:t xml:space="preserve">Transmission </w:t>
            </w:r>
          </w:p>
        </w:tc>
        <w:tc>
          <w:tcPr>
            <w:cnfStyle w:val="000010000000" w:firstRow="0" w:lastRow="0" w:firstColumn="0" w:lastColumn="0" w:oddVBand="1" w:evenVBand="0" w:oddHBand="0" w:evenHBand="0" w:firstRowFirstColumn="0" w:firstRowLastColumn="0" w:lastRowFirstColumn="0" w:lastRowLastColumn="0"/>
            <w:tcW w:w="1559" w:type="dxa"/>
          </w:tcPr>
          <w:p w14:paraId="3EE1D118" w14:textId="4FF0D525" w:rsidR="00531580" w:rsidRDefault="005F2ED1" w:rsidP="00531580">
            <w:r>
              <w:t>12,393</w:t>
            </w:r>
          </w:p>
        </w:tc>
      </w:tr>
      <w:tr w:rsidR="00531580" w:rsidRPr="00050253" w14:paraId="5436EDFA" w14:textId="77777777" w:rsidTr="00014E1E">
        <w:tc>
          <w:tcPr>
            <w:tcW w:w="3261" w:type="dxa"/>
          </w:tcPr>
          <w:p w14:paraId="410A2246" w14:textId="77777777" w:rsidR="00531580" w:rsidRPr="00997FFC" w:rsidRDefault="00531580" w:rsidP="00531580">
            <w:r w:rsidRPr="00997FFC">
              <w:t>Land tax charge</w:t>
            </w:r>
          </w:p>
        </w:tc>
        <w:tc>
          <w:tcPr>
            <w:cnfStyle w:val="000010000000" w:firstRow="0" w:lastRow="0" w:firstColumn="0" w:lastColumn="0" w:oddVBand="1" w:evenVBand="0" w:oddHBand="0" w:evenHBand="0" w:firstRowFirstColumn="0" w:firstRowLastColumn="0" w:lastRowFirstColumn="0" w:lastRowLastColumn="0"/>
            <w:tcW w:w="1559" w:type="dxa"/>
          </w:tcPr>
          <w:p w14:paraId="3CD1B5C4" w14:textId="4588C886" w:rsidR="00531580" w:rsidRPr="00997FFC" w:rsidRDefault="007B31F4" w:rsidP="00531580">
            <w:r>
              <w:t>478</w:t>
            </w:r>
          </w:p>
        </w:tc>
      </w:tr>
      <w:tr w:rsidR="00531580" w:rsidRPr="00050253" w14:paraId="76AB452B" w14:textId="77777777" w:rsidTr="00014E1E">
        <w:tc>
          <w:tcPr>
            <w:tcW w:w="3261" w:type="dxa"/>
          </w:tcPr>
          <w:p w14:paraId="5A547E7D" w14:textId="77777777" w:rsidR="00531580" w:rsidRPr="00997FFC" w:rsidRDefault="00531580" w:rsidP="00531580">
            <w:r w:rsidRPr="00997FFC">
              <w:t>Discharge of land tax charge</w:t>
            </w:r>
          </w:p>
        </w:tc>
        <w:tc>
          <w:tcPr>
            <w:cnfStyle w:val="000010000000" w:firstRow="0" w:lastRow="0" w:firstColumn="0" w:lastColumn="0" w:oddVBand="1" w:evenVBand="0" w:oddHBand="0" w:evenHBand="0" w:firstRowFirstColumn="0" w:firstRowLastColumn="0" w:lastRowFirstColumn="0" w:lastRowLastColumn="0"/>
            <w:tcW w:w="1559" w:type="dxa"/>
          </w:tcPr>
          <w:p w14:paraId="7685661C" w14:textId="639441EF" w:rsidR="00531580" w:rsidRDefault="007B31F4" w:rsidP="00531580">
            <w:r>
              <w:t>814</w:t>
            </w:r>
          </w:p>
        </w:tc>
      </w:tr>
      <w:tr w:rsidR="00531580" w:rsidRPr="00050253" w14:paraId="51F142B7" w14:textId="77777777" w:rsidTr="00014E1E">
        <w:tc>
          <w:tcPr>
            <w:tcW w:w="3261" w:type="dxa"/>
          </w:tcPr>
          <w:p w14:paraId="0FA67DCA" w14:textId="04EA45F2" w:rsidR="00531580" w:rsidRPr="00997FFC" w:rsidRDefault="00531580" w:rsidP="00531580">
            <w:r>
              <w:t>Discharge of charge</w:t>
            </w:r>
          </w:p>
        </w:tc>
        <w:tc>
          <w:tcPr>
            <w:cnfStyle w:val="000010000000" w:firstRow="0" w:lastRow="0" w:firstColumn="0" w:lastColumn="0" w:oddVBand="1" w:evenVBand="0" w:oddHBand="0" w:evenHBand="0" w:firstRowFirstColumn="0" w:firstRowLastColumn="0" w:lastRowFirstColumn="0" w:lastRowLastColumn="0"/>
            <w:tcW w:w="1559" w:type="dxa"/>
          </w:tcPr>
          <w:p w14:paraId="0134641C" w14:textId="54560A69" w:rsidR="00531580" w:rsidRDefault="00F64203" w:rsidP="00531580">
            <w:r>
              <w:t>27</w:t>
            </w:r>
          </w:p>
        </w:tc>
      </w:tr>
      <w:tr w:rsidR="00531580" w:rsidRPr="00050253" w14:paraId="757F85CE" w14:textId="77777777" w:rsidTr="00014E1E">
        <w:tc>
          <w:tcPr>
            <w:tcW w:w="3261" w:type="dxa"/>
          </w:tcPr>
          <w:p w14:paraId="62F5C12C" w14:textId="0407AE6B" w:rsidR="00531580" w:rsidRDefault="00531580" w:rsidP="00531580">
            <w:r>
              <w:t>Statutory charge</w:t>
            </w:r>
          </w:p>
        </w:tc>
        <w:tc>
          <w:tcPr>
            <w:cnfStyle w:val="000010000000" w:firstRow="0" w:lastRow="0" w:firstColumn="0" w:lastColumn="0" w:oddVBand="1" w:evenVBand="0" w:oddHBand="0" w:evenHBand="0" w:firstRowFirstColumn="0" w:firstRowLastColumn="0" w:lastRowFirstColumn="0" w:lastRowLastColumn="0"/>
            <w:tcW w:w="1559" w:type="dxa"/>
          </w:tcPr>
          <w:p w14:paraId="09008F20" w14:textId="2ECD9DD5" w:rsidR="00531580" w:rsidRDefault="00531580" w:rsidP="00531580">
            <w:r>
              <w:t>2</w:t>
            </w:r>
            <w:r w:rsidR="00F64203">
              <w:t>7</w:t>
            </w:r>
          </w:p>
        </w:tc>
      </w:tr>
      <w:tr w:rsidR="00531580" w:rsidRPr="00050253" w14:paraId="1E19E282" w14:textId="77777777" w:rsidTr="00014E1E">
        <w:tc>
          <w:tcPr>
            <w:tcW w:w="3261" w:type="dxa"/>
          </w:tcPr>
          <w:p w14:paraId="6CD74F81" w14:textId="2FFDEC82" w:rsidR="00531580" w:rsidRDefault="00531580" w:rsidP="00531580">
            <w:r>
              <w:t>Priority notice</w:t>
            </w:r>
          </w:p>
        </w:tc>
        <w:tc>
          <w:tcPr>
            <w:cnfStyle w:val="000010000000" w:firstRow="0" w:lastRow="0" w:firstColumn="0" w:lastColumn="0" w:oddVBand="1" w:evenVBand="0" w:oddHBand="0" w:evenHBand="0" w:firstRowFirstColumn="0" w:firstRowLastColumn="0" w:lastRowFirstColumn="0" w:lastRowLastColumn="0"/>
            <w:tcW w:w="1559" w:type="dxa"/>
          </w:tcPr>
          <w:p w14:paraId="1B120A17" w14:textId="1A8424F5" w:rsidR="00531580" w:rsidRDefault="00226CBB" w:rsidP="00531580">
            <w:r>
              <w:t>1,682</w:t>
            </w:r>
          </w:p>
        </w:tc>
      </w:tr>
      <w:tr w:rsidR="00531580" w:rsidRPr="00050253" w14:paraId="4FFB8D73" w14:textId="77777777" w:rsidTr="00014E1E">
        <w:tc>
          <w:tcPr>
            <w:tcW w:w="3261" w:type="dxa"/>
          </w:tcPr>
          <w:p w14:paraId="2A647085" w14:textId="76CAB16A" w:rsidR="00531580" w:rsidRDefault="00531580" w:rsidP="00531580">
            <w:r>
              <w:t>Withdraw priority notice</w:t>
            </w:r>
          </w:p>
        </w:tc>
        <w:tc>
          <w:tcPr>
            <w:cnfStyle w:val="000010000000" w:firstRow="0" w:lastRow="0" w:firstColumn="0" w:lastColumn="0" w:oddVBand="1" w:evenVBand="0" w:oddHBand="0" w:evenHBand="0" w:firstRowFirstColumn="0" w:firstRowLastColumn="0" w:lastRowFirstColumn="0" w:lastRowLastColumn="0"/>
            <w:tcW w:w="1559" w:type="dxa"/>
          </w:tcPr>
          <w:p w14:paraId="6A3D6293" w14:textId="6D70450B" w:rsidR="00531580" w:rsidRDefault="00226CBB" w:rsidP="00531580">
            <w:r>
              <w:t>116</w:t>
            </w:r>
          </w:p>
        </w:tc>
      </w:tr>
    </w:tbl>
    <w:p w14:paraId="23896C59" w14:textId="77777777" w:rsidR="001F57F8" w:rsidRDefault="001F57F8" w:rsidP="001F57F8">
      <w:pPr>
        <w:pStyle w:val="BodyText"/>
        <w:keepNext/>
        <w:tabs>
          <w:tab w:val="left" w:pos="2835"/>
        </w:tabs>
      </w:pPr>
    </w:p>
    <w:p w14:paraId="6A0E5132" w14:textId="77777777" w:rsidR="00014E1E" w:rsidRDefault="00014E1E" w:rsidP="001F57F8">
      <w:pPr>
        <w:pStyle w:val="BodyText"/>
        <w:keepNext/>
        <w:tabs>
          <w:tab w:val="left" w:pos="2835"/>
        </w:tabs>
      </w:pPr>
    </w:p>
    <w:p w14:paraId="424DD437" w14:textId="77777777" w:rsidR="00014E1E" w:rsidRDefault="00014E1E" w:rsidP="001F57F8">
      <w:pPr>
        <w:pStyle w:val="BodyText"/>
        <w:keepNext/>
        <w:tabs>
          <w:tab w:val="left" w:pos="2835"/>
        </w:tabs>
      </w:pPr>
    </w:p>
    <w:p w14:paraId="3ED30EC8" w14:textId="77777777" w:rsidR="001F57F8" w:rsidRDefault="001F57F8" w:rsidP="001F57F8">
      <w:pPr>
        <w:pStyle w:val="BodyText"/>
        <w:keepNext/>
        <w:tabs>
          <w:tab w:val="left" w:pos="2835"/>
        </w:tabs>
      </w:pPr>
    </w:p>
    <w:p w14:paraId="41EAEF77" w14:textId="77777777" w:rsidR="001F57F8" w:rsidRDefault="001F57F8" w:rsidP="001F57F8">
      <w:pPr>
        <w:pStyle w:val="BodyText"/>
        <w:keepNext/>
        <w:tabs>
          <w:tab w:val="left" w:pos="2835"/>
        </w:tabs>
        <w:sectPr w:rsidR="001F57F8" w:rsidSect="004E68E1">
          <w:pgSz w:w="11907" w:h="16840" w:code="9"/>
          <w:pgMar w:top="2268" w:right="1134" w:bottom="1134" w:left="1134" w:header="284" w:footer="284" w:gutter="0"/>
          <w:cols w:space="284"/>
          <w:docGrid w:linePitch="360"/>
        </w:sectPr>
      </w:pPr>
    </w:p>
    <w:p w14:paraId="0640536D" w14:textId="731F46C0" w:rsidR="000718D3" w:rsidRDefault="000718D3" w:rsidP="00BC0FB0">
      <w:pPr>
        <w:pStyle w:val="BodyText"/>
        <w:keepNext/>
      </w:pPr>
    </w:p>
    <w:p w14:paraId="6CCD2116" w14:textId="77777777" w:rsidR="000718D3" w:rsidRDefault="000718D3" w:rsidP="00BC0FB0">
      <w:pPr>
        <w:pStyle w:val="BodyText"/>
        <w:keepNext/>
      </w:pPr>
    </w:p>
    <w:p w14:paraId="6CD7011D" w14:textId="77777777" w:rsidR="0058551B" w:rsidRDefault="0058551B">
      <w:pPr>
        <w:rPr>
          <w:rFonts w:cs="Times New Roman"/>
        </w:rPr>
      </w:pPr>
    </w:p>
    <w:p w14:paraId="0F52B0B8" w14:textId="77777777" w:rsidR="0058551B" w:rsidRPr="00EB042B" w:rsidRDefault="0058551B" w:rsidP="00217998">
      <w:pPr>
        <w:pStyle w:val="BodyText"/>
        <w:rPr>
          <w:lang w:eastAsia="en-AU"/>
        </w:rPr>
      </w:pPr>
      <w:r>
        <w:rPr>
          <w:noProof/>
          <w:lang w:eastAsia="en-AU"/>
        </w:rPr>
        <mc:AlternateContent>
          <mc:Choice Requires="wpc">
            <w:drawing>
              <wp:anchor distT="0" distB="0" distL="114300" distR="114300" simplePos="0" relativeHeight="251663872" behindDoc="0" locked="0" layoutInCell="1" allowOverlap="1" wp14:anchorId="01398C00" wp14:editId="47C740C3">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2"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DE9EDB" w14:textId="77777777" w:rsidR="00530C71" w:rsidRPr="00CC18C6" w:rsidRDefault="00530C71"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01398C00" id="BackCoverPortrait" o:spid="_x0000_s1030" editas="canvas" style="position:absolute;margin-left:0;margin-top:0;width:595.5pt;height:841.5pt;z-index:251663872;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&#1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5628;height:106870;visibility:visible;mso-wrap-style:square" filled="t" fillcolor="white [3212]">
                  <v:fill o:detectmouseclick="t"/>
                  <v:path o:connecttype="none"/>
                </v:shape>
                <v:rect id="DELWPRectangle" o:spid="_x0000_s1032"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Text Box 22" o:spid="_x0000_s1033"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" filled="f" stroked="f" strokeweight=".5pt">
                  <v:textbox inset="0,0,0,0">
                    <w:txbxContent>
                      <w:p w14:paraId="29DE9EDB" w14:textId="77777777" w:rsidR="00530C71" w:rsidRPr="00CC18C6" w:rsidRDefault="00530C71"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EB042B" w:rsidSect="004E68E1">
      <w:pgSz w:w="11907" w:h="16840" w:code="9"/>
      <w:pgMar w:top="2268" w:right="1134" w:bottom="1134" w:left="1134"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6B230" w14:textId="77777777" w:rsidR="00660D13" w:rsidRDefault="00660D13">
      <w:r>
        <w:separator/>
      </w:r>
    </w:p>
    <w:p w14:paraId="5C5EC4EF" w14:textId="77777777" w:rsidR="00660D13" w:rsidRDefault="00660D13"/>
  </w:endnote>
  <w:endnote w:type="continuationSeparator" w:id="0">
    <w:p w14:paraId="727BBFC4" w14:textId="77777777" w:rsidR="00660D13" w:rsidRDefault="00660D13">
      <w:r>
        <w:continuationSeparator/>
      </w:r>
    </w:p>
    <w:p w14:paraId="1078B85E" w14:textId="77777777" w:rsidR="00660D13" w:rsidRDefault="00660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530C71" w14:paraId="088B70C2" w14:textId="77777777" w:rsidTr="00D83BD4">
      <w:trPr>
        <w:trHeight w:val="397"/>
      </w:trPr>
      <w:tc>
        <w:tcPr>
          <w:tcW w:w="340" w:type="dxa"/>
        </w:tcPr>
        <w:p w14:paraId="0981237D" w14:textId="77777777" w:rsidR="00530C71" w:rsidRPr="00D55628" w:rsidRDefault="00530C71"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14:paraId="3A3B1B19" w14:textId="77777777" w:rsidR="00530C71" w:rsidRPr="00D55628" w:rsidRDefault="00530C71" w:rsidP="00D55628">
          <w:pPr>
            <w:pStyle w:val="FooterEven"/>
          </w:pPr>
          <w:r w:rsidRPr="000A15E4">
            <w:rPr>
              <w:rStyle w:val="Bold"/>
            </w:rPr>
            <w:t>Title of document</w:t>
          </w:r>
          <w:r w:rsidRPr="00D55628">
            <w:t xml:space="preserve"> Subtitle</w:t>
          </w:r>
        </w:p>
      </w:tc>
    </w:tr>
  </w:tbl>
  <w:p w14:paraId="68716F22" w14:textId="77777777" w:rsidR="00530C71" w:rsidRPr="008B6D45" w:rsidRDefault="00530C71" w:rsidP="005949B0">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3A967" w14:textId="77777777" w:rsidR="00530C71" w:rsidRDefault="00530C71">
    <w:pPr>
      <w:pStyle w:val="Footer"/>
    </w:pPr>
    <w:r w:rsidRPr="00D55628">
      <w:rPr>
        <w:noProof/>
      </w:rPr>
      <mc:AlternateContent>
        <mc:Choice Requires="wps">
          <w:drawing>
            <wp:anchor distT="0" distB="0" distL="114300" distR="114300" simplePos="0" relativeHeight="251659776" behindDoc="1" locked="1" layoutInCell="1" allowOverlap="1" wp14:anchorId="3AAEFDA2" wp14:editId="5E904935">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AD80A" w14:textId="4524FD18" w:rsidR="00530C71" w:rsidRPr="0001226A" w:rsidRDefault="00530C7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EFDA2" id="_x0000_t202" coordsize="21600,21600" o:spt="202" path="m,l,21600r21600,l21600,xe">
              <v:stroke joinstyle="miter"/>
              <v:path gradientshapeok="t" o:connecttype="rect"/>
            </v:shapetype>
            <v:shape id="Text Box 224" o:spid="_x0000_s1034" type="#_x0000_t202" alt="Title: Background Watermark Image" style="position:absolute;margin-left:0;margin-top:0;width:595.3pt;height:141.45pt;z-index:-2516567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" filled="f" stroked="f">
              <v:textbox>
                <w:txbxContent>
                  <w:p w14:paraId="4BDAD80A" w14:textId="4524FD18" w:rsidR="00530C71" w:rsidRPr="0001226A" w:rsidRDefault="00530C7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0086A6EB" w14:textId="77777777" w:rsidR="00530C71" w:rsidRDefault="00530C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38F69" w14:textId="77777777" w:rsidR="00530C71" w:rsidRDefault="00530C71">
    <w:pPr>
      <w:pStyle w:val="Footer"/>
    </w:pPr>
    <w:r w:rsidRPr="00D55628">
      <w:rPr>
        <w:noProof/>
      </w:rPr>
      <w:drawing>
        <wp:anchor distT="0" distB="0" distL="114300" distR="114300" simplePos="0" relativeHeight="251655680" behindDoc="1" locked="0" layoutInCell="1" allowOverlap="1" wp14:anchorId="01D699DF" wp14:editId="60556346">
          <wp:simplePos x="0" y="0"/>
          <wp:positionH relativeFrom="page">
            <wp:align>right</wp:align>
          </wp:positionH>
          <wp:positionV relativeFrom="page">
            <wp:align>bottom</wp:align>
          </wp:positionV>
          <wp:extent cx="2203200" cy="903600"/>
          <wp:effectExtent l="0" t="0" r="6985" b="0"/>
          <wp:wrapNone/>
          <wp:docPr id="10"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54656" behindDoc="1" locked="1" layoutInCell="1" allowOverlap="1" wp14:anchorId="5D2338ED" wp14:editId="46CE5948">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40C94" w14:textId="77777777" w:rsidR="00530C71" w:rsidRPr="00124E8F" w:rsidRDefault="00530C71" w:rsidP="00124E8F">
    <w:pPr>
      <w:pStyle w:val="Footer"/>
    </w:pPr>
    <w:r w:rsidRPr="00D55628">
      <w:rPr>
        <w:noProof/>
      </w:rPr>
      <mc:AlternateContent>
        <mc:Choice Requires="wps">
          <w:drawing>
            <wp:anchor distT="0" distB="0" distL="114300" distR="114300" simplePos="0" relativeHeight="251660800" behindDoc="1" locked="1" layoutInCell="1" allowOverlap="1" wp14:anchorId="12BAA7EC" wp14:editId="75440BB9">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255B5" w14:textId="3D65486A" w:rsidR="00530C71" w:rsidRPr="0001226A" w:rsidRDefault="00530C7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AA7EC" id="_x0000_t202" coordsize="21600,21600" o:spt="202" path="m,l,21600r21600,l21600,xe">
              <v:stroke joinstyle="miter"/>
              <v:path gradientshapeok="t" o:connecttype="rect"/>
            </v:shapetype>
            <v:shape id="Text Box 225" o:spid="_x0000_s1035" type="#_x0000_t202" style="position:absolute;margin-left:0;margin-top:0;width:595.3pt;height:141.45pt;z-index:-2516556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" filled="f" stroked="f">
              <v:textbox>
                <w:txbxContent>
                  <w:p w14:paraId="570255B5" w14:textId="3D65486A" w:rsidR="00530C71" w:rsidRPr="0001226A" w:rsidRDefault="00530C7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FB08A" w14:textId="77777777" w:rsidR="00530C71" w:rsidRDefault="00530C71">
    <w:pPr>
      <w:pStyle w:val="Footer"/>
    </w:pPr>
    <w:r w:rsidRPr="00D55628">
      <w:rPr>
        <w:noProof/>
      </w:rPr>
      <mc:AlternateContent>
        <mc:Choice Requires="wps">
          <w:drawing>
            <wp:anchor distT="0" distB="0" distL="114300" distR="114300" simplePos="0" relativeHeight="251657728" behindDoc="1" locked="1" layoutInCell="1" allowOverlap="1" wp14:anchorId="3B13FC54" wp14:editId="4E82BFFA">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1C9E9" w14:textId="6A28C720" w:rsidR="00530C71" w:rsidRPr="0001226A" w:rsidRDefault="00530C7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3FC54" id="_x0000_t202" coordsize="21600,21600" o:spt="202" path="m,l,21600r21600,l21600,xe">
              <v:stroke joinstyle="miter"/>
              <v:path gradientshapeok="t" o:connecttype="rect"/>
            </v:shapetype>
            <v:shape id="_x0000_s1036" type="#_x0000_t202" alt="Title: Background Watermark Image" style="position:absolute;margin-left:0;margin-top:0;width:595.3pt;height:141.45pt;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Bsy58cPAgAA&#10;9AMAAA4AAAAAAAAAAAAAAAAALgIAAGRycy9lMm9Eb2MueG1sUEsBAi0AFAAGAAgAAAAhADTFRM7b&#10;AAAABgEAAA8AAAAAAAAAAAAAAAAAaQQAAGRycy9kb3ducmV2LnhtbFBLBQYAAAAABAAEAPMAAABx&#10;BQAAAAA=&#10;" filled="f" stroked="f">
              <v:textbox>
                <w:txbxContent>
                  <w:p w14:paraId="5F11C9E9" w14:textId="6A28C720" w:rsidR="00530C71" w:rsidRPr="0001226A" w:rsidRDefault="00530C7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1F947EDE" w14:textId="77777777" w:rsidR="00530C71" w:rsidRDefault="00530C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530C71" w14:paraId="3A2A447D" w14:textId="77777777" w:rsidTr="00DD7238">
      <w:trPr>
        <w:trHeight w:val="397"/>
      </w:trPr>
      <w:tc>
        <w:tcPr>
          <w:tcW w:w="340" w:type="dxa"/>
        </w:tcPr>
        <w:p w14:paraId="145AC110" w14:textId="7FB0ABD8" w:rsidR="00530C71" w:rsidRPr="00D55628" w:rsidRDefault="00530C71"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4</w:t>
          </w:r>
          <w:r w:rsidRPr="00D55628">
            <w:fldChar w:fldCharType="end"/>
          </w:r>
        </w:p>
      </w:tc>
      <w:tc>
        <w:tcPr>
          <w:tcW w:w="9071" w:type="dxa"/>
        </w:tcPr>
        <w:p w14:paraId="78AD5215" w14:textId="273A1EF0" w:rsidR="00530C71" w:rsidRPr="00D55628" w:rsidRDefault="00530C71" w:rsidP="00D55628">
          <w:pPr>
            <w:pStyle w:val="FooterEven"/>
            <w:rPr>
              <w:rStyle w:val="Bold"/>
            </w:rPr>
          </w:pPr>
          <w:r>
            <w:rPr>
              <w:rStyle w:val="Bold"/>
            </w:rPr>
            <w:fldChar w:fldCharType="begin"/>
          </w:r>
          <w:r>
            <w:rPr>
              <w:rStyle w:val="Bold"/>
            </w:rPr>
            <w:instrText xml:space="preserve"> STYLEREF  Title  \* MERGEFORMAT </w:instrText>
          </w:r>
          <w:r>
            <w:rPr>
              <w:rStyle w:val="Bold"/>
            </w:rPr>
            <w:fldChar w:fldCharType="separate"/>
          </w:r>
          <w:r w:rsidR="00544AFC">
            <w:rPr>
              <w:rStyle w:val="Bold"/>
              <w:noProof/>
            </w:rPr>
            <w:t>Land Registry Services Business Activity Report</w:t>
          </w:r>
          <w:r>
            <w:rPr>
              <w:rStyle w:val="Bold"/>
            </w:rPr>
            <w:fldChar w:fldCharType="end"/>
          </w:r>
        </w:p>
        <w:p w14:paraId="2C32F694" w14:textId="4FA8EF75" w:rsidR="00530C71" w:rsidRPr="00D55628" w:rsidRDefault="00530C71" w:rsidP="00D55628">
          <w:pPr>
            <w:pStyle w:val="FooterEven"/>
          </w:pPr>
          <w:r>
            <w:rPr>
              <w:noProof/>
            </w:rPr>
            <w:fldChar w:fldCharType="begin"/>
          </w:r>
          <w:r>
            <w:rPr>
              <w:noProof/>
            </w:rPr>
            <w:instrText xml:space="preserve"> STYLEREF  Subtitle  \* MERGEFORMAT </w:instrText>
          </w:r>
          <w:r>
            <w:rPr>
              <w:noProof/>
            </w:rPr>
            <w:fldChar w:fldCharType="separate"/>
          </w:r>
          <w:r w:rsidR="00544AFC">
            <w:rPr>
              <w:noProof/>
            </w:rPr>
            <w:t>2019-2020 Financial year</w:t>
          </w:r>
          <w:r>
            <w:rPr>
              <w:noProof/>
            </w:rPr>
            <w:fldChar w:fldCharType="end"/>
          </w:r>
        </w:p>
      </w:tc>
    </w:tr>
  </w:tbl>
  <w:p w14:paraId="02923626" w14:textId="77777777" w:rsidR="00530C71" w:rsidRDefault="00530C71" w:rsidP="005949B0">
    <w:pPr>
      <w:pStyle w:val="FooterEven"/>
    </w:pPr>
    <w:r w:rsidRPr="00D55628">
      <w:rPr>
        <w:noProof/>
      </w:rPr>
      <mc:AlternateContent>
        <mc:Choice Requires="wps">
          <w:drawing>
            <wp:anchor distT="0" distB="0" distL="114300" distR="114300" simplePos="0" relativeHeight="251656192" behindDoc="1" locked="1" layoutInCell="1" allowOverlap="1" wp14:anchorId="632D8FC9" wp14:editId="5D7C72AC">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A2446" w14:textId="7E4247E6" w:rsidR="00530C71" w:rsidRPr="0001226A" w:rsidRDefault="00530C7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D8FC9" id="_x0000_t202" coordsize="21600,21600" o:spt="202" path="m,l,21600r21600,l21600,xe">
              <v:stroke joinstyle="miter"/>
              <v:path gradientshapeok="t" o:connecttype="rect"/>
            </v:shapetype>
            <v:shape id="_x0000_s1037" type="#_x0000_t202" alt="Title: Background Watermark Image" style="position:absolute;margin-left:0;margin-top:0;width:595.3pt;height:141.45pt;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JAIbesPAgAA&#10;8wMAAA4AAAAAAAAAAAAAAAAALgIAAGRycy9lMm9Eb2MueG1sUEsBAi0AFAAGAAgAAAAhADTFRM7b&#10;AAAABgEAAA8AAAAAAAAAAAAAAAAAaQQAAGRycy9kb3ducmV2LnhtbFBLBQYAAAAABAAEAPMAAABx&#10;BQAAAAA=&#10;" filled="f" stroked="f">
              <v:textbox>
                <w:txbxContent>
                  <w:p w14:paraId="535A2446" w14:textId="7E4247E6" w:rsidR="00530C71" w:rsidRPr="0001226A" w:rsidRDefault="00530C7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3E33EEE6" w14:textId="77777777" w:rsidR="00530C71" w:rsidRPr="00B5221E" w:rsidRDefault="00530C71" w:rsidP="00B522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530C71" w14:paraId="30B8F65C" w14:textId="77777777" w:rsidTr="00DD7238">
      <w:trPr>
        <w:trHeight w:val="397"/>
      </w:trPr>
      <w:tc>
        <w:tcPr>
          <w:tcW w:w="9071" w:type="dxa"/>
        </w:tcPr>
        <w:p w14:paraId="42FEDD26" w14:textId="7BBA5680" w:rsidR="00530C71" w:rsidRPr="00D55628" w:rsidRDefault="00530C71" w:rsidP="00D55628">
          <w:pPr>
            <w:pStyle w:val="FooterOdd"/>
            <w:rPr>
              <w:rStyle w:val="Bold"/>
            </w:rPr>
          </w:pPr>
          <w:r>
            <w:rPr>
              <w:rStyle w:val="Bold"/>
            </w:rPr>
            <w:fldChar w:fldCharType="begin"/>
          </w:r>
          <w:r>
            <w:rPr>
              <w:rStyle w:val="Bold"/>
            </w:rPr>
            <w:instrText xml:space="preserve"> STYLEREF  Title  \* MERGEFORMAT </w:instrText>
          </w:r>
          <w:r>
            <w:rPr>
              <w:rStyle w:val="Bold"/>
            </w:rPr>
            <w:fldChar w:fldCharType="separate"/>
          </w:r>
          <w:r w:rsidR="00544AFC">
            <w:rPr>
              <w:rStyle w:val="Bold"/>
              <w:noProof/>
            </w:rPr>
            <w:t>Land Registry Services Business Activity Report</w:t>
          </w:r>
          <w:r>
            <w:rPr>
              <w:rStyle w:val="Bold"/>
            </w:rPr>
            <w:fldChar w:fldCharType="end"/>
          </w:r>
        </w:p>
        <w:p w14:paraId="4676CD27" w14:textId="1A0B4EA9" w:rsidR="00530C71" w:rsidRPr="00CB1FB7" w:rsidRDefault="00530C71" w:rsidP="00CB1FB7">
          <w:pPr>
            <w:pStyle w:val="FooterOdd"/>
            <w:rPr>
              <w:b/>
            </w:rPr>
          </w:pPr>
          <w:r>
            <w:rPr>
              <w:rStyle w:val="Bold"/>
            </w:rPr>
            <w:fldChar w:fldCharType="begin"/>
          </w:r>
          <w:r>
            <w:rPr>
              <w:rStyle w:val="Bold"/>
            </w:rPr>
            <w:instrText xml:space="preserve"> STYLEREF  Subtitle  \* MERGEFORMAT </w:instrText>
          </w:r>
          <w:r>
            <w:rPr>
              <w:rStyle w:val="Bold"/>
            </w:rPr>
            <w:fldChar w:fldCharType="separate"/>
          </w:r>
          <w:r w:rsidR="00544AFC">
            <w:rPr>
              <w:rStyle w:val="Bold"/>
              <w:noProof/>
            </w:rPr>
            <w:t>2019-2020 Financial year</w:t>
          </w:r>
          <w:r>
            <w:rPr>
              <w:rStyle w:val="Bold"/>
            </w:rPr>
            <w:fldChar w:fldCharType="end"/>
          </w:r>
        </w:p>
      </w:tc>
      <w:tc>
        <w:tcPr>
          <w:tcW w:w="340" w:type="dxa"/>
        </w:tcPr>
        <w:p w14:paraId="56A91C8B" w14:textId="399AE4DD" w:rsidR="00530C71" w:rsidRPr="00D55628" w:rsidRDefault="00530C71" w:rsidP="00D55628">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42CFF68C" w14:textId="77777777" w:rsidR="00530C71" w:rsidRDefault="00530C71">
    <w:pPr>
      <w:pStyle w:val="Footer"/>
    </w:pPr>
    <w:r w:rsidRPr="00D55628">
      <w:rPr>
        <w:noProof/>
      </w:rPr>
      <mc:AlternateContent>
        <mc:Choice Requires="wps">
          <w:drawing>
            <wp:anchor distT="0" distB="0" distL="114300" distR="114300" simplePos="0" relativeHeight="251658240" behindDoc="1" locked="1" layoutInCell="1" allowOverlap="1" wp14:anchorId="12364BF1" wp14:editId="0A480947">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098DE" w14:textId="0DCF3D86" w:rsidR="00530C71" w:rsidRPr="0001226A" w:rsidRDefault="00530C7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64BF1" id="_x0000_t202" coordsize="21600,21600" o:spt="202" path="m,l,21600r21600,l21600,xe">
              <v:stroke joinstyle="miter"/>
              <v:path gradientshapeok="t" o:connecttype="rect"/>
            </v:shapetype>
            <v:shape id="_x0000_s1038"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Ac4siUPAgAA&#10;8wMAAA4AAAAAAAAAAAAAAAAALgIAAGRycy9lMm9Eb2MueG1sUEsBAi0AFAAGAAgAAAAhADTFRM7b&#10;AAAABgEAAA8AAAAAAAAAAAAAAAAAaQQAAGRycy9kb3ducmV2LnhtbFBLBQYAAAAABAAEAPMAAABx&#10;BQAAAAA=&#10;" filled="f" stroked="f">
              <v:textbox>
                <w:txbxContent>
                  <w:p w14:paraId="452098DE" w14:textId="0DCF3D86" w:rsidR="00530C71" w:rsidRPr="0001226A" w:rsidRDefault="00530C7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3F322B81" w14:textId="77777777" w:rsidR="00530C71" w:rsidRDefault="00530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AE2E9" w14:textId="77777777" w:rsidR="00660D13" w:rsidRPr="008F5280" w:rsidRDefault="00660D13" w:rsidP="008F5280">
      <w:pPr>
        <w:pStyle w:val="FootnoteSeparator"/>
      </w:pPr>
    </w:p>
  </w:footnote>
  <w:footnote w:type="continuationSeparator" w:id="0">
    <w:p w14:paraId="07350040" w14:textId="77777777" w:rsidR="00660D13" w:rsidRDefault="00660D13" w:rsidP="008F5280">
      <w:pPr>
        <w:pStyle w:val="FootnoteSeparator"/>
      </w:pPr>
    </w:p>
    <w:p w14:paraId="175752BF" w14:textId="77777777" w:rsidR="00660D13" w:rsidRDefault="00660D13"/>
  </w:footnote>
  <w:footnote w:type="continuationNotice" w:id="1">
    <w:p w14:paraId="15BDCD37" w14:textId="77777777" w:rsidR="00660D13" w:rsidRDefault="00660D13" w:rsidP="00D55628"/>
    <w:p w14:paraId="2D7686EE" w14:textId="77777777" w:rsidR="00660D13" w:rsidRDefault="00660D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F6DF4" w14:textId="77777777" w:rsidR="00530C71" w:rsidRDefault="00530C71" w:rsidP="009C64FA">
    <w:pPr>
      <w:pStyle w:val="Header"/>
    </w:pPr>
  </w:p>
  <w:p w14:paraId="238A13D1" w14:textId="77777777" w:rsidR="00530C71" w:rsidRPr="00393205" w:rsidRDefault="00530C71" w:rsidP="00393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A7AA2" w14:textId="77777777" w:rsidR="00530C71" w:rsidRDefault="00530C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6106E" w14:textId="77777777" w:rsidR="00530C71" w:rsidRDefault="00530C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18231" w14:textId="77777777" w:rsidR="00530C71" w:rsidRDefault="00530C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92622" w14:textId="751BDC4B" w:rsidR="00530C71" w:rsidRDefault="00530C71" w:rsidP="009C64FA">
    <w:pPr>
      <w:pStyle w:val="Header"/>
    </w:pPr>
  </w:p>
  <w:p w14:paraId="7188C548" w14:textId="77777777" w:rsidR="00530C71" w:rsidRPr="00393205" w:rsidRDefault="00530C71" w:rsidP="00393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4464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EC289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11FC49D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E96372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F9A5C7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FEE677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EF260E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1CF2E47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9" w15:restartNumberingAfterBreak="0">
    <w:nsid w:val="0C351215"/>
    <w:multiLevelType w:val="multilevel"/>
    <w:tmpl w:val="3FDEBA7A"/>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0"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1"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2"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3"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545EC4"/>
    <w:multiLevelType w:val="multilevel"/>
    <w:tmpl w:val="700E4E7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9"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0"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1"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3"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4"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7"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8"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9"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6"/>
  </w:num>
  <w:num w:numId="2">
    <w:abstractNumId w:val="25"/>
  </w:num>
  <w:num w:numId="3">
    <w:abstractNumId w:val="22"/>
  </w:num>
  <w:num w:numId="4">
    <w:abstractNumId w:val="29"/>
  </w:num>
  <w:num w:numId="5">
    <w:abstractNumId w:val="13"/>
  </w:num>
  <w:num w:numId="6">
    <w:abstractNumId w:val="10"/>
  </w:num>
  <w:num w:numId="7">
    <w:abstractNumId w:val="9"/>
  </w:num>
  <w:num w:numId="8">
    <w:abstractNumId w:val="8"/>
  </w:num>
  <w:num w:numId="9">
    <w:abstractNumId w:val="26"/>
  </w:num>
  <w:num w:numId="10">
    <w:abstractNumId w:val="11"/>
  </w:num>
  <w:num w:numId="11">
    <w:abstractNumId w:val="1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8"/>
    <w:lvlOverride w:ilvl="0">
      <w:startOverride w:val="1"/>
    </w:lvlOverride>
  </w:num>
  <w:num w:numId="29">
    <w:abstractNumId w:val="17"/>
  </w:num>
  <w:num w:numId="30">
    <w:abstractNumId w:val="27"/>
  </w:num>
  <w:num w:numId="31">
    <w:abstractNumId w:val="6"/>
  </w:num>
  <w:num w:numId="32">
    <w:abstractNumId w:val="24"/>
  </w:num>
  <w:num w:numId="33">
    <w:abstractNumId w:val="18"/>
  </w:num>
  <w:num w:numId="34">
    <w:abstractNumId w:val="7"/>
  </w:num>
  <w:num w:numId="35">
    <w:abstractNumId w:val="5"/>
  </w:num>
  <w:num w:numId="36">
    <w:abstractNumId w:val="4"/>
  </w:num>
  <w:num w:numId="37">
    <w:abstractNumId w:val="3"/>
  </w:num>
  <w:num w:numId="38">
    <w:abstractNumId w:val="2"/>
  </w:num>
  <w:num w:numId="39">
    <w:abstractNumId w:val="1"/>
  </w:num>
  <w:num w:numId="40">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4E68E1"/>
    <w:rsid w:val="0000017F"/>
    <w:rsid w:val="00000279"/>
    <w:rsid w:val="00000473"/>
    <w:rsid w:val="000004BD"/>
    <w:rsid w:val="00000B7A"/>
    <w:rsid w:val="00000C89"/>
    <w:rsid w:val="00000F37"/>
    <w:rsid w:val="00000FEB"/>
    <w:rsid w:val="000011B4"/>
    <w:rsid w:val="000012BE"/>
    <w:rsid w:val="00001F76"/>
    <w:rsid w:val="000024EB"/>
    <w:rsid w:val="0000279C"/>
    <w:rsid w:val="000028B4"/>
    <w:rsid w:val="00002DE1"/>
    <w:rsid w:val="00003960"/>
    <w:rsid w:val="00004237"/>
    <w:rsid w:val="0000456E"/>
    <w:rsid w:val="00004641"/>
    <w:rsid w:val="000048A3"/>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8DB"/>
    <w:rsid w:val="00014E15"/>
    <w:rsid w:val="00014E1E"/>
    <w:rsid w:val="00015BB6"/>
    <w:rsid w:val="00015E19"/>
    <w:rsid w:val="00016478"/>
    <w:rsid w:val="000171F8"/>
    <w:rsid w:val="000171FD"/>
    <w:rsid w:val="00017669"/>
    <w:rsid w:val="00017A8B"/>
    <w:rsid w:val="00017D91"/>
    <w:rsid w:val="00020DB2"/>
    <w:rsid w:val="00021A33"/>
    <w:rsid w:val="00021CF5"/>
    <w:rsid w:val="00021FCF"/>
    <w:rsid w:val="0002261E"/>
    <w:rsid w:val="000226F1"/>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0E"/>
    <w:rsid w:val="0002719A"/>
    <w:rsid w:val="0002752C"/>
    <w:rsid w:val="00027779"/>
    <w:rsid w:val="00027CEB"/>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C3F"/>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4DCE"/>
    <w:rsid w:val="000455E1"/>
    <w:rsid w:val="00045AA1"/>
    <w:rsid w:val="0004622F"/>
    <w:rsid w:val="00046864"/>
    <w:rsid w:val="00046EE3"/>
    <w:rsid w:val="000473A1"/>
    <w:rsid w:val="0004761D"/>
    <w:rsid w:val="00047C72"/>
    <w:rsid w:val="00047CE9"/>
    <w:rsid w:val="0005004F"/>
    <w:rsid w:val="000501F1"/>
    <w:rsid w:val="00050257"/>
    <w:rsid w:val="00050487"/>
    <w:rsid w:val="000504A5"/>
    <w:rsid w:val="000507C3"/>
    <w:rsid w:val="000508B8"/>
    <w:rsid w:val="00052234"/>
    <w:rsid w:val="0005254F"/>
    <w:rsid w:val="00052630"/>
    <w:rsid w:val="00052825"/>
    <w:rsid w:val="00052C61"/>
    <w:rsid w:val="00053244"/>
    <w:rsid w:val="00053961"/>
    <w:rsid w:val="00053C43"/>
    <w:rsid w:val="0005472E"/>
    <w:rsid w:val="000547C6"/>
    <w:rsid w:val="00054AD4"/>
    <w:rsid w:val="00055546"/>
    <w:rsid w:val="0005568C"/>
    <w:rsid w:val="000557B4"/>
    <w:rsid w:val="00055860"/>
    <w:rsid w:val="00055D0B"/>
    <w:rsid w:val="00055E01"/>
    <w:rsid w:val="000560BA"/>
    <w:rsid w:val="00057043"/>
    <w:rsid w:val="000570E5"/>
    <w:rsid w:val="00057772"/>
    <w:rsid w:val="00057EB2"/>
    <w:rsid w:val="0006013C"/>
    <w:rsid w:val="00060420"/>
    <w:rsid w:val="00060538"/>
    <w:rsid w:val="00060EE0"/>
    <w:rsid w:val="00060FD9"/>
    <w:rsid w:val="00061573"/>
    <w:rsid w:val="000617D7"/>
    <w:rsid w:val="000620DA"/>
    <w:rsid w:val="000626EE"/>
    <w:rsid w:val="00062985"/>
    <w:rsid w:val="00063153"/>
    <w:rsid w:val="00063E04"/>
    <w:rsid w:val="00063E71"/>
    <w:rsid w:val="000640A9"/>
    <w:rsid w:val="0006422E"/>
    <w:rsid w:val="00064489"/>
    <w:rsid w:val="00065491"/>
    <w:rsid w:val="00065584"/>
    <w:rsid w:val="000655FD"/>
    <w:rsid w:val="00065A52"/>
    <w:rsid w:val="000660C5"/>
    <w:rsid w:val="000660FF"/>
    <w:rsid w:val="00066ABF"/>
    <w:rsid w:val="00066F02"/>
    <w:rsid w:val="00067098"/>
    <w:rsid w:val="0006742D"/>
    <w:rsid w:val="000676F8"/>
    <w:rsid w:val="00067769"/>
    <w:rsid w:val="000704F3"/>
    <w:rsid w:val="00070C97"/>
    <w:rsid w:val="0007112E"/>
    <w:rsid w:val="000718D3"/>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CB1"/>
    <w:rsid w:val="00073F07"/>
    <w:rsid w:val="00073F9C"/>
    <w:rsid w:val="000742AF"/>
    <w:rsid w:val="00074430"/>
    <w:rsid w:val="00074A1F"/>
    <w:rsid w:val="00074C2B"/>
    <w:rsid w:val="00074CE0"/>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BD5"/>
    <w:rsid w:val="00094F27"/>
    <w:rsid w:val="0009521E"/>
    <w:rsid w:val="00095896"/>
    <w:rsid w:val="00095E8A"/>
    <w:rsid w:val="000960F6"/>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36"/>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770"/>
    <w:rsid w:val="000B6BF6"/>
    <w:rsid w:val="000B7CAB"/>
    <w:rsid w:val="000B7CC2"/>
    <w:rsid w:val="000B7D9B"/>
    <w:rsid w:val="000C005D"/>
    <w:rsid w:val="000C015B"/>
    <w:rsid w:val="000C0411"/>
    <w:rsid w:val="000C0A3E"/>
    <w:rsid w:val="000C27FF"/>
    <w:rsid w:val="000C2888"/>
    <w:rsid w:val="000C2CCC"/>
    <w:rsid w:val="000C2CD8"/>
    <w:rsid w:val="000C33EB"/>
    <w:rsid w:val="000C3A61"/>
    <w:rsid w:val="000C3B79"/>
    <w:rsid w:val="000C3C38"/>
    <w:rsid w:val="000C41E0"/>
    <w:rsid w:val="000C41F9"/>
    <w:rsid w:val="000C4231"/>
    <w:rsid w:val="000C436A"/>
    <w:rsid w:val="000C4E6D"/>
    <w:rsid w:val="000C55BE"/>
    <w:rsid w:val="000C57F2"/>
    <w:rsid w:val="000C6231"/>
    <w:rsid w:val="000C692E"/>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0694"/>
    <w:rsid w:val="000E1779"/>
    <w:rsid w:val="000E1BEC"/>
    <w:rsid w:val="000E1F1D"/>
    <w:rsid w:val="000E21E5"/>
    <w:rsid w:val="000E2207"/>
    <w:rsid w:val="000E24E1"/>
    <w:rsid w:val="000E25A9"/>
    <w:rsid w:val="000E2694"/>
    <w:rsid w:val="000E27B6"/>
    <w:rsid w:val="000E2CE7"/>
    <w:rsid w:val="000E33C8"/>
    <w:rsid w:val="000E3409"/>
    <w:rsid w:val="000E35C7"/>
    <w:rsid w:val="000E3AF5"/>
    <w:rsid w:val="000E3B96"/>
    <w:rsid w:val="000E460A"/>
    <w:rsid w:val="000E4B54"/>
    <w:rsid w:val="000E53BD"/>
    <w:rsid w:val="000E55A2"/>
    <w:rsid w:val="000E5F4E"/>
    <w:rsid w:val="000E6684"/>
    <w:rsid w:val="000E6777"/>
    <w:rsid w:val="000E7410"/>
    <w:rsid w:val="000E76F7"/>
    <w:rsid w:val="000E7936"/>
    <w:rsid w:val="000F03BC"/>
    <w:rsid w:val="000F0A47"/>
    <w:rsid w:val="000F0D60"/>
    <w:rsid w:val="000F147D"/>
    <w:rsid w:val="000F1A3A"/>
    <w:rsid w:val="000F1A53"/>
    <w:rsid w:val="000F1A5A"/>
    <w:rsid w:val="000F1D45"/>
    <w:rsid w:val="000F1FA4"/>
    <w:rsid w:val="000F2014"/>
    <w:rsid w:val="000F2107"/>
    <w:rsid w:val="000F2194"/>
    <w:rsid w:val="000F24B2"/>
    <w:rsid w:val="000F306B"/>
    <w:rsid w:val="000F31D9"/>
    <w:rsid w:val="000F370D"/>
    <w:rsid w:val="000F376E"/>
    <w:rsid w:val="000F3FC7"/>
    <w:rsid w:val="000F4A13"/>
    <w:rsid w:val="000F4CD5"/>
    <w:rsid w:val="000F5080"/>
    <w:rsid w:val="000F5216"/>
    <w:rsid w:val="000F567F"/>
    <w:rsid w:val="000F5A78"/>
    <w:rsid w:val="000F5C1B"/>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0E56"/>
    <w:rsid w:val="0010129E"/>
    <w:rsid w:val="00101435"/>
    <w:rsid w:val="00101451"/>
    <w:rsid w:val="0010306F"/>
    <w:rsid w:val="001031FC"/>
    <w:rsid w:val="0010384A"/>
    <w:rsid w:val="00103877"/>
    <w:rsid w:val="00103D73"/>
    <w:rsid w:val="00103F0F"/>
    <w:rsid w:val="00104371"/>
    <w:rsid w:val="00104F66"/>
    <w:rsid w:val="001054A3"/>
    <w:rsid w:val="0010559C"/>
    <w:rsid w:val="001056B5"/>
    <w:rsid w:val="00105C32"/>
    <w:rsid w:val="0010606F"/>
    <w:rsid w:val="0010632A"/>
    <w:rsid w:val="0010632E"/>
    <w:rsid w:val="00106A7E"/>
    <w:rsid w:val="00106A81"/>
    <w:rsid w:val="00106B89"/>
    <w:rsid w:val="00106CA2"/>
    <w:rsid w:val="00107962"/>
    <w:rsid w:val="001108B2"/>
    <w:rsid w:val="00110A24"/>
    <w:rsid w:val="00110A62"/>
    <w:rsid w:val="00110B1B"/>
    <w:rsid w:val="00110B5D"/>
    <w:rsid w:val="0011105B"/>
    <w:rsid w:val="0011111B"/>
    <w:rsid w:val="00111483"/>
    <w:rsid w:val="00111886"/>
    <w:rsid w:val="00111CE1"/>
    <w:rsid w:val="00112614"/>
    <w:rsid w:val="0011267E"/>
    <w:rsid w:val="0011271A"/>
    <w:rsid w:val="00112A21"/>
    <w:rsid w:val="00112E38"/>
    <w:rsid w:val="00112FA0"/>
    <w:rsid w:val="001131AA"/>
    <w:rsid w:val="001137CE"/>
    <w:rsid w:val="00113C4C"/>
    <w:rsid w:val="00113CDC"/>
    <w:rsid w:val="00113DD9"/>
    <w:rsid w:val="0011467A"/>
    <w:rsid w:val="00114751"/>
    <w:rsid w:val="0011484F"/>
    <w:rsid w:val="001148DA"/>
    <w:rsid w:val="00114F21"/>
    <w:rsid w:val="00114F4E"/>
    <w:rsid w:val="00115310"/>
    <w:rsid w:val="001157FD"/>
    <w:rsid w:val="00115E3D"/>
    <w:rsid w:val="0011671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172"/>
    <w:rsid w:val="00127385"/>
    <w:rsid w:val="00127410"/>
    <w:rsid w:val="0012741A"/>
    <w:rsid w:val="00127532"/>
    <w:rsid w:val="00127D30"/>
    <w:rsid w:val="00127F2F"/>
    <w:rsid w:val="001300CB"/>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37D84"/>
    <w:rsid w:val="0014019B"/>
    <w:rsid w:val="00140262"/>
    <w:rsid w:val="001408BD"/>
    <w:rsid w:val="001409C8"/>
    <w:rsid w:val="00140AE9"/>
    <w:rsid w:val="00140B0D"/>
    <w:rsid w:val="001418BB"/>
    <w:rsid w:val="00141F9F"/>
    <w:rsid w:val="001422E5"/>
    <w:rsid w:val="001424D7"/>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BEC"/>
    <w:rsid w:val="00153FD1"/>
    <w:rsid w:val="00153FDB"/>
    <w:rsid w:val="001541A8"/>
    <w:rsid w:val="001544A7"/>
    <w:rsid w:val="00154503"/>
    <w:rsid w:val="0015452B"/>
    <w:rsid w:val="00154C0E"/>
    <w:rsid w:val="00154F44"/>
    <w:rsid w:val="00155B6F"/>
    <w:rsid w:val="00155ED8"/>
    <w:rsid w:val="001562D9"/>
    <w:rsid w:val="0015661D"/>
    <w:rsid w:val="001568CE"/>
    <w:rsid w:val="00156A81"/>
    <w:rsid w:val="00156F4A"/>
    <w:rsid w:val="0015732D"/>
    <w:rsid w:val="00157E61"/>
    <w:rsid w:val="00157E78"/>
    <w:rsid w:val="001601C2"/>
    <w:rsid w:val="00160ED7"/>
    <w:rsid w:val="001619E0"/>
    <w:rsid w:val="00161E60"/>
    <w:rsid w:val="00161F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8C2"/>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163"/>
    <w:rsid w:val="001856A2"/>
    <w:rsid w:val="0018593D"/>
    <w:rsid w:val="00185D75"/>
    <w:rsid w:val="00185F4B"/>
    <w:rsid w:val="0018600C"/>
    <w:rsid w:val="0018616D"/>
    <w:rsid w:val="00186ECA"/>
    <w:rsid w:val="00187485"/>
    <w:rsid w:val="00187860"/>
    <w:rsid w:val="00187A24"/>
    <w:rsid w:val="00187F4F"/>
    <w:rsid w:val="00190073"/>
    <w:rsid w:val="00190242"/>
    <w:rsid w:val="0019095F"/>
    <w:rsid w:val="001911C7"/>
    <w:rsid w:val="001911F6"/>
    <w:rsid w:val="0019138F"/>
    <w:rsid w:val="00191688"/>
    <w:rsid w:val="0019193D"/>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5F4F"/>
    <w:rsid w:val="00196016"/>
    <w:rsid w:val="00196165"/>
    <w:rsid w:val="00196393"/>
    <w:rsid w:val="00196667"/>
    <w:rsid w:val="001966C9"/>
    <w:rsid w:val="00197033"/>
    <w:rsid w:val="0019725F"/>
    <w:rsid w:val="00197717"/>
    <w:rsid w:val="001977C0"/>
    <w:rsid w:val="001979BC"/>
    <w:rsid w:val="00197E77"/>
    <w:rsid w:val="00197F7F"/>
    <w:rsid w:val="001A0827"/>
    <w:rsid w:val="001A0EF8"/>
    <w:rsid w:val="001A13E9"/>
    <w:rsid w:val="001A150E"/>
    <w:rsid w:val="001A18D2"/>
    <w:rsid w:val="001A245B"/>
    <w:rsid w:val="001A25AC"/>
    <w:rsid w:val="001A373C"/>
    <w:rsid w:val="001A37A6"/>
    <w:rsid w:val="001A4197"/>
    <w:rsid w:val="001A45A0"/>
    <w:rsid w:val="001A4BB8"/>
    <w:rsid w:val="001A508B"/>
    <w:rsid w:val="001A50A5"/>
    <w:rsid w:val="001A548E"/>
    <w:rsid w:val="001A5625"/>
    <w:rsid w:val="001A7616"/>
    <w:rsid w:val="001A788D"/>
    <w:rsid w:val="001A7B61"/>
    <w:rsid w:val="001A7F0C"/>
    <w:rsid w:val="001B025E"/>
    <w:rsid w:val="001B0693"/>
    <w:rsid w:val="001B0703"/>
    <w:rsid w:val="001B0706"/>
    <w:rsid w:val="001B0807"/>
    <w:rsid w:val="001B0F9E"/>
    <w:rsid w:val="001B101F"/>
    <w:rsid w:val="001B136D"/>
    <w:rsid w:val="001B1442"/>
    <w:rsid w:val="001B1470"/>
    <w:rsid w:val="001B1C97"/>
    <w:rsid w:val="001B1F30"/>
    <w:rsid w:val="001B252B"/>
    <w:rsid w:val="001B2BCC"/>
    <w:rsid w:val="001B2CD5"/>
    <w:rsid w:val="001B31AC"/>
    <w:rsid w:val="001B36B4"/>
    <w:rsid w:val="001B38B7"/>
    <w:rsid w:val="001B39AE"/>
    <w:rsid w:val="001B3F7F"/>
    <w:rsid w:val="001B411F"/>
    <w:rsid w:val="001B4653"/>
    <w:rsid w:val="001B4A22"/>
    <w:rsid w:val="001B4A40"/>
    <w:rsid w:val="001B58BC"/>
    <w:rsid w:val="001B58D8"/>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8F0"/>
    <w:rsid w:val="001C6A87"/>
    <w:rsid w:val="001C6E3A"/>
    <w:rsid w:val="001C7078"/>
    <w:rsid w:val="001C709B"/>
    <w:rsid w:val="001C7813"/>
    <w:rsid w:val="001D0DCC"/>
    <w:rsid w:val="001D1792"/>
    <w:rsid w:val="001D2509"/>
    <w:rsid w:val="001D2B5F"/>
    <w:rsid w:val="001D2DA8"/>
    <w:rsid w:val="001D3116"/>
    <w:rsid w:val="001D334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0C3"/>
    <w:rsid w:val="001E0190"/>
    <w:rsid w:val="001E025D"/>
    <w:rsid w:val="001E0734"/>
    <w:rsid w:val="001E08A5"/>
    <w:rsid w:val="001E0ACF"/>
    <w:rsid w:val="001E0ADE"/>
    <w:rsid w:val="001E1098"/>
    <w:rsid w:val="001E1DCA"/>
    <w:rsid w:val="001E1E96"/>
    <w:rsid w:val="001E24D4"/>
    <w:rsid w:val="001E25C4"/>
    <w:rsid w:val="001E2E6F"/>
    <w:rsid w:val="001E3511"/>
    <w:rsid w:val="001E3642"/>
    <w:rsid w:val="001E3924"/>
    <w:rsid w:val="001E3DBD"/>
    <w:rsid w:val="001E41FC"/>
    <w:rsid w:val="001E4751"/>
    <w:rsid w:val="001E4938"/>
    <w:rsid w:val="001E4CD8"/>
    <w:rsid w:val="001E4FB6"/>
    <w:rsid w:val="001E53A9"/>
    <w:rsid w:val="001E55D5"/>
    <w:rsid w:val="001E56EF"/>
    <w:rsid w:val="001E589C"/>
    <w:rsid w:val="001E5B56"/>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7"/>
    <w:rsid w:val="001F1EEE"/>
    <w:rsid w:val="001F203C"/>
    <w:rsid w:val="001F2108"/>
    <w:rsid w:val="001F2A4D"/>
    <w:rsid w:val="001F2BD3"/>
    <w:rsid w:val="001F2EA1"/>
    <w:rsid w:val="001F337E"/>
    <w:rsid w:val="001F353A"/>
    <w:rsid w:val="001F3603"/>
    <w:rsid w:val="001F386B"/>
    <w:rsid w:val="001F3D89"/>
    <w:rsid w:val="001F4052"/>
    <w:rsid w:val="001F4435"/>
    <w:rsid w:val="001F4BC9"/>
    <w:rsid w:val="001F4FA9"/>
    <w:rsid w:val="001F548A"/>
    <w:rsid w:val="001F579C"/>
    <w:rsid w:val="001F57F8"/>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C09"/>
    <w:rsid w:val="00210D74"/>
    <w:rsid w:val="00211046"/>
    <w:rsid w:val="002112B2"/>
    <w:rsid w:val="00211AE6"/>
    <w:rsid w:val="00211FE8"/>
    <w:rsid w:val="00212582"/>
    <w:rsid w:val="00212DA6"/>
    <w:rsid w:val="00213289"/>
    <w:rsid w:val="002139D9"/>
    <w:rsid w:val="00213B45"/>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036"/>
    <w:rsid w:val="00223B9B"/>
    <w:rsid w:val="00223E41"/>
    <w:rsid w:val="00223EC7"/>
    <w:rsid w:val="002240AD"/>
    <w:rsid w:val="002241F7"/>
    <w:rsid w:val="00224234"/>
    <w:rsid w:val="002242F0"/>
    <w:rsid w:val="0022452B"/>
    <w:rsid w:val="00224EDC"/>
    <w:rsid w:val="00224F1D"/>
    <w:rsid w:val="00225024"/>
    <w:rsid w:val="00225CB2"/>
    <w:rsid w:val="002262A7"/>
    <w:rsid w:val="00226CBB"/>
    <w:rsid w:val="00226D4B"/>
    <w:rsid w:val="00227B32"/>
    <w:rsid w:val="0023007D"/>
    <w:rsid w:val="002302F5"/>
    <w:rsid w:val="00230478"/>
    <w:rsid w:val="0023084B"/>
    <w:rsid w:val="00231311"/>
    <w:rsid w:val="0023151E"/>
    <w:rsid w:val="00231870"/>
    <w:rsid w:val="0023219B"/>
    <w:rsid w:val="0023282F"/>
    <w:rsid w:val="00232E2E"/>
    <w:rsid w:val="00232E42"/>
    <w:rsid w:val="00233827"/>
    <w:rsid w:val="00233EB7"/>
    <w:rsid w:val="00233F42"/>
    <w:rsid w:val="00234272"/>
    <w:rsid w:val="002344A4"/>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04F"/>
    <w:rsid w:val="0024005A"/>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3EFC"/>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92B"/>
    <w:rsid w:val="00252B3D"/>
    <w:rsid w:val="00252BA5"/>
    <w:rsid w:val="00253077"/>
    <w:rsid w:val="00253368"/>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54C"/>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2651"/>
    <w:rsid w:val="00272653"/>
    <w:rsid w:val="00273004"/>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6C17"/>
    <w:rsid w:val="002770AD"/>
    <w:rsid w:val="00277171"/>
    <w:rsid w:val="002779C6"/>
    <w:rsid w:val="00277B3D"/>
    <w:rsid w:val="00277BAB"/>
    <w:rsid w:val="0028044C"/>
    <w:rsid w:val="0028048B"/>
    <w:rsid w:val="00280904"/>
    <w:rsid w:val="00280964"/>
    <w:rsid w:val="00280BBA"/>
    <w:rsid w:val="00280CD9"/>
    <w:rsid w:val="0028111A"/>
    <w:rsid w:val="002815F0"/>
    <w:rsid w:val="0028165D"/>
    <w:rsid w:val="002817EC"/>
    <w:rsid w:val="00281951"/>
    <w:rsid w:val="00281F5E"/>
    <w:rsid w:val="00283592"/>
    <w:rsid w:val="0028363C"/>
    <w:rsid w:val="00283E4F"/>
    <w:rsid w:val="00283FA3"/>
    <w:rsid w:val="002845A6"/>
    <w:rsid w:val="002845AC"/>
    <w:rsid w:val="00284B07"/>
    <w:rsid w:val="00285774"/>
    <w:rsid w:val="00285922"/>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6B7"/>
    <w:rsid w:val="00291BB4"/>
    <w:rsid w:val="00291BD0"/>
    <w:rsid w:val="00291EE5"/>
    <w:rsid w:val="002925DE"/>
    <w:rsid w:val="00292C66"/>
    <w:rsid w:val="0029318B"/>
    <w:rsid w:val="00293463"/>
    <w:rsid w:val="00293680"/>
    <w:rsid w:val="002940DF"/>
    <w:rsid w:val="002942A8"/>
    <w:rsid w:val="0029457A"/>
    <w:rsid w:val="00294630"/>
    <w:rsid w:val="00294BC0"/>
    <w:rsid w:val="00294C41"/>
    <w:rsid w:val="0029505A"/>
    <w:rsid w:val="002958B8"/>
    <w:rsid w:val="00295F12"/>
    <w:rsid w:val="00296613"/>
    <w:rsid w:val="002972FC"/>
    <w:rsid w:val="00297462"/>
    <w:rsid w:val="00297CA9"/>
    <w:rsid w:val="00297EC6"/>
    <w:rsid w:val="002A0AED"/>
    <w:rsid w:val="002A13AD"/>
    <w:rsid w:val="002A15B3"/>
    <w:rsid w:val="002A2754"/>
    <w:rsid w:val="002A289B"/>
    <w:rsid w:val="002A2BB0"/>
    <w:rsid w:val="002A307B"/>
    <w:rsid w:val="002A314B"/>
    <w:rsid w:val="002A36DE"/>
    <w:rsid w:val="002A38F1"/>
    <w:rsid w:val="002A3DA4"/>
    <w:rsid w:val="002A4235"/>
    <w:rsid w:val="002A4489"/>
    <w:rsid w:val="002A4B40"/>
    <w:rsid w:val="002A4CF9"/>
    <w:rsid w:val="002A4DF9"/>
    <w:rsid w:val="002A5358"/>
    <w:rsid w:val="002A5A60"/>
    <w:rsid w:val="002A5D8B"/>
    <w:rsid w:val="002A6509"/>
    <w:rsid w:val="002A67CE"/>
    <w:rsid w:val="002A6829"/>
    <w:rsid w:val="002A6C11"/>
    <w:rsid w:val="002A6C41"/>
    <w:rsid w:val="002A6CDD"/>
    <w:rsid w:val="002A6FC7"/>
    <w:rsid w:val="002A7217"/>
    <w:rsid w:val="002A783B"/>
    <w:rsid w:val="002A7AC5"/>
    <w:rsid w:val="002A7AD0"/>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725"/>
    <w:rsid w:val="002B407B"/>
    <w:rsid w:val="002B407C"/>
    <w:rsid w:val="002B4CAF"/>
    <w:rsid w:val="002B509A"/>
    <w:rsid w:val="002B553B"/>
    <w:rsid w:val="002B587D"/>
    <w:rsid w:val="002B58C3"/>
    <w:rsid w:val="002B5B0B"/>
    <w:rsid w:val="002B5CEE"/>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0E0D"/>
    <w:rsid w:val="002C13EA"/>
    <w:rsid w:val="002C1547"/>
    <w:rsid w:val="002C223F"/>
    <w:rsid w:val="002C25A0"/>
    <w:rsid w:val="002C2715"/>
    <w:rsid w:val="002C282D"/>
    <w:rsid w:val="002C28DE"/>
    <w:rsid w:val="002C296E"/>
    <w:rsid w:val="002C2E8E"/>
    <w:rsid w:val="002C321C"/>
    <w:rsid w:val="002C3384"/>
    <w:rsid w:val="002C3560"/>
    <w:rsid w:val="002C35FF"/>
    <w:rsid w:val="002C3EFD"/>
    <w:rsid w:val="002C4FEB"/>
    <w:rsid w:val="002C5235"/>
    <w:rsid w:val="002C536C"/>
    <w:rsid w:val="002C555C"/>
    <w:rsid w:val="002C5995"/>
    <w:rsid w:val="002C5B3B"/>
    <w:rsid w:val="002C5DB1"/>
    <w:rsid w:val="002C5F6C"/>
    <w:rsid w:val="002C60E0"/>
    <w:rsid w:val="002C6693"/>
    <w:rsid w:val="002C729B"/>
    <w:rsid w:val="002C73EA"/>
    <w:rsid w:val="002C7A0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6D0E"/>
    <w:rsid w:val="002D70B7"/>
    <w:rsid w:val="002D7C5A"/>
    <w:rsid w:val="002E014A"/>
    <w:rsid w:val="002E0210"/>
    <w:rsid w:val="002E0666"/>
    <w:rsid w:val="002E0CE5"/>
    <w:rsid w:val="002E14C7"/>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332"/>
    <w:rsid w:val="002F092C"/>
    <w:rsid w:val="002F0A6E"/>
    <w:rsid w:val="002F0BF5"/>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56B"/>
    <w:rsid w:val="002F76E9"/>
    <w:rsid w:val="002F7CA5"/>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6BB3"/>
    <w:rsid w:val="00307282"/>
    <w:rsid w:val="00307581"/>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0D"/>
    <w:rsid w:val="00315133"/>
    <w:rsid w:val="0031528F"/>
    <w:rsid w:val="0031535C"/>
    <w:rsid w:val="00315585"/>
    <w:rsid w:val="00315622"/>
    <w:rsid w:val="00315855"/>
    <w:rsid w:val="00315CFC"/>
    <w:rsid w:val="00315F65"/>
    <w:rsid w:val="00316ACD"/>
    <w:rsid w:val="00316EE5"/>
    <w:rsid w:val="00317077"/>
    <w:rsid w:val="003177C7"/>
    <w:rsid w:val="00317B03"/>
    <w:rsid w:val="00317B60"/>
    <w:rsid w:val="00320D1D"/>
    <w:rsid w:val="00320E0A"/>
    <w:rsid w:val="00321131"/>
    <w:rsid w:val="00321137"/>
    <w:rsid w:val="003217EF"/>
    <w:rsid w:val="00321955"/>
    <w:rsid w:val="003229CA"/>
    <w:rsid w:val="00323063"/>
    <w:rsid w:val="003234E6"/>
    <w:rsid w:val="0032380A"/>
    <w:rsid w:val="00323975"/>
    <w:rsid w:val="0032407D"/>
    <w:rsid w:val="00324330"/>
    <w:rsid w:val="00324361"/>
    <w:rsid w:val="003243D5"/>
    <w:rsid w:val="0032492D"/>
    <w:rsid w:val="00324C65"/>
    <w:rsid w:val="00324E02"/>
    <w:rsid w:val="00324F47"/>
    <w:rsid w:val="003251E1"/>
    <w:rsid w:val="00325B4F"/>
    <w:rsid w:val="00325C0C"/>
    <w:rsid w:val="003260D0"/>
    <w:rsid w:val="0032673B"/>
    <w:rsid w:val="003268B2"/>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A2B"/>
    <w:rsid w:val="00332B70"/>
    <w:rsid w:val="00332CA3"/>
    <w:rsid w:val="00332CF8"/>
    <w:rsid w:val="003331F6"/>
    <w:rsid w:val="003334C7"/>
    <w:rsid w:val="003335F7"/>
    <w:rsid w:val="0033364B"/>
    <w:rsid w:val="003336C5"/>
    <w:rsid w:val="00334389"/>
    <w:rsid w:val="003345EF"/>
    <w:rsid w:val="00334614"/>
    <w:rsid w:val="00334747"/>
    <w:rsid w:val="00334955"/>
    <w:rsid w:val="00334ED7"/>
    <w:rsid w:val="00335A0C"/>
    <w:rsid w:val="00335E10"/>
    <w:rsid w:val="003363DA"/>
    <w:rsid w:val="003365F6"/>
    <w:rsid w:val="00336657"/>
    <w:rsid w:val="003368F1"/>
    <w:rsid w:val="00336A3D"/>
    <w:rsid w:val="00336BE6"/>
    <w:rsid w:val="00336F65"/>
    <w:rsid w:val="003370FB"/>
    <w:rsid w:val="0033766B"/>
    <w:rsid w:val="00337980"/>
    <w:rsid w:val="00337989"/>
    <w:rsid w:val="00340C4D"/>
    <w:rsid w:val="003411FA"/>
    <w:rsid w:val="00341DE0"/>
    <w:rsid w:val="003420E0"/>
    <w:rsid w:val="00342173"/>
    <w:rsid w:val="00342444"/>
    <w:rsid w:val="003428F3"/>
    <w:rsid w:val="003429DF"/>
    <w:rsid w:val="00342C49"/>
    <w:rsid w:val="00342D06"/>
    <w:rsid w:val="00343A24"/>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517"/>
    <w:rsid w:val="00351B24"/>
    <w:rsid w:val="00352130"/>
    <w:rsid w:val="00352289"/>
    <w:rsid w:val="00352C21"/>
    <w:rsid w:val="00353573"/>
    <w:rsid w:val="00353707"/>
    <w:rsid w:val="00354841"/>
    <w:rsid w:val="00354EFD"/>
    <w:rsid w:val="003555CC"/>
    <w:rsid w:val="003561B4"/>
    <w:rsid w:val="003574ED"/>
    <w:rsid w:val="003576A7"/>
    <w:rsid w:val="003576FA"/>
    <w:rsid w:val="003607D8"/>
    <w:rsid w:val="0036096A"/>
    <w:rsid w:val="00360B61"/>
    <w:rsid w:val="00360F3F"/>
    <w:rsid w:val="00361287"/>
    <w:rsid w:val="0036145D"/>
    <w:rsid w:val="00361F2F"/>
    <w:rsid w:val="00361FBC"/>
    <w:rsid w:val="003622D4"/>
    <w:rsid w:val="00362358"/>
    <w:rsid w:val="003628F9"/>
    <w:rsid w:val="00362D3F"/>
    <w:rsid w:val="00362E3A"/>
    <w:rsid w:val="003630B0"/>
    <w:rsid w:val="00363120"/>
    <w:rsid w:val="00363532"/>
    <w:rsid w:val="003636BB"/>
    <w:rsid w:val="00363763"/>
    <w:rsid w:val="00363BBC"/>
    <w:rsid w:val="00363D56"/>
    <w:rsid w:val="00364154"/>
    <w:rsid w:val="003649FB"/>
    <w:rsid w:val="00364CA5"/>
    <w:rsid w:val="00365738"/>
    <w:rsid w:val="00366470"/>
    <w:rsid w:val="003664CB"/>
    <w:rsid w:val="003669E5"/>
    <w:rsid w:val="00367673"/>
    <w:rsid w:val="00370617"/>
    <w:rsid w:val="00370901"/>
    <w:rsid w:val="003709D8"/>
    <w:rsid w:val="00370D02"/>
    <w:rsid w:val="00371C1B"/>
    <w:rsid w:val="00371D63"/>
    <w:rsid w:val="0037201B"/>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5DE7"/>
    <w:rsid w:val="0037615F"/>
    <w:rsid w:val="003765AD"/>
    <w:rsid w:val="00377171"/>
    <w:rsid w:val="0037763B"/>
    <w:rsid w:val="00377690"/>
    <w:rsid w:val="00377A51"/>
    <w:rsid w:val="00377E6C"/>
    <w:rsid w:val="00377F1B"/>
    <w:rsid w:val="00380457"/>
    <w:rsid w:val="003807EF"/>
    <w:rsid w:val="00380901"/>
    <w:rsid w:val="00380984"/>
    <w:rsid w:val="00380A99"/>
    <w:rsid w:val="00380BA7"/>
    <w:rsid w:val="003810BB"/>
    <w:rsid w:val="0038125D"/>
    <w:rsid w:val="00381303"/>
    <w:rsid w:val="00381327"/>
    <w:rsid w:val="00381337"/>
    <w:rsid w:val="00381D36"/>
    <w:rsid w:val="00382150"/>
    <w:rsid w:val="00382225"/>
    <w:rsid w:val="003823DC"/>
    <w:rsid w:val="0038300B"/>
    <w:rsid w:val="003832A8"/>
    <w:rsid w:val="003833EC"/>
    <w:rsid w:val="00383499"/>
    <w:rsid w:val="003839E3"/>
    <w:rsid w:val="00383D60"/>
    <w:rsid w:val="00383FA3"/>
    <w:rsid w:val="0038434D"/>
    <w:rsid w:val="003845A7"/>
    <w:rsid w:val="003846E5"/>
    <w:rsid w:val="00384974"/>
    <w:rsid w:val="003854C8"/>
    <w:rsid w:val="003857BF"/>
    <w:rsid w:val="00385DC0"/>
    <w:rsid w:val="00386004"/>
    <w:rsid w:val="003866A9"/>
    <w:rsid w:val="003868F9"/>
    <w:rsid w:val="00386A4A"/>
    <w:rsid w:val="00386C52"/>
    <w:rsid w:val="00386CB8"/>
    <w:rsid w:val="00386DE5"/>
    <w:rsid w:val="003870F1"/>
    <w:rsid w:val="003874A7"/>
    <w:rsid w:val="00387788"/>
    <w:rsid w:val="00387B23"/>
    <w:rsid w:val="00387F59"/>
    <w:rsid w:val="003901B7"/>
    <w:rsid w:val="003909E9"/>
    <w:rsid w:val="00390F45"/>
    <w:rsid w:val="00391137"/>
    <w:rsid w:val="0039180D"/>
    <w:rsid w:val="00391E78"/>
    <w:rsid w:val="00391F27"/>
    <w:rsid w:val="003920B2"/>
    <w:rsid w:val="00392E40"/>
    <w:rsid w:val="00392E5A"/>
    <w:rsid w:val="00392F15"/>
    <w:rsid w:val="0039318E"/>
    <w:rsid w:val="00393205"/>
    <w:rsid w:val="003936CD"/>
    <w:rsid w:val="003938BA"/>
    <w:rsid w:val="0039396D"/>
    <w:rsid w:val="00393B14"/>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013"/>
    <w:rsid w:val="003A444D"/>
    <w:rsid w:val="003A4505"/>
    <w:rsid w:val="003A5365"/>
    <w:rsid w:val="003A546D"/>
    <w:rsid w:val="003A634F"/>
    <w:rsid w:val="003A64FA"/>
    <w:rsid w:val="003A6CE9"/>
    <w:rsid w:val="003A6D48"/>
    <w:rsid w:val="003A7331"/>
    <w:rsid w:val="003A7865"/>
    <w:rsid w:val="003A7910"/>
    <w:rsid w:val="003A79F1"/>
    <w:rsid w:val="003A7D28"/>
    <w:rsid w:val="003A7D9F"/>
    <w:rsid w:val="003A7E62"/>
    <w:rsid w:val="003B0207"/>
    <w:rsid w:val="003B0339"/>
    <w:rsid w:val="003B0406"/>
    <w:rsid w:val="003B061E"/>
    <w:rsid w:val="003B06BF"/>
    <w:rsid w:val="003B0724"/>
    <w:rsid w:val="003B12B7"/>
    <w:rsid w:val="003B148C"/>
    <w:rsid w:val="003B1774"/>
    <w:rsid w:val="003B2E3A"/>
    <w:rsid w:val="003B32F3"/>
    <w:rsid w:val="003B32F7"/>
    <w:rsid w:val="003B32F8"/>
    <w:rsid w:val="003B3D16"/>
    <w:rsid w:val="003B3E59"/>
    <w:rsid w:val="003B40D1"/>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3AC"/>
    <w:rsid w:val="003C2AA7"/>
    <w:rsid w:val="003C2E9B"/>
    <w:rsid w:val="003C3368"/>
    <w:rsid w:val="003C38BD"/>
    <w:rsid w:val="003C3A14"/>
    <w:rsid w:val="003C3BC2"/>
    <w:rsid w:val="003C3C33"/>
    <w:rsid w:val="003C3EA1"/>
    <w:rsid w:val="003C3F27"/>
    <w:rsid w:val="003C4209"/>
    <w:rsid w:val="003C474B"/>
    <w:rsid w:val="003C4B6C"/>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3"/>
    <w:rsid w:val="003D6A16"/>
    <w:rsid w:val="003D6AA6"/>
    <w:rsid w:val="003D75A3"/>
    <w:rsid w:val="003D7644"/>
    <w:rsid w:val="003D76D7"/>
    <w:rsid w:val="003D7ECF"/>
    <w:rsid w:val="003D7EE9"/>
    <w:rsid w:val="003E0B36"/>
    <w:rsid w:val="003E0E29"/>
    <w:rsid w:val="003E106A"/>
    <w:rsid w:val="003E12B3"/>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0E7F"/>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A93"/>
    <w:rsid w:val="003F4DE2"/>
    <w:rsid w:val="003F4E79"/>
    <w:rsid w:val="003F524E"/>
    <w:rsid w:val="003F5644"/>
    <w:rsid w:val="003F5720"/>
    <w:rsid w:val="003F5AAB"/>
    <w:rsid w:val="003F5C95"/>
    <w:rsid w:val="003F6017"/>
    <w:rsid w:val="003F632C"/>
    <w:rsid w:val="003F635B"/>
    <w:rsid w:val="003F6842"/>
    <w:rsid w:val="003F6B4D"/>
    <w:rsid w:val="003F6E4F"/>
    <w:rsid w:val="003F7913"/>
    <w:rsid w:val="003F7B68"/>
    <w:rsid w:val="003F7C13"/>
    <w:rsid w:val="003F7E66"/>
    <w:rsid w:val="004002A8"/>
    <w:rsid w:val="00400760"/>
    <w:rsid w:val="00400A90"/>
    <w:rsid w:val="00400B37"/>
    <w:rsid w:val="0040102D"/>
    <w:rsid w:val="004010B3"/>
    <w:rsid w:val="00401465"/>
    <w:rsid w:val="00401E9C"/>
    <w:rsid w:val="004020B3"/>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7D7"/>
    <w:rsid w:val="004117E7"/>
    <w:rsid w:val="00411F52"/>
    <w:rsid w:val="00412245"/>
    <w:rsid w:val="004122D4"/>
    <w:rsid w:val="0041287F"/>
    <w:rsid w:val="00412DE8"/>
    <w:rsid w:val="00413316"/>
    <w:rsid w:val="004133CE"/>
    <w:rsid w:val="004134DF"/>
    <w:rsid w:val="0041360B"/>
    <w:rsid w:val="00414056"/>
    <w:rsid w:val="004143E5"/>
    <w:rsid w:val="0041469A"/>
    <w:rsid w:val="0041497A"/>
    <w:rsid w:val="0041525F"/>
    <w:rsid w:val="00415C01"/>
    <w:rsid w:val="00415FBA"/>
    <w:rsid w:val="00416215"/>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71E"/>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22"/>
    <w:rsid w:val="00430878"/>
    <w:rsid w:val="004308E9"/>
    <w:rsid w:val="00430AF9"/>
    <w:rsid w:val="00431066"/>
    <w:rsid w:val="004311F9"/>
    <w:rsid w:val="004313EF"/>
    <w:rsid w:val="00431441"/>
    <w:rsid w:val="00431F16"/>
    <w:rsid w:val="0043208F"/>
    <w:rsid w:val="00432296"/>
    <w:rsid w:val="00432BA9"/>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984"/>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8D"/>
    <w:rsid w:val="004403B8"/>
    <w:rsid w:val="00440734"/>
    <w:rsid w:val="00440870"/>
    <w:rsid w:val="00441569"/>
    <w:rsid w:val="00441A0D"/>
    <w:rsid w:val="00441B87"/>
    <w:rsid w:val="004422DF"/>
    <w:rsid w:val="00442BAA"/>
    <w:rsid w:val="00442D95"/>
    <w:rsid w:val="00442FB4"/>
    <w:rsid w:val="004430B1"/>
    <w:rsid w:val="00443176"/>
    <w:rsid w:val="00443310"/>
    <w:rsid w:val="00444A8D"/>
    <w:rsid w:val="00444CD3"/>
    <w:rsid w:val="004454C2"/>
    <w:rsid w:val="00445CA0"/>
    <w:rsid w:val="00446176"/>
    <w:rsid w:val="0044618B"/>
    <w:rsid w:val="00446390"/>
    <w:rsid w:val="004464A2"/>
    <w:rsid w:val="00446920"/>
    <w:rsid w:val="00447262"/>
    <w:rsid w:val="00447351"/>
    <w:rsid w:val="00447B50"/>
    <w:rsid w:val="00447BD5"/>
    <w:rsid w:val="00447C55"/>
    <w:rsid w:val="00447E4A"/>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79"/>
    <w:rsid w:val="004615D2"/>
    <w:rsid w:val="00461654"/>
    <w:rsid w:val="004621F0"/>
    <w:rsid w:val="004623BF"/>
    <w:rsid w:val="004627AB"/>
    <w:rsid w:val="0046283F"/>
    <w:rsid w:val="00462D6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33E"/>
    <w:rsid w:val="0046684C"/>
    <w:rsid w:val="004668C7"/>
    <w:rsid w:val="00466A37"/>
    <w:rsid w:val="00466E27"/>
    <w:rsid w:val="004674B9"/>
    <w:rsid w:val="00467962"/>
    <w:rsid w:val="00467FA5"/>
    <w:rsid w:val="00471473"/>
    <w:rsid w:val="00471496"/>
    <w:rsid w:val="0047188C"/>
    <w:rsid w:val="00471D90"/>
    <w:rsid w:val="00472154"/>
    <w:rsid w:val="00472723"/>
    <w:rsid w:val="0047291F"/>
    <w:rsid w:val="00472AF0"/>
    <w:rsid w:val="00472D29"/>
    <w:rsid w:val="00473915"/>
    <w:rsid w:val="004741FF"/>
    <w:rsid w:val="0047431D"/>
    <w:rsid w:val="00474492"/>
    <w:rsid w:val="00474924"/>
    <w:rsid w:val="004749BC"/>
    <w:rsid w:val="00474AB4"/>
    <w:rsid w:val="00474C65"/>
    <w:rsid w:val="0047533C"/>
    <w:rsid w:val="00475575"/>
    <w:rsid w:val="004757A5"/>
    <w:rsid w:val="00475D26"/>
    <w:rsid w:val="00475DC7"/>
    <w:rsid w:val="00475E92"/>
    <w:rsid w:val="00476187"/>
    <w:rsid w:val="00476D9E"/>
    <w:rsid w:val="00476F04"/>
    <w:rsid w:val="00477146"/>
    <w:rsid w:val="004772B4"/>
    <w:rsid w:val="004778C7"/>
    <w:rsid w:val="00477A42"/>
    <w:rsid w:val="0048018C"/>
    <w:rsid w:val="004805DB"/>
    <w:rsid w:val="0048066C"/>
    <w:rsid w:val="0048087A"/>
    <w:rsid w:val="00480DA7"/>
    <w:rsid w:val="0048100F"/>
    <w:rsid w:val="0048154D"/>
    <w:rsid w:val="0048157D"/>
    <w:rsid w:val="0048179C"/>
    <w:rsid w:val="00481A57"/>
    <w:rsid w:val="004825B9"/>
    <w:rsid w:val="004827DB"/>
    <w:rsid w:val="00482803"/>
    <w:rsid w:val="00482A70"/>
    <w:rsid w:val="004831D6"/>
    <w:rsid w:val="0048328C"/>
    <w:rsid w:val="00483326"/>
    <w:rsid w:val="0048334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851"/>
    <w:rsid w:val="004879B6"/>
    <w:rsid w:val="00487EC0"/>
    <w:rsid w:val="00487EC7"/>
    <w:rsid w:val="00487F4D"/>
    <w:rsid w:val="00490024"/>
    <w:rsid w:val="00490F9B"/>
    <w:rsid w:val="00491465"/>
    <w:rsid w:val="0049165E"/>
    <w:rsid w:val="00491A11"/>
    <w:rsid w:val="004922A5"/>
    <w:rsid w:val="004925EC"/>
    <w:rsid w:val="00492C0D"/>
    <w:rsid w:val="00492CD9"/>
    <w:rsid w:val="004939E2"/>
    <w:rsid w:val="00493A4D"/>
    <w:rsid w:val="0049412F"/>
    <w:rsid w:val="00494637"/>
    <w:rsid w:val="0049473E"/>
    <w:rsid w:val="0049493E"/>
    <w:rsid w:val="004956B2"/>
    <w:rsid w:val="0049587E"/>
    <w:rsid w:val="00495936"/>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196"/>
    <w:rsid w:val="004A221B"/>
    <w:rsid w:val="004A2515"/>
    <w:rsid w:val="004A2B54"/>
    <w:rsid w:val="004A2E41"/>
    <w:rsid w:val="004A30FA"/>
    <w:rsid w:val="004A324F"/>
    <w:rsid w:val="004A35BE"/>
    <w:rsid w:val="004A39FD"/>
    <w:rsid w:val="004A45E4"/>
    <w:rsid w:val="004A4A85"/>
    <w:rsid w:val="004A5164"/>
    <w:rsid w:val="004A5391"/>
    <w:rsid w:val="004A5619"/>
    <w:rsid w:val="004A57B8"/>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2865"/>
    <w:rsid w:val="004B3987"/>
    <w:rsid w:val="004B3A9B"/>
    <w:rsid w:val="004B3C6B"/>
    <w:rsid w:val="004B441C"/>
    <w:rsid w:val="004B44C5"/>
    <w:rsid w:val="004B4B80"/>
    <w:rsid w:val="004B51C2"/>
    <w:rsid w:val="004B55DC"/>
    <w:rsid w:val="004B7FA5"/>
    <w:rsid w:val="004C0479"/>
    <w:rsid w:val="004C0A38"/>
    <w:rsid w:val="004C1076"/>
    <w:rsid w:val="004C112B"/>
    <w:rsid w:val="004C12BA"/>
    <w:rsid w:val="004C1649"/>
    <w:rsid w:val="004C1A1C"/>
    <w:rsid w:val="004C1AD1"/>
    <w:rsid w:val="004C1C2A"/>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886"/>
    <w:rsid w:val="004C5CEB"/>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46E"/>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9F"/>
    <w:rsid w:val="004E2AB6"/>
    <w:rsid w:val="004E313A"/>
    <w:rsid w:val="004E3C09"/>
    <w:rsid w:val="004E3CC5"/>
    <w:rsid w:val="004E3F91"/>
    <w:rsid w:val="004E4B5E"/>
    <w:rsid w:val="004E5048"/>
    <w:rsid w:val="004E52B6"/>
    <w:rsid w:val="004E53E9"/>
    <w:rsid w:val="004E565A"/>
    <w:rsid w:val="004E6424"/>
    <w:rsid w:val="004E6426"/>
    <w:rsid w:val="004E657B"/>
    <w:rsid w:val="004E68E1"/>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1D8D"/>
    <w:rsid w:val="004F240B"/>
    <w:rsid w:val="004F35E0"/>
    <w:rsid w:val="004F3A12"/>
    <w:rsid w:val="004F3D42"/>
    <w:rsid w:val="004F43A1"/>
    <w:rsid w:val="004F442D"/>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80F"/>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1120"/>
    <w:rsid w:val="00511156"/>
    <w:rsid w:val="0051118C"/>
    <w:rsid w:val="0051138B"/>
    <w:rsid w:val="00511779"/>
    <w:rsid w:val="00511A66"/>
    <w:rsid w:val="00512229"/>
    <w:rsid w:val="00512DFB"/>
    <w:rsid w:val="00512E08"/>
    <w:rsid w:val="005135E4"/>
    <w:rsid w:val="00513E27"/>
    <w:rsid w:val="00513EDA"/>
    <w:rsid w:val="00513F6B"/>
    <w:rsid w:val="005142A8"/>
    <w:rsid w:val="00514425"/>
    <w:rsid w:val="00514E2D"/>
    <w:rsid w:val="00514ECF"/>
    <w:rsid w:val="00515969"/>
    <w:rsid w:val="00515B23"/>
    <w:rsid w:val="00515C39"/>
    <w:rsid w:val="00516381"/>
    <w:rsid w:val="00516487"/>
    <w:rsid w:val="00516C58"/>
    <w:rsid w:val="005173C0"/>
    <w:rsid w:val="00517471"/>
    <w:rsid w:val="00520415"/>
    <w:rsid w:val="005204AE"/>
    <w:rsid w:val="00520A59"/>
    <w:rsid w:val="00520B37"/>
    <w:rsid w:val="00521232"/>
    <w:rsid w:val="00521244"/>
    <w:rsid w:val="005212C4"/>
    <w:rsid w:val="005212DC"/>
    <w:rsid w:val="0052196C"/>
    <w:rsid w:val="005219CA"/>
    <w:rsid w:val="00521BFD"/>
    <w:rsid w:val="00521DB5"/>
    <w:rsid w:val="0052239B"/>
    <w:rsid w:val="005227B4"/>
    <w:rsid w:val="00522B13"/>
    <w:rsid w:val="00522B30"/>
    <w:rsid w:val="00522C03"/>
    <w:rsid w:val="005232B3"/>
    <w:rsid w:val="005233A5"/>
    <w:rsid w:val="00523C38"/>
    <w:rsid w:val="00523DB9"/>
    <w:rsid w:val="0052438E"/>
    <w:rsid w:val="005259B5"/>
    <w:rsid w:val="00525B0A"/>
    <w:rsid w:val="0052624A"/>
    <w:rsid w:val="00526266"/>
    <w:rsid w:val="00526493"/>
    <w:rsid w:val="00526A07"/>
    <w:rsid w:val="00526A2E"/>
    <w:rsid w:val="00526EBE"/>
    <w:rsid w:val="00527730"/>
    <w:rsid w:val="005302CE"/>
    <w:rsid w:val="00530BC0"/>
    <w:rsid w:val="00530C71"/>
    <w:rsid w:val="005310F3"/>
    <w:rsid w:val="00531580"/>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2B8"/>
    <w:rsid w:val="00540758"/>
    <w:rsid w:val="00540776"/>
    <w:rsid w:val="005407D4"/>
    <w:rsid w:val="005411C9"/>
    <w:rsid w:val="005414E2"/>
    <w:rsid w:val="0054160D"/>
    <w:rsid w:val="005416A2"/>
    <w:rsid w:val="00541EB7"/>
    <w:rsid w:val="00542945"/>
    <w:rsid w:val="00542AD5"/>
    <w:rsid w:val="00542EDE"/>
    <w:rsid w:val="0054341E"/>
    <w:rsid w:val="00543FC2"/>
    <w:rsid w:val="00544088"/>
    <w:rsid w:val="0054433B"/>
    <w:rsid w:val="00544AD7"/>
    <w:rsid w:val="00544AFC"/>
    <w:rsid w:val="0054516B"/>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289"/>
    <w:rsid w:val="005573DA"/>
    <w:rsid w:val="0056042D"/>
    <w:rsid w:val="0056060F"/>
    <w:rsid w:val="005613E8"/>
    <w:rsid w:val="0056158C"/>
    <w:rsid w:val="00561816"/>
    <w:rsid w:val="005619B2"/>
    <w:rsid w:val="00561C27"/>
    <w:rsid w:val="0056225F"/>
    <w:rsid w:val="0056255F"/>
    <w:rsid w:val="0056269B"/>
    <w:rsid w:val="0056298E"/>
    <w:rsid w:val="00562C8B"/>
    <w:rsid w:val="00563627"/>
    <w:rsid w:val="0056396A"/>
    <w:rsid w:val="005641CA"/>
    <w:rsid w:val="00564478"/>
    <w:rsid w:val="005647F9"/>
    <w:rsid w:val="005649A3"/>
    <w:rsid w:val="00564CE1"/>
    <w:rsid w:val="00565127"/>
    <w:rsid w:val="00566671"/>
    <w:rsid w:val="00566DAC"/>
    <w:rsid w:val="00566FEA"/>
    <w:rsid w:val="005673ED"/>
    <w:rsid w:val="005676F5"/>
    <w:rsid w:val="00567C79"/>
    <w:rsid w:val="00570012"/>
    <w:rsid w:val="00570018"/>
    <w:rsid w:val="005704B3"/>
    <w:rsid w:val="005705A3"/>
    <w:rsid w:val="00570C5B"/>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016"/>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774"/>
    <w:rsid w:val="00581885"/>
    <w:rsid w:val="00581978"/>
    <w:rsid w:val="00581FFE"/>
    <w:rsid w:val="0058204D"/>
    <w:rsid w:val="0058252A"/>
    <w:rsid w:val="00582C5B"/>
    <w:rsid w:val="00582EE0"/>
    <w:rsid w:val="00582FAD"/>
    <w:rsid w:val="00583129"/>
    <w:rsid w:val="005835F6"/>
    <w:rsid w:val="0058371E"/>
    <w:rsid w:val="00583D40"/>
    <w:rsid w:val="00583E2B"/>
    <w:rsid w:val="00583E96"/>
    <w:rsid w:val="005840D6"/>
    <w:rsid w:val="00584962"/>
    <w:rsid w:val="00584B8F"/>
    <w:rsid w:val="00584E40"/>
    <w:rsid w:val="0058551B"/>
    <w:rsid w:val="00585C73"/>
    <w:rsid w:val="005867AE"/>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7B4"/>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5A76"/>
    <w:rsid w:val="005A7264"/>
    <w:rsid w:val="005A74DB"/>
    <w:rsid w:val="005A74EC"/>
    <w:rsid w:val="005A78C7"/>
    <w:rsid w:val="005A7E99"/>
    <w:rsid w:val="005B07F8"/>
    <w:rsid w:val="005B0981"/>
    <w:rsid w:val="005B1133"/>
    <w:rsid w:val="005B1263"/>
    <w:rsid w:val="005B18AD"/>
    <w:rsid w:val="005B1C39"/>
    <w:rsid w:val="005B1DA4"/>
    <w:rsid w:val="005B2177"/>
    <w:rsid w:val="005B32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21"/>
    <w:rsid w:val="005C104B"/>
    <w:rsid w:val="005C23E4"/>
    <w:rsid w:val="005C246E"/>
    <w:rsid w:val="005C2571"/>
    <w:rsid w:val="005C2763"/>
    <w:rsid w:val="005C28E9"/>
    <w:rsid w:val="005C2AAF"/>
    <w:rsid w:val="005C2C1D"/>
    <w:rsid w:val="005C34FA"/>
    <w:rsid w:val="005C382F"/>
    <w:rsid w:val="005C3D36"/>
    <w:rsid w:val="005C3D75"/>
    <w:rsid w:val="005C4461"/>
    <w:rsid w:val="005C5186"/>
    <w:rsid w:val="005C5402"/>
    <w:rsid w:val="005C55ED"/>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14B"/>
    <w:rsid w:val="005D2885"/>
    <w:rsid w:val="005D395A"/>
    <w:rsid w:val="005D48A2"/>
    <w:rsid w:val="005D497A"/>
    <w:rsid w:val="005D4AA8"/>
    <w:rsid w:val="005D62B3"/>
    <w:rsid w:val="005D6CC9"/>
    <w:rsid w:val="005D764B"/>
    <w:rsid w:val="005D773B"/>
    <w:rsid w:val="005D7F79"/>
    <w:rsid w:val="005E0160"/>
    <w:rsid w:val="005E03CB"/>
    <w:rsid w:val="005E0821"/>
    <w:rsid w:val="005E0A98"/>
    <w:rsid w:val="005E109D"/>
    <w:rsid w:val="005E16C9"/>
    <w:rsid w:val="005E172D"/>
    <w:rsid w:val="005E1961"/>
    <w:rsid w:val="005E2067"/>
    <w:rsid w:val="005E2204"/>
    <w:rsid w:val="005E25C1"/>
    <w:rsid w:val="005E2661"/>
    <w:rsid w:val="005E3167"/>
    <w:rsid w:val="005E36CC"/>
    <w:rsid w:val="005E3896"/>
    <w:rsid w:val="005E3CB4"/>
    <w:rsid w:val="005E3E05"/>
    <w:rsid w:val="005E43AE"/>
    <w:rsid w:val="005E462C"/>
    <w:rsid w:val="005E4816"/>
    <w:rsid w:val="005E52F3"/>
    <w:rsid w:val="005E5351"/>
    <w:rsid w:val="005E542C"/>
    <w:rsid w:val="005E59CF"/>
    <w:rsid w:val="005E5C59"/>
    <w:rsid w:val="005E651B"/>
    <w:rsid w:val="005E6A00"/>
    <w:rsid w:val="005E6DD2"/>
    <w:rsid w:val="005E74A0"/>
    <w:rsid w:val="005E7D9F"/>
    <w:rsid w:val="005E7E2C"/>
    <w:rsid w:val="005E7EA0"/>
    <w:rsid w:val="005E7ECE"/>
    <w:rsid w:val="005E7FAB"/>
    <w:rsid w:val="005F0BB2"/>
    <w:rsid w:val="005F0C5A"/>
    <w:rsid w:val="005F0D01"/>
    <w:rsid w:val="005F106A"/>
    <w:rsid w:val="005F1B40"/>
    <w:rsid w:val="005F1F06"/>
    <w:rsid w:val="005F2030"/>
    <w:rsid w:val="005F20BF"/>
    <w:rsid w:val="005F2104"/>
    <w:rsid w:val="005F2738"/>
    <w:rsid w:val="005F2CD9"/>
    <w:rsid w:val="005F2DD4"/>
    <w:rsid w:val="005F2ED1"/>
    <w:rsid w:val="005F40BB"/>
    <w:rsid w:val="005F4CC2"/>
    <w:rsid w:val="005F4FED"/>
    <w:rsid w:val="005F551C"/>
    <w:rsid w:val="005F5CE7"/>
    <w:rsid w:val="005F5F36"/>
    <w:rsid w:val="005F618D"/>
    <w:rsid w:val="005F6F53"/>
    <w:rsid w:val="005F73D0"/>
    <w:rsid w:val="005F7770"/>
    <w:rsid w:val="005F7C8F"/>
    <w:rsid w:val="0060043D"/>
    <w:rsid w:val="0060058E"/>
    <w:rsid w:val="006008C0"/>
    <w:rsid w:val="006008D1"/>
    <w:rsid w:val="006009A8"/>
    <w:rsid w:val="00600A7A"/>
    <w:rsid w:val="0060128F"/>
    <w:rsid w:val="00601ECC"/>
    <w:rsid w:val="006023D9"/>
    <w:rsid w:val="0060269A"/>
    <w:rsid w:val="00602739"/>
    <w:rsid w:val="00602916"/>
    <w:rsid w:val="00602979"/>
    <w:rsid w:val="00603085"/>
    <w:rsid w:val="00603830"/>
    <w:rsid w:val="00603EB8"/>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D6A"/>
    <w:rsid w:val="006101D2"/>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730"/>
    <w:rsid w:val="00617C5A"/>
    <w:rsid w:val="00617D36"/>
    <w:rsid w:val="00617FA5"/>
    <w:rsid w:val="00620A75"/>
    <w:rsid w:val="00621089"/>
    <w:rsid w:val="00621407"/>
    <w:rsid w:val="00621757"/>
    <w:rsid w:val="00621D27"/>
    <w:rsid w:val="00622B92"/>
    <w:rsid w:val="00622CC0"/>
    <w:rsid w:val="00622E33"/>
    <w:rsid w:val="00622FC5"/>
    <w:rsid w:val="006234E1"/>
    <w:rsid w:val="00623C20"/>
    <w:rsid w:val="006243D6"/>
    <w:rsid w:val="00624A25"/>
    <w:rsid w:val="00624FB0"/>
    <w:rsid w:val="006254B4"/>
    <w:rsid w:val="006254FD"/>
    <w:rsid w:val="006262CF"/>
    <w:rsid w:val="006266D4"/>
    <w:rsid w:val="006266E1"/>
    <w:rsid w:val="006266FA"/>
    <w:rsid w:val="00627067"/>
    <w:rsid w:val="006301A5"/>
    <w:rsid w:val="006302E0"/>
    <w:rsid w:val="00630767"/>
    <w:rsid w:val="006307CD"/>
    <w:rsid w:val="00630E39"/>
    <w:rsid w:val="0063103F"/>
    <w:rsid w:val="00631243"/>
    <w:rsid w:val="0063133D"/>
    <w:rsid w:val="00631925"/>
    <w:rsid w:val="00631D9A"/>
    <w:rsid w:val="006326EA"/>
    <w:rsid w:val="0063302C"/>
    <w:rsid w:val="006330C8"/>
    <w:rsid w:val="006331BD"/>
    <w:rsid w:val="00633361"/>
    <w:rsid w:val="00633D4A"/>
    <w:rsid w:val="00634481"/>
    <w:rsid w:val="00634813"/>
    <w:rsid w:val="00634E22"/>
    <w:rsid w:val="006357F6"/>
    <w:rsid w:val="00635893"/>
    <w:rsid w:val="00635A74"/>
    <w:rsid w:val="00635A9E"/>
    <w:rsid w:val="00635C17"/>
    <w:rsid w:val="00635FEF"/>
    <w:rsid w:val="00636354"/>
    <w:rsid w:val="00636447"/>
    <w:rsid w:val="00636A17"/>
    <w:rsid w:val="0063703B"/>
    <w:rsid w:val="006378C4"/>
    <w:rsid w:val="00640E50"/>
    <w:rsid w:val="00640E94"/>
    <w:rsid w:val="00640EC7"/>
    <w:rsid w:val="00641975"/>
    <w:rsid w:val="00641FE4"/>
    <w:rsid w:val="006421A8"/>
    <w:rsid w:val="00642290"/>
    <w:rsid w:val="006423EC"/>
    <w:rsid w:val="00642B49"/>
    <w:rsid w:val="00642E73"/>
    <w:rsid w:val="00642F87"/>
    <w:rsid w:val="006430E4"/>
    <w:rsid w:val="0064342E"/>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DF6"/>
    <w:rsid w:val="00652EC9"/>
    <w:rsid w:val="00652F80"/>
    <w:rsid w:val="00653313"/>
    <w:rsid w:val="00653638"/>
    <w:rsid w:val="006536BE"/>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908"/>
    <w:rsid w:val="00656BAC"/>
    <w:rsid w:val="00657A05"/>
    <w:rsid w:val="00660123"/>
    <w:rsid w:val="006603A8"/>
    <w:rsid w:val="006603BD"/>
    <w:rsid w:val="00660830"/>
    <w:rsid w:val="00660AE9"/>
    <w:rsid w:val="00660D13"/>
    <w:rsid w:val="00660E32"/>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4D55"/>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4D77"/>
    <w:rsid w:val="00675203"/>
    <w:rsid w:val="00675E8D"/>
    <w:rsid w:val="006760A1"/>
    <w:rsid w:val="00676B02"/>
    <w:rsid w:val="006770D4"/>
    <w:rsid w:val="006773B8"/>
    <w:rsid w:val="006773E8"/>
    <w:rsid w:val="00677CFC"/>
    <w:rsid w:val="00677D3D"/>
    <w:rsid w:val="00677DE9"/>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67"/>
    <w:rsid w:val="00686BAD"/>
    <w:rsid w:val="00686C6D"/>
    <w:rsid w:val="00687233"/>
    <w:rsid w:val="006873BE"/>
    <w:rsid w:val="006876AA"/>
    <w:rsid w:val="00687F8D"/>
    <w:rsid w:val="0069007B"/>
    <w:rsid w:val="00690134"/>
    <w:rsid w:val="006903C0"/>
    <w:rsid w:val="0069052A"/>
    <w:rsid w:val="006909B7"/>
    <w:rsid w:val="00690BA0"/>
    <w:rsid w:val="00691639"/>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33E"/>
    <w:rsid w:val="00696530"/>
    <w:rsid w:val="006967A1"/>
    <w:rsid w:val="0069749C"/>
    <w:rsid w:val="006979E4"/>
    <w:rsid w:val="00697AB9"/>
    <w:rsid w:val="00697EA6"/>
    <w:rsid w:val="006A0425"/>
    <w:rsid w:val="006A0FAB"/>
    <w:rsid w:val="006A14B6"/>
    <w:rsid w:val="006A1917"/>
    <w:rsid w:val="006A1A20"/>
    <w:rsid w:val="006A2763"/>
    <w:rsid w:val="006A2DEE"/>
    <w:rsid w:val="006A3234"/>
    <w:rsid w:val="006A3398"/>
    <w:rsid w:val="006A396B"/>
    <w:rsid w:val="006A3A4C"/>
    <w:rsid w:val="006A3A96"/>
    <w:rsid w:val="006A3B2B"/>
    <w:rsid w:val="006A4025"/>
    <w:rsid w:val="006A40D7"/>
    <w:rsid w:val="006A4700"/>
    <w:rsid w:val="006A4C45"/>
    <w:rsid w:val="006A4D08"/>
    <w:rsid w:val="006A4D41"/>
    <w:rsid w:val="006A55C7"/>
    <w:rsid w:val="006A5E48"/>
    <w:rsid w:val="006A62A4"/>
    <w:rsid w:val="006A62F1"/>
    <w:rsid w:val="006A66B0"/>
    <w:rsid w:val="006A6A19"/>
    <w:rsid w:val="006A73C4"/>
    <w:rsid w:val="006A7BC9"/>
    <w:rsid w:val="006B00A9"/>
    <w:rsid w:val="006B0264"/>
    <w:rsid w:val="006B02A9"/>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60"/>
    <w:rsid w:val="006B755F"/>
    <w:rsid w:val="006B77B4"/>
    <w:rsid w:val="006B799E"/>
    <w:rsid w:val="006C04FB"/>
    <w:rsid w:val="006C08AE"/>
    <w:rsid w:val="006C0BAF"/>
    <w:rsid w:val="006C0C3D"/>
    <w:rsid w:val="006C1465"/>
    <w:rsid w:val="006C15C1"/>
    <w:rsid w:val="006C162F"/>
    <w:rsid w:val="006C16EE"/>
    <w:rsid w:val="006C1C93"/>
    <w:rsid w:val="006C1ECB"/>
    <w:rsid w:val="006C2524"/>
    <w:rsid w:val="006C2537"/>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1B0E"/>
    <w:rsid w:val="006D2216"/>
    <w:rsid w:val="006D27E6"/>
    <w:rsid w:val="006D2A33"/>
    <w:rsid w:val="006D2EB2"/>
    <w:rsid w:val="006D3267"/>
    <w:rsid w:val="006D369F"/>
    <w:rsid w:val="006D3855"/>
    <w:rsid w:val="006D3E6B"/>
    <w:rsid w:val="006D4804"/>
    <w:rsid w:val="006D576A"/>
    <w:rsid w:val="006D58B9"/>
    <w:rsid w:val="006D5B8A"/>
    <w:rsid w:val="006D6720"/>
    <w:rsid w:val="006D6905"/>
    <w:rsid w:val="006D6C20"/>
    <w:rsid w:val="006D6D63"/>
    <w:rsid w:val="006D705D"/>
    <w:rsid w:val="006D71A0"/>
    <w:rsid w:val="006D756A"/>
    <w:rsid w:val="006D7C46"/>
    <w:rsid w:val="006E0006"/>
    <w:rsid w:val="006E01B1"/>
    <w:rsid w:val="006E035D"/>
    <w:rsid w:val="006E083A"/>
    <w:rsid w:val="006E0857"/>
    <w:rsid w:val="006E0861"/>
    <w:rsid w:val="006E0970"/>
    <w:rsid w:val="006E0D77"/>
    <w:rsid w:val="006E0F43"/>
    <w:rsid w:val="006E10BA"/>
    <w:rsid w:val="006E1305"/>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1D"/>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4"/>
    <w:rsid w:val="006F536D"/>
    <w:rsid w:val="006F55BB"/>
    <w:rsid w:val="006F55E3"/>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04C"/>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2C56"/>
    <w:rsid w:val="007230EC"/>
    <w:rsid w:val="00723379"/>
    <w:rsid w:val="007239D7"/>
    <w:rsid w:val="00723CAA"/>
    <w:rsid w:val="00723CEE"/>
    <w:rsid w:val="0072443B"/>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4A0"/>
    <w:rsid w:val="00731798"/>
    <w:rsid w:val="0073216D"/>
    <w:rsid w:val="007322F9"/>
    <w:rsid w:val="00732B3E"/>
    <w:rsid w:val="00732B4D"/>
    <w:rsid w:val="0073302E"/>
    <w:rsid w:val="007334AC"/>
    <w:rsid w:val="00733526"/>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466"/>
    <w:rsid w:val="00736637"/>
    <w:rsid w:val="00737041"/>
    <w:rsid w:val="00737046"/>
    <w:rsid w:val="007370B4"/>
    <w:rsid w:val="0073737D"/>
    <w:rsid w:val="00737D06"/>
    <w:rsid w:val="00737EFF"/>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2FB5"/>
    <w:rsid w:val="007430DD"/>
    <w:rsid w:val="00743779"/>
    <w:rsid w:val="00743C5A"/>
    <w:rsid w:val="00743E88"/>
    <w:rsid w:val="007444C1"/>
    <w:rsid w:val="0074479B"/>
    <w:rsid w:val="0074545B"/>
    <w:rsid w:val="007454AF"/>
    <w:rsid w:val="00745643"/>
    <w:rsid w:val="007458C6"/>
    <w:rsid w:val="007459A9"/>
    <w:rsid w:val="00745DFB"/>
    <w:rsid w:val="00746166"/>
    <w:rsid w:val="00746362"/>
    <w:rsid w:val="00746592"/>
    <w:rsid w:val="007474E3"/>
    <w:rsid w:val="007476E9"/>
    <w:rsid w:val="00747746"/>
    <w:rsid w:val="007477CB"/>
    <w:rsid w:val="0075075D"/>
    <w:rsid w:val="00750760"/>
    <w:rsid w:val="00750D2B"/>
    <w:rsid w:val="00750DDB"/>
    <w:rsid w:val="00750FCA"/>
    <w:rsid w:val="007513BF"/>
    <w:rsid w:val="00752085"/>
    <w:rsid w:val="007525FC"/>
    <w:rsid w:val="00752726"/>
    <w:rsid w:val="0075274F"/>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57CEF"/>
    <w:rsid w:val="00760543"/>
    <w:rsid w:val="00760556"/>
    <w:rsid w:val="007608FB"/>
    <w:rsid w:val="007611B8"/>
    <w:rsid w:val="00761233"/>
    <w:rsid w:val="0076126B"/>
    <w:rsid w:val="007616A6"/>
    <w:rsid w:val="00761940"/>
    <w:rsid w:val="00761AEF"/>
    <w:rsid w:val="00761AFD"/>
    <w:rsid w:val="00762267"/>
    <w:rsid w:val="0076264F"/>
    <w:rsid w:val="00762D06"/>
    <w:rsid w:val="00762D0E"/>
    <w:rsid w:val="0076407E"/>
    <w:rsid w:val="00764110"/>
    <w:rsid w:val="00764456"/>
    <w:rsid w:val="00764E15"/>
    <w:rsid w:val="00765855"/>
    <w:rsid w:val="00765F41"/>
    <w:rsid w:val="00765F49"/>
    <w:rsid w:val="007660F9"/>
    <w:rsid w:val="007667D9"/>
    <w:rsid w:val="00766982"/>
    <w:rsid w:val="007669EE"/>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2F0C"/>
    <w:rsid w:val="00773376"/>
    <w:rsid w:val="0077392D"/>
    <w:rsid w:val="00773C98"/>
    <w:rsid w:val="00773E3E"/>
    <w:rsid w:val="007747E5"/>
    <w:rsid w:val="00774EEB"/>
    <w:rsid w:val="007753D6"/>
    <w:rsid w:val="007755A5"/>
    <w:rsid w:val="0077571D"/>
    <w:rsid w:val="007759C3"/>
    <w:rsid w:val="007763B8"/>
    <w:rsid w:val="0077641A"/>
    <w:rsid w:val="00776A64"/>
    <w:rsid w:val="00776ADF"/>
    <w:rsid w:val="00776C58"/>
    <w:rsid w:val="00776F1B"/>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DE"/>
    <w:rsid w:val="0078329D"/>
    <w:rsid w:val="007832C4"/>
    <w:rsid w:val="00783690"/>
    <w:rsid w:val="00783801"/>
    <w:rsid w:val="007838B7"/>
    <w:rsid w:val="007838D6"/>
    <w:rsid w:val="00783C09"/>
    <w:rsid w:val="00783EBB"/>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5D"/>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74F"/>
    <w:rsid w:val="00791AEA"/>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739"/>
    <w:rsid w:val="0079581E"/>
    <w:rsid w:val="00795C30"/>
    <w:rsid w:val="00795EC4"/>
    <w:rsid w:val="007964C3"/>
    <w:rsid w:val="0079687A"/>
    <w:rsid w:val="00796C23"/>
    <w:rsid w:val="00796C3D"/>
    <w:rsid w:val="00796C84"/>
    <w:rsid w:val="00796EA4"/>
    <w:rsid w:val="00797148"/>
    <w:rsid w:val="00797272"/>
    <w:rsid w:val="00797BC5"/>
    <w:rsid w:val="00797D2E"/>
    <w:rsid w:val="007A01A6"/>
    <w:rsid w:val="007A05FD"/>
    <w:rsid w:val="007A09E6"/>
    <w:rsid w:val="007A1097"/>
    <w:rsid w:val="007A140F"/>
    <w:rsid w:val="007A146A"/>
    <w:rsid w:val="007A1A56"/>
    <w:rsid w:val="007A22B8"/>
    <w:rsid w:val="007A2603"/>
    <w:rsid w:val="007A2C47"/>
    <w:rsid w:val="007A2FA9"/>
    <w:rsid w:val="007A309D"/>
    <w:rsid w:val="007A3485"/>
    <w:rsid w:val="007A38DD"/>
    <w:rsid w:val="007A3903"/>
    <w:rsid w:val="007A3B3F"/>
    <w:rsid w:val="007A402E"/>
    <w:rsid w:val="007A47C6"/>
    <w:rsid w:val="007A4B65"/>
    <w:rsid w:val="007A4BA3"/>
    <w:rsid w:val="007A4C6F"/>
    <w:rsid w:val="007A4DE7"/>
    <w:rsid w:val="007A4E1C"/>
    <w:rsid w:val="007A63BF"/>
    <w:rsid w:val="007A6488"/>
    <w:rsid w:val="007A701A"/>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1F4"/>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10D0"/>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5AC9"/>
    <w:rsid w:val="007C6706"/>
    <w:rsid w:val="007C6777"/>
    <w:rsid w:val="007C6AA2"/>
    <w:rsid w:val="007C6EB3"/>
    <w:rsid w:val="007C6ECA"/>
    <w:rsid w:val="007C7BDE"/>
    <w:rsid w:val="007C7E1E"/>
    <w:rsid w:val="007D00DF"/>
    <w:rsid w:val="007D02A3"/>
    <w:rsid w:val="007D0435"/>
    <w:rsid w:val="007D0603"/>
    <w:rsid w:val="007D082B"/>
    <w:rsid w:val="007D095E"/>
    <w:rsid w:val="007D0C23"/>
    <w:rsid w:val="007D1854"/>
    <w:rsid w:val="007D1C4B"/>
    <w:rsid w:val="007D1D3B"/>
    <w:rsid w:val="007D1F09"/>
    <w:rsid w:val="007D200D"/>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28"/>
    <w:rsid w:val="007D7DE0"/>
    <w:rsid w:val="007D7FEE"/>
    <w:rsid w:val="007E0104"/>
    <w:rsid w:val="007E0718"/>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7B4"/>
    <w:rsid w:val="007E7B22"/>
    <w:rsid w:val="007E7E4B"/>
    <w:rsid w:val="007E7F34"/>
    <w:rsid w:val="007F1A6B"/>
    <w:rsid w:val="007F1D7C"/>
    <w:rsid w:val="007F2545"/>
    <w:rsid w:val="007F26D5"/>
    <w:rsid w:val="007F26DF"/>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63A"/>
    <w:rsid w:val="007F7FB2"/>
    <w:rsid w:val="008000C5"/>
    <w:rsid w:val="00800745"/>
    <w:rsid w:val="0080079F"/>
    <w:rsid w:val="00800C08"/>
    <w:rsid w:val="00801416"/>
    <w:rsid w:val="00801A1F"/>
    <w:rsid w:val="00801BCF"/>
    <w:rsid w:val="00801F39"/>
    <w:rsid w:val="00802595"/>
    <w:rsid w:val="00802698"/>
    <w:rsid w:val="00802711"/>
    <w:rsid w:val="00802741"/>
    <w:rsid w:val="00802A6A"/>
    <w:rsid w:val="00803081"/>
    <w:rsid w:val="00803443"/>
    <w:rsid w:val="008037C4"/>
    <w:rsid w:val="0080394D"/>
    <w:rsid w:val="00803E7F"/>
    <w:rsid w:val="00804202"/>
    <w:rsid w:val="0080475D"/>
    <w:rsid w:val="008049A7"/>
    <w:rsid w:val="00804B47"/>
    <w:rsid w:val="00805563"/>
    <w:rsid w:val="00805D15"/>
    <w:rsid w:val="00805E38"/>
    <w:rsid w:val="0080638B"/>
    <w:rsid w:val="00807076"/>
    <w:rsid w:val="0080709E"/>
    <w:rsid w:val="00807571"/>
    <w:rsid w:val="0080764C"/>
    <w:rsid w:val="00807662"/>
    <w:rsid w:val="00807809"/>
    <w:rsid w:val="008078C4"/>
    <w:rsid w:val="00807AA5"/>
    <w:rsid w:val="00807EA8"/>
    <w:rsid w:val="00807FD2"/>
    <w:rsid w:val="00810061"/>
    <w:rsid w:val="008102DA"/>
    <w:rsid w:val="00810394"/>
    <w:rsid w:val="0081053C"/>
    <w:rsid w:val="00810583"/>
    <w:rsid w:val="00810594"/>
    <w:rsid w:val="00810976"/>
    <w:rsid w:val="00810B9B"/>
    <w:rsid w:val="00810C97"/>
    <w:rsid w:val="00810DB7"/>
    <w:rsid w:val="0081130A"/>
    <w:rsid w:val="008113A3"/>
    <w:rsid w:val="008114B8"/>
    <w:rsid w:val="00811BE4"/>
    <w:rsid w:val="00812003"/>
    <w:rsid w:val="00812471"/>
    <w:rsid w:val="008124D4"/>
    <w:rsid w:val="008125FD"/>
    <w:rsid w:val="00812815"/>
    <w:rsid w:val="00812942"/>
    <w:rsid w:val="00812A2A"/>
    <w:rsid w:val="008130E7"/>
    <w:rsid w:val="008134CB"/>
    <w:rsid w:val="008135A3"/>
    <w:rsid w:val="0081365B"/>
    <w:rsid w:val="00813897"/>
    <w:rsid w:val="00813B7A"/>
    <w:rsid w:val="008141F0"/>
    <w:rsid w:val="008144C5"/>
    <w:rsid w:val="00814C67"/>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5C4"/>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77C"/>
    <w:rsid w:val="00831A6B"/>
    <w:rsid w:val="00831F08"/>
    <w:rsid w:val="00831F50"/>
    <w:rsid w:val="0083212F"/>
    <w:rsid w:val="008321FA"/>
    <w:rsid w:val="008329DB"/>
    <w:rsid w:val="008332B4"/>
    <w:rsid w:val="008334B7"/>
    <w:rsid w:val="008336FF"/>
    <w:rsid w:val="00833D37"/>
    <w:rsid w:val="00833DD1"/>
    <w:rsid w:val="00834526"/>
    <w:rsid w:val="00834719"/>
    <w:rsid w:val="008352BE"/>
    <w:rsid w:val="008355A5"/>
    <w:rsid w:val="0083594F"/>
    <w:rsid w:val="00836250"/>
    <w:rsid w:val="0083644E"/>
    <w:rsid w:val="00836702"/>
    <w:rsid w:val="00836A4F"/>
    <w:rsid w:val="00836DDA"/>
    <w:rsid w:val="00836EF0"/>
    <w:rsid w:val="0083775B"/>
    <w:rsid w:val="00840767"/>
    <w:rsid w:val="00840D81"/>
    <w:rsid w:val="00840DFB"/>
    <w:rsid w:val="00840EEC"/>
    <w:rsid w:val="008411FB"/>
    <w:rsid w:val="00841202"/>
    <w:rsid w:val="00841303"/>
    <w:rsid w:val="00841F95"/>
    <w:rsid w:val="00842269"/>
    <w:rsid w:val="008423CE"/>
    <w:rsid w:val="008428D4"/>
    <w:rsid w:val="0084291E"/>
    <w:rsid w:val="00842D21"/>
    <w:rsid w:val="00843072"/>
    <w:rsid w:val="008432D3"/>
    <w:rsid w:val="008435C2"/>
    <w:rsid w:val="008436A2"/>
    <w:rsid w:val="008445F6"/>
    <w:rsid w:val="008448E9"/>
    <w:rsid w:val="00844B28"/>
    <w:rsid w:val="00844B85"/>
    <w:rsid w:val="00845010"/>
    <w:rsid w:val="0084503F"/>
    <w:rsid w:val="0084589F"/>
    <w:rsid w:val="0084645D"/>
    <w:rsid w:val="0084654E"/>
    <w:rsid w:val="00846560"/>
    <w:rsid w:val="00846810"/>
    <w:rsid w:val="00846AF3"/>
    <w:rsid w:val="00846CDC"/>
    <w:rsid w:val="00846F12"/>
    <w:rsid w:val="00846F26"/>
    <w:rsid w:val="00847067"/>
    <w:rsid w:val="00847A28"/>
    <w:rsid w:val="00850090"/>
    <w:rsid w:val="008500A9"/>
    <w:rsid w:val="0085075E"/>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57B81"/>
    <w:rsid w:val="0086000C"/>
    <w:rsid w:val="008601F2"/>
    <w:rsid w:val="008602BB"/>
    <w:rsid w:val="00860EA0"/>
    <w:rsid w:val="00860F5A"/>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20C"/>
    <w:rsid w:val="0087481D"/>
    <w:rsid w:val="00874B42"/>
    <w:rsid w:val="00874D8C"/>
    <w:rsid w:val="008759AC"/>
    <w:rsid w:val="00875CD3"/>
    <w:rsid w:val="00876BC7"/>
    <w:rsid w:val="00876EAC"/>
    <w:rsid w:val="00877205"/>
    <w:rsid w:val="00877975"/>
    <w:rsid w:val="00880672"/>
    <w:rsid w:val="00880758"/>
    <w:rsid w:val="00880E15"/>
    <w:rsid w:val="008811B0"/>
    <w:rsid w:val="008814CC"/>
    <w:rsid w:val="00881C82"/>
    <w:rsid w:val="00881F0A"/>
    <w:rsid w:val="00882A32"/>
    <w:rsid w:val="00883406"/>
    <w:rsid w:val="00883F73"/>
    <w:rsid w:val="0088426E"/>
    <w:rsid w:val="00884348"/>
    <w:rsid w:val="00884D2F"/>
    <w:rsid w:val="00884DA4"/>
    <w:rsid w:val="008850E8"/>
    <w:rsid w:val="00885159"/>
    <w:rsid w:val="00885267"/>
    <w:rsid w:val="008854C4"/>
    <w:rsid w:val="008858A3"/>
    <w:rsid w:val="00885968"/>
    <w:rsid w:val="00885B2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531"/>
    <w:rsid w:val="008948B8"/>
    <w:rsid w:val="00895015"/>
    <w:rsid w:val="0089550A"/>
    <w:rsid w:val="00895DD3"/>
    <w:rsid w:val="00896414"/>
    <w:rsid w:val="00896F74"/>
    <w:rsid w:val="008978A8"/>
    <w:rsid w:val="00897A8F"/>
    <w:rsid w:val="00897DD8"/>
    <w:rsid w:val="00897E3F"/>
    <w:rsid w:val="00897EE1"/>
    <w:rsid w:val="008A01EF"/>
    <w:rsid w:val="008A0394"/>
    <w:rsid w:val="008A0964"/>
    <w:rsid w:val="008A0AED"/>
    <w:rsid w:val="008A0C32"/>
    <w:rsid w:val="008A0D6A"/>
    <w:rsid w:val="008A0EF7"/>
    <w:rsid w:val="008A1066"/>
    <w:rsid w:val="008A110F"/>
    <w:rsid w:val="008A125A"/>
    <w:rsid w:val="008A125C"/>
    <w:rsid w:val="008A12C6"/>
    <w:rsid w:val="008A19D3"/>
    <w:rsid w:val="008A2952"/>
    <w:rsid w:val="008A296F"/>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83"/>
    <w:rsid w:val="008B1FC0"/>
    <w:rsid w:val="008B1FE2"/>
    <w:rsid w:val="008B2035"/>
    <w:rsid w:val="008B2488"/>
    <w:rsid w:val="008B290C"/>
    <w:rsid w:val="008B3503"/>
    <w:rsid w:val="008B3870"/>
    <w:rsid w:val="008B3CDF"/>
    <w:rsid w:val="008B3EB8"/>
    <w:rsid w:val="008B43D4"/>
    <w:rsid w:val="008B4600"/>
    <w:rsid w:val="008B4D0A"/>
    <w:rsid w:val="008B4D8B"/>
    <w:rsid w:val="008B4FF4"/>
    <w:rsid w:val="008B5BFA"/>
    <w:rsid w:val="008B61AB"/>
    <w:rsid w:val="008B6359"/>
    <w:rsid w:val="008B64BF"/>
    <w:rsid w:val="008B65D8"/>
    <w:rsid w:val="008B6F4B"/>
    <w:rsid w:val="008B72AD"/>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0F5"/>
    <w:rsid w:val="008C39C5"/>
    <w:rsid w:val="008C3C77"/>
    <w:rsid w:val="008C4536"/>
    <w:rsid w:val="008C4692"/>
    <w:rsid w:val="008C4FA6"/>
    <w:rsid w:val="008C4FB4"/>
    <w:rsid w:val="008C513F"/>
    <w:rsid w:val="008C51E3"/>
    <w:rsid w:val="008C52AA"/>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593"/>
    <w:rsid w:val="008D26CC"/>
    <w:rsid w:val="008D30DC"/>
    <w:rsid w:val="008D30FD"/>
    <w:rsid w:val="008D315C"/>
    <w:rsid w:val="008D3196"/>
    <w:rsid w:val="008D3231"/>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0997"/>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2F5"/>
    <w:rsid w:val="008E55E1"/>
    <w:rsid w:val="008E63C6"/>
    <w:rsid w:val="008E6A3D"/>
    <w:rsid w:val="008E6D8A"/>
    <w:rsid w:val="008E77A1"/>
    <w:rsid w:val="008E78E9"/>
    <w:rsid w:val="008E7C9D"/>
    <w:rsid w:val="008E7E33"/>
    <w:rsid w:val="008F01D1"/>
    <w:rsid w:val="008F0554"/>
    <w:rsid w:val="008F06A2"/>
    <w:rsid w:val="008F0B33"/>
    <w:rsid w:val="008F0CD7"/>
    <w:rsid w:val="008F0D5D"/>
    <w:rsid w:val="008F10CE"/>
    <w:rsid w:val="008F15EA"/>
    <w:rsid w:val="008F16D5"/>
    <w:rsid w:val="008F259B"/>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245"/>
    <w:rsid w:val="0090044F"/>
    <w:rsid w:val="00900D1F"/>
    <w:rsid w:val="00901142"/>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9A2"/>
    <w:rsid w:val="00906C3D"/>
    <w:rsid w:val="00907749"/>
    <w:rsid w:val="00907A52"/>
    <w:rsid w:val="009105FB"/>
    <w:rsid w:val="00910716"/>
    <w:rsid w:val="00910751"/>
    <w:rsid w:val="00910990"/>
    <w:rsid w:val="009116AD"/>
    <w:rsid w:val="009116DB"/>
    <w:rsid w:val="00911A16"/>
    <w:rsid w:val="00911B2D"/>
    <w:rsid w:val="00911D99"/>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F57"/>
    <w:rsid w:val="00921039"/>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4F5B"/>
    <w:rsid w:val="009255EB"/>
    <w:rsid w:val="00925652"/>
    <w:rsid w:val="00925EA0"/>
    <w:rsid w:val="009260F5"/>
    <w:rsid w:val="00926150"/>
    <w:rsid w:val="00926221"/>
    <w:rsid w:val="00926B1B"/>
    <w:rsid w:val="00926E41"/>
    <w:rsid w:val="00927A7F"/>
    <w:rsid w:val="00927C36"/>
    <w:rsid w:val="00930297"/>
    <w:rsid w:val="009304ED"/>
    <w:rsid w:val="0093064D"/>
    <w:rsid w:val="00930CD3"/>
    <w:rsid w:val="0093183F"/>
    <w:rsid w:val="00931850"/>
    <w:rsid w:val="00931E19"/>
    <w:rsid w:val="0093220A"/>
    <w:rsid w:val="00932326"/>
    <w:rsid w:val="0093234A"/>
    <w:rsid w:val="009329EE"/>
    <w:rsid w:val="00932B0C"/>
    <w:rsid w:val="00932D34"/>
    <w:rsid w:val="00932DED"/>
    <w:rsid w:val="009331EA"/>
    <w:rsid w:val="009336CF"/>
    <w:rsid w:val="00933732"/>
    <w:rsid w:val="009337C6"/>
    <w:rsid w:val="00933BEE"/>
    <w:rsid w:val="00934640"/>
    <w:rsid w:val="00934665"/>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31BE"/>
    <w:rsid w:val="009435B6"/>
    <w:rsid w:val="00943B5C"/>
    <w:rsid w:val="00944072"/>
    <w:rsid w:val="009445E0"/>
    <w:rsid w:val="00944F33"/>
    <w:rsid w:val="00944FA0"/>
    <w:rsid w:val="0094513E"/>
    <w:rsid w:val="0094554E"/>
    <w:rsid w:val="00945E56"/>
    <w:rsid w:val="0094707D"/>
    <w:rsid w:val="009472D7"/>
    <w:rsid w:val="00947B3D"/>
    <w:rsid w:val="00947F1D"/>
    <w:rsid w:val="0095055C"/>
    <w:rsid w:val="009506F2"/>
    <w:rsid w:val="00950766"/>
    <w:rsid w:val="00950923"/>
    <w:rsid w:val="009510E7"/>
    <w:rsid w:val="0095134A"/>
    <w:rsid w:val="0095142B"/>
    <w:rsid w:val="00951434"/>
    <w:rsid w:val="00951494"/>
    <w:rsid w:val="00951782"/>
    <w:rsid w:val="009517F4"/>
    <w:rsid w:val="00951CE6"/>
    <w:rsid w:val="00951D98"/>
    <w:rsid w:val="009522DF"/>
    <w:rsid w:val="009523EA"/>
    <w:rsid w:val="0095266F"/>
    <w:rsid w:val="00952B9C"/>
    <w:rsid w:val="009536CB"/>
    <w:rsid w:val="00953E72"/>
    <w:rsid w:val="00953F59"/>
    <w:rsid w:val="00954751"/>
    <w:rsid w:val="00954AD6"/>
    <w:rsid w:val="00954CD6"/>
    <w:rsid w:val="00954D1C"/>
    <w:rsid w:val="00954E80"/>
    <w:rsid w:val="00954ED4"/>
    <w:rsid w:val="009557CE"/>
    <w:rsid w:val="0095591B"/>
    <w:rsid w:val="00955B2B"/>
    <w:rsid w:val="00955D3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84F"/>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82B"/>
    <w:rsid w:val="00963DD1"/>
    <w:rsid w:val="0096411E"/>
    <w:rsid w:val="0096416C"/>
    <w:rsid w:val="00964A75"/>
    <w:rsid w:val="0096535C"/>
    <w:rsid w:val="00965710"/>
    <w:rsid w:val="009658AB"/>
    <w:rsid w:val="00965BD5"/>
    <w:rsid w:val="00965C39"/>
    <w:rsid w:val="00965CE0"/>
    <w:rsid w:val="00965E31"/>
    <w:rsid w:val="00966936"/>
    <w:rsid w:val="00966A50"/>
    <w:rsid w:val="00966CA6"/>
    <w:rsid w:val="00966ED7"/>
    <w:rsid w:val="00967ADB"/>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6B89"/>
    <w:rsid w:val="00977318"/>
    <w:rsid w:val="0097757C"/>
    <w:rsid w:val="0098053B"/>
    <w:rsid w:val="009807C6"/>
    <w:rsid w:val="00980ACA"/>
    <w:rsid w:val="00980F14"/>
    <w:rsid w:val="0098125C"/>
    <w:rsid w:val="0098146B"/>
    <w:rsid w:val="00981877"/>
    <w:rsid w:val="009828BD"/>
    <w:rsid w:val="009829FD"/>
    <w:rsid w:val="00982A6F"/>
    <w:rsid w:val="00982F90"/>
    <w:rsid w:val="00983984"/>
    <w:rsid w:val="00983BA8"/>
    <w:rsid w:val="00983C3B"/>
    <w:rsid w:val="00984D55"/>
    <w:rsid w:val="00984DFF"/>
    <w:rsid w:val="0098555E"/>
    <w:rsid w:val="009856E1"/>
    <w:rsid w:val="009857FB"/>
    <w:rsid w:val="00985EBE"/>
    <w:rsid w:val="00986423"/>
    <w:rsid w:val="009866B2"/>
    <w:rsid w:val="00986D0E"/>
    <w:rsid w:val="00986E15"/>
    <w:rsid w:val="00986F12"/>
    <w:rsid w:val="009871C5"/>
    <w:rsid w:val="0098742C"/>
    <w:rsid w:val="0098765F"/>
    <w:rsid w:val="00987688"/>
    <w:rsid w:val="00987A47"/>
    <w:rsid w:val="00987DFA"/>
    <w:rsid w:val="009900E6"/>
    <w:rsid w:val="009909F5"/>
    <w:rsid w:val="00990B6D"/>
    <w:rsid w:val="00990DDE"/>
    <w:rsid w:val="00991123"/>
    <w:rsid w:val="0099117B"/>
    <w:rsid w:val="00991550"/>
    <w:rsid w:val="0099181B"/>
    <w:rsid w:val="00992164"/>
    <w:rsid w:val="00992BF3"/>
    <w:rsid w:val="00992FD0"/>
    <w:rsid w:val="00993756"/>
    <w:rsid w:val="00993ACA"/>
    <w:rsid w:val="00993DAE"/>
    <w:rsid w:val="009942BA"/>
    <w:rsid w:val="0099462D"/>
    <w:rsid w:val="00994791"/>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01"/>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98"/>
    <w:rsid w:val="009B0ED2"/>
    <w:rsid w:val="009B0F6A"/>
    <w:rsid w:val="009B129D"/>
    <w:rsid w:val="009B1335"/>
    <w:rsid w:val="009B14D7"/>
    <w:rsid w:val="009B14EB"/>
    <w:rsid w:val="009B1665"/>
    <w:rsid w:val="009B241F"/>
    <w:rsid w:val="009B27B5"/>
    <w:rsid w:val="009B31D6"/>
    <w:rsid w:val="009B3737"/>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960"/>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1F4"/>
    <w:rsid w:val="009C34F2"/>
    <w:rsid w:val="009C3555"/>
    <w:rsid w:val="009C3562"/>
    <w:rsid w:val="009C379A"/>
    <w:rsid w:val="009C37C7"/>
    <w:rsid w:val="009C38A5"/>
    <w:rsid w:val="009C3936"/>
    <w:rsid w:val="009C46BD"/>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BCC"/>
    <w:rsid w:val="009D0E38"/>
    <w:rsid w:val="009D0E99"/>
    <w:rsid w:val="009D0F7A"/>
    <w:rsid w:val="009D1640"/>
    <w:rsid w:val="009D1A2B"/>
    <w:rsid w:val="009D244A"/>
    <w:rsid w:val="009D27D6"/>
    <w:rsid w:val="009D2A17"/>
    <w:rsid w:val="009D3510"/>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61C"/>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5F49"/>
    <w:rsid w:val="009F61A9"/>
    <w:rsid w:val="009F68BB"/>
    <w:rsid w:val="009F6F55"/>
    <w:rsid w:val="009F71DE"/>
    <w:rsid w:val="009F7316"/>
    <w:rsid w:val="009F7423"/>
    <w:rsid w:val="009F7B97"/>
    <w:rsid w:val="00A00531"/>
    <w:rsid w:val="00A014C6"/>
    <w:rsid w:val="00A01DCD"/>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B58"/>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688"/>
    <w:rsid w:val="00A159CE"/>
    <w:rsid w:val="00A16110"/>
    <w:rsid w:val="00A16447"/>
    <w:rsid w:val="00A16714"/>
    <w:rsid w:val="00A16AB7"/>
    <w:rsid w:val="00A16B92"/>
    <w:rsid w:val="00A17238"/>
    <w:rsid w:val="00A1747D"/>
    <w:rsid w:val="00A17AB7"/>
    <w:rsid w:val="00A17C58"/>
    <w:rsid w:val="00A17CDF"/>
    <w:rsid w:val="00A17DD5"/>
    <w:rsid w:val="00A208AA"/>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053"/>
    <w:rsid w:val="00A2512F"/>
    <w:rsid w:val="00A2520C"/>
    <w:rsid w:val="00A253D5"/>
    <w:rsid w:val="00A25844"/>
    <w:rsid w:val="00A25A01"/>
    <w:rsid w:val="00A25B4B"/>
    <w:rsid w:val="00A25DA6"/>
    <w:rsid w:val="00A25FF6"/>
    <w:rsid w:val="00A260D7"/>
    <w:rsid w:val="00A26164"/>
    <w:rsid w:val="00A262BB"/>
    <w:rsid w:val="00A26603"/>
    <w:rsid w:val="00A269D4"/>
    <w:rsid w:val="00A26A56"/>
    <w:rsid w:val="00A26AF5"/>
    <w:rsid w:val="00A26BCA"/>
    <w:rsid w:val="00A26E4A"/>
    <w:rsid w:val="00A275DF"/>
    <w:rsid w:val="00A278A4"/>
    <w:rsid w:val="00A27A41"/>
    <w:rsid w:val="00A3009A"/>
    <w:rsid w:val="00A3084E"/>
    <w:rsid w:val="00A30995"/>
    <w:rsid w:val="00A30A4D"/>
    <w:rsid w:val="00A30ABB"/>
    <w:rsid w:val="00A311E7"/>
    <w:rsid w:val="00A3137B"/>
    <w:rsid w:val="00A31534"/>
    <w:rsid w:val="00A31BA7"/>
    <w:rsid w:val="00A31FF7"/>
    <w:rsid w:val="00A32357"/>
    <w:rsid w:val="00A324D5"/>
    <w:rsid w:val="00A3254C"/>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108"/>
    <w:rsid w:val="00A41907"/>
    <w:rsid w:val="00A41996"/>
    <w:rsid w:val="00A41AE6"/>
    <w:rsid w:val="00A41C3C"/>
    <w:rsid w:val="00A42B8E"/>
    <w:rsid w:val="00A42DF0"/>
    <w:rsid w:val="00A43557"/>
    <w:rsid w:val="00A4361D"/>
    <w:rsid w:val="00A436C4"/>
    <w:rsid w:val="00A4383E"/>
    <w:rsid w:val="00A4399E"/>
    <w:rsid w:val="00A43AC9"/>
    <w:rsid w:val="00A44135"/>
    <w:rsid w:val="00A4454A"/>
    <w:rsid w:val="00A44603"/>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0D81"/>
    <w:rsid w:val="00A51361"/>
    <w:rsid w:val="00A51872"/>
    <w:rsid w:val="00A51A9F"/>
    <w:rsid w:val="00A52470"/>
    <w:rsid w:val="00A5290F"/>
    <w:rsid w:val="00A52E7D"/>
    <w:rsid w:val="00A53095"/>
    <w:rsid w:val="00A5321D"/>
    <w:rsid w:val="00A53CEB"/>
    <w:rsid w:val="00A53D7F"/>
    <w:rsid w:val="00A53E52"/>
    <w:rsid w:val="00A53EAB"/>
    <w:rsid w:val="00A54248"/>
    <w:rsid w:val="00A54895"/>
    <w:rsid w:val="00A54972"/>
    <w:rsid w:val="00A54C4A"/>
    <w:rsid w:val="00A55099"/>
    <w:rsid w:val="00A551BD"/>
    <w:rsid w:val="00A553C8"/>
    <w:rsid w:val="00A5581C"/>
    <w:rsid w:val="00A55868"/>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CD4"/>
    <w:rsid w:val="00A61DDD"/>
    <w:rsid w:val="00A62811"/>
    <w:rsid w:val="00A631C8"/>
    <w:rsid w:val="00A63E8C"/>
    <w:rsid w:val="00A63EEE"/>
    <w:rsid w:val="00A64417"/>
    <w:rsid w:val="00A646E2"/>
    <w:rsid w:val="00A64C9F"/>
    <w:rsid w:val="00A653F3"/>
    <w:rsid w:val="00A65AB2"/>
    <w:rsid w:val="00A665C7"/>
    <w:rsid w:val="00A66C93"/>
    <w:rsid w:val="00A66F00"/>
    <w:rsid w:val="00A67702"/>
    <w:rsid w:val="00A67E3F"/>
    <w:rsid w:val="00A70ECB"/>
    <w:rsid w:val="00A70F74"/>
    <w:rsid w:val="00A712F7"/>
    <w:rsid w:val="00A71437"/>
    <w:rsid w:val="00A7235A"/>
    <w:rsid w:val="00A72531"/>
    <w:rsid w:val="00A726D3"/>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81F"/>
    <w:rsid w:val="00A76EC8"/>
    <w:rsid w:val="00A774B8"/>
    <w:rsid w:val="00A775A3"/>
    <w:rsid w:val="00A77C0D"/>
    <w:rsid w:val="00A77FED"/>
    <w:rsid w:val="00A8050C"/>
    <w:rsid w:val="00A80817"/>
    <w:rsid w:val="00A809BE"/>
    <w:rsid w:val="00A80B1C"/>
    <w:rsid w:val="00A80D04"/>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8B"/>
    <w:rsid w:val="00A915DE"/>
    <w:rsid w:val="00A919D6"/>
    <w:rsid w:val="00A91DA2"/>
    <w:rsid w:val="00A92200"/>
    <w:rsid w:val="00A9386C"/>
    <w:rsid w:val="00A93932"/>
    <w:rsid w:val="00A93E28"/>
    <w:rsid w:val="00A93F4B"/>
    <w:rsid w:val="00A93FC2"/>
    <w:rsid w:val="00A94123"/>
    <w:rsid w:val="00A942BA"/>
    <w:rsid w:val="00A949D2"/>
    <w:rsid w:val="00A9551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63E"/>
    <w:rsid w:val="00AA1768"/>
    <w:rsid w:val="00AA17E6"/>
    <w:rsid w:val="00AA1AA6"/>
    <w:rsid w:val="00AA1AAC"/>
    <w:rsid w:val="00AA1E7C"/>
    <w:rsid w:val="00AA1F09"/>
    <w:rsid w:val="00AA21C0"/>
    <w:rsid w:val="00AA23E2"/>
    <w:rsid w:val="00AA24BA"/>
    <w:rsid w:val="00AA2B8F"/>
    <w:rsid w:val="00AA2C74"/>
    <w:rsid w:val="00AA2D08"/>
    <w:rsid w:val="00AA2F3B"/>
    <w:rsid w:val="00AA34E3"/>
    <w:rsid w:val="00AA3625"/>
    <w:rsid w:val="00AA3C21"/>
    <w:rsid w:val="00AA3DD9"/>
    <w:rsid w:val="00AA4173"/>
    <w:rsid w:val="00AA4186"/>
    <w:rsid w:val="00AA4306"/>
    <w:rsid w:val="00AA432B"/>
    <w:rsid w:val="00AA43E8"/>
    <w:rsid w:val="00AA44B1"/>
    <w:rsid w:val="00AA4A49"/>
    <w:rsid w:val="00AA4BE4"/>
    <w:rsid w:val="00AA4D3E"/>
    <w:rsid w:val="00AA538F"/>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A26"/>
    <w:rsid w:val="00AB3BD5"/>
    <w:rsid w:val="00AB3C26"/>
    <w:rsid w:val="00AB4154"/>
    <w:rsid w:val="00AB4171"/>
    <w:rsid w:val="00AB48D3"/>
    <w:rsid w:val="00AB4979"/>
    <w:rsid w:val="00AB4A5C"/>
    <w:rsid w:val="00AB4BFA"/>
    <w:rsid w:val="00AB52DB"/>
    <w:rsid w:val="00AB5365"/>
    <w:rsid w:val="00AB56EB"/>
    <w:rsid w:val="00AB5AAB"/>
    <w:rsid w:val="00AB5C7E"/>
    <w:rsid w:val="00AB62DB"/>
    <w:rsid w:val="00AB644B"/>
    <w:rsid w:val="00AB6775"/>
    <w:rsid w:val="00AB6788"/>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1FD"/>
    <w:rsid w:val="00AC533C"/>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732"/>
    <w:rsid w:val="00AD49FA"/>
    <w:rsid w:val="00AD4C26"/>
    <w:rsid w:val="00AD52BD"/>
    <w:rsid w:val="00AD5DB5"/>
    <w:rsid w:val="00AD67D6"/>
    <w:rsid w:val="00AD6B3E"/>
    <w:rsid w:val="00AD70E2"/>
    <w:rsid w:val="00AD7588"/>
    <w:rsid w:val="00AD7C28"/>
    <w:rsid w:val="00AD7C88"/>
    <w:rsid w:val="00AE0962"/>
    <w:rsid w:val="00AE0A91"/>
    <w:rsid w:val="00AE0FCB"/>
    <w:rsid w:val="00AE16DC"/>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5C7"/>
    <w:rsid w:val="00AF4964"/>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0F8"/>
    <w:rsid w:val="00B06117"/>
    <w:rsid w:val="00B06278"/>
    <w:rsid w:val="00B069A8"/>
    <w:rsid w:val="00B06ADB"/>
    <w:rsid w:val="00B06CC6"/>
    <w:rsid w:val="00B06E1B"/>
    <w:rsid w:val="00B070B9"/>
    <w:rsid w:val="00B075AD"/>
    <w:rsid w:val="00B076C4"/>
    <w:rsid w:val="00B0787B"/>
    <w:rsid w:val="00B07891"/>
    <w:rsid w:val="00B07980"/>
    <w:rsid w:val="00B07B63"/>
    <w:rsid w:val="00B07DA6"/>
    <w:rsid w:val="00B10795"/>
    <w:rsid w:val="00B10956"/>
    <w:rsid w:val="00B10E0B"/>
    <w:rsid w:val="00B11876"/>
    <w:rsid w:val="00B120C0"/>
    <w:rsid w:val="00B124BB"/>
    <w:rsid w:val="00B125A6"/>
    <w:rsid w:val="00B12647"/>
    <w:rsid w:val="00B1287F"/>
    <w:rsid w:val="00B12922"/>
    <w:rsid w:val="00B12BBF"/>
    <w:rsid w:val="00B12D51"/>
    <w:rsid w:val="00B12F5A"/>
    <w:rsid w:val="00B1392B"/>
    <w:rsid w:val="00B13AF4"/>
    <w:rsid w:val="00B13F63"/>
    <w:rsid w:val="00B14196"/>
    <w:rsid w:val="00B1487F"/>
    <w:rsid w:val="00B148AE"/>
    <w:rsid w:val="00B14921"/>
    <w:rsid w:val="00B14E80"/>
    <w:rsid w:val="00B1501A"/>
    <w:rsid w:val="00B15073"/>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702"/>
    <w:rsid w:val="00B20DA0"/>
    <w:rsid w:val="00B20DB6"/>
    <w:rsid w:val="00B21420"/>
    <w:rsid w:val="00B2149A"/>
    <w:rsid w:val="00B2158E"/>
    <w:rsid w:val="00B21FAC"/>
    <w:rsid w:val="00B220AD"/>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4950"/>
    <w:rsid w:val="00B34C5B"/>
    <w:rsid w:val="00B353BF"/>
    <w:rsid w:val="00B35C30"/>
    <w:rsid w:val="00B36423"/>
    <w:rsid w:val="00B3655F"/>
    <w:rsid w:val="00B36FC7"/>
    <w:rsid w:val="00B37033"/>
    <w:rsid w:val="00B370F3"/>
    <w:rsid w:val="00B37267"/>
    <w:rsid w:val="00B37B74"/>
    <w:rsid w:val="00B37BA4"/>
    <w:rsid w:val="00B4072C"/>
    <w:rsid w:val="00B4095A"/>
    <w:rsid w:val="00B40BBE"/>
    <w:rsid w:val="00B40CAF"/>
    <w:rsid w:val="00B40D2F"/>
    <w:rsid w:val="00B4139F"/>
    <w:rsid w:val="00B42305"/>
    <w:rsid w:val="00B429BA"/>
    <w:rsid w:val="00B42D85"/>
    <w:rsid w:val="00B42E79"/>
    <w:rsid w:val="00B433DE"/>
    <w:rsid w:val="00B4369C"/>
    <w:rsid w:val="00B437BB"/>
    <w:rsid w:val="00B43EE3"/>
    <w:rsid w:val="00B44444"/>
    <w:rsid w:val="00B44458"/>
    <w:rsid w:val="00B44A2B"/>
    <w:rsid w:val="00B4516E"/>
    <w:rsid w:val="00B45389"/>
    <w:rsid w:val="00B457E2"/>
    <w:rsid w:val="00B458C2"/>
    <w:rsid w:val="00B4690A"/>
    <w:rsid w:val="00B4717F"/>
    <w:rsid w:val="00B471A1"/>
    <w:rsid w:val="00B4780B"/>
    <w:rsid w:val="00B47AF6"/>
    <w:rsid w:val="00B50F32"/>
    <w:rsid w:val="00B512C9"/>
    <w:rsid w:val="00B51F94"/>
    <w:rsid w:val="00B52051"/>
    <w:rsid w:val="00B5221E"/>
    <w:rsid w:val="00B5223B"/>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373"/>
    <w:rsid w:val="00B56CB8"/>
    <w:rsid w:val="00B56D3B"/>
    <w:rsid w:val="00B56E85"/>
    <w:rsid w:val="00B56FB8"/>
    <w:rsid w:val="00B57622"/>
    <w:rsid w:val="00B57901"/>
    <w:rsid w:val="00B57B00"/>
    <w:rsid w:val="00B57BDF"/>
    <w:rsid w:val="00B57E69"/>
    <w:rsid w:val="00B601AA"/>
    <w:rsid w:val="00B60C53"/>
    <w:rsid w:val="00B60DC1"/>
    <w:rsid w:val="00B60F9D"/>
    <w:rsid w:val="00B61B16"/>
    <w:rsid w:val="00B61E8D"/>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4EF"/>
    <w:rsid w:val="00B66B90"/>
    <w:rsid w:val="00B670BF"/>
    <w:rsid w:val="00B670E1"/>
    <w:rsid w:val="00B674B6"/>
    <w:rsid w:val="00B67A58"/>
    <w:rsid w:val="00B67E45"/>
    <w:rsid w:val="00B7023B"/>
    <w:rsid w:val="00B702FF"/>
    <w:rsid w:val="00B70436"/>
    <w:rsid w:val="00B70562"/>
    <w:rsid w:val="00B70D3B"/>
    <w:rsid w:val="00B71320"/>
    <w:rsid w:val="00B714CB"/>
    <w:rsid w:val="00B71A99"/>
    <w:rsid w:val="00B71B3E"/>
    <w:rsid w:val="00B71BB3"/>
    <w:rsid w:val="00B7210F"/>
    <w:rsid w:val="00B72791"/>
    <w:rsid w:val="00B73397"/>
    <w:rsid w:val="00B7377D"/>
    <w:rsid w:val="00B739CC"/>
    <w:rsid w:val="00B740EF"/>
    <w:rsid w:val="00B74861"/>
    <w:rsid w:val="00B74B2A"/>
    <w:rsid w:val="00B74B7C"/>
    <w:rsid w:val="00B74C12"/>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4F"/>
    <w:rsid w:val="00B81EC8"/>
    <w:rsid w:val="00B82061"/>
    <w:rsid w:val="00B8248A"/>
    <w:rsid w:val="00B82664"/>
    <w:rsid w:val="00B82A0A"/>
    <w:rsid w:val="00B82EA0"/>
    <w:rsid w:val="00B83024"/>
    <w:rsid w:val="00B835F7"/>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05B"/>
    <w:rsid w:val="00B9168D"/>
    <w:rsid w:val="00B9172A"/>
    <w:rsid w:val="00B91993"/>
    <w:rsid w:val="00B927B5"/>
    <w:rsid w:val="00B92A23"/>
    <w:rsid w:val="00B92BF0"/>
    <w:rsid w:val="00B9359C"/>
    <w:rsid w:val="00B93856"/>
    <w:rsid w:val="00B93B79"/>
    <w:rsid w:val="00B93FEB"/>
    <w:rsid w:val="00B942BD"/>
    <w:rsid w:val="00B94515"/>
    <w:rsid w:val="00B945E4"/>
    <w:rsid w:val="00B94A33"/>
    <w:rsid w:val="00B94F63"/>
    <w:rsid w:val="00B95327"/>
    <w:rsid w:val="00B9560D"/>
    <w:rsid w:val="00B95812"/>
    <w:rsid w:val="00B95B7D"/>
    <w:rsid w:val="00B95D29"/>
    <w:rsid w:val="00B95D37"/>
    <w:rsid w:val="00B9611C"/>
    <w:rsid w:val="00B966A1"/>
    <w:rsid w:val="00B968D3"/>
    <w:rsid w:val="00B97493"/>
    <w:rsid w:val="00B9762E"/>
    <w:rsid w:val="00B97A26"/>
    <w:rsid w:val="00B97BAB"/>
    <w:rsid w:val="00B97C5F"/>
    <w:rsid w:val="00BA0307"/>
    <w:rsid w:val="00BA0441"/>
    <w:rsid w:val="00BA0612"/>
    <w:rsid w:val="00BA0760"/>
    <w:rsid w:val="00BA0E6D"/>
    <w:rsid w:val="00BA1061"/>
    <w:rsid w:val="00BA12BF"/>
    <w:rsid w:val="00BA1490"/>
    <w:rsid w:val="00BA156B"/>
    <w:rsid w:val="00BA1605"/>
    <w:rsid w:val="00BA287A"/>
    <w:rsid w:val="00BA2A44"/>
    <w:rsid w:val="00BA2DDF"/>
    <w:rsid w:val="00BA35C3"/>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A7FB4"/>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863"/>
    <w:rsid w:val="00BB4B4F"/>
    <w:rsid w:val="00BB5913"/>
    <w:rsid w:val="00BB5B40"/>
    <w:rsid w:val="00BB5B68"/>
    <w:rsid w:val="00BB5B8A"/>
    <w:rsid w:val="00BB6023"/>
    <w:rsid w:val="00BB6DCE"/>
    <w:rsid w:val="00BB766C"/>
    <w:rsid w:val="00BB7EEF"/>
    <w:rsid w:val="00BB7F2B"/>
    <w:rsid w:val="00BC0244"/>
    <w:rsid w:val="00BC0602"/>
    <w:rsid w:val="00BC0DC9"/>
    <w:rsid w:val="00BC0FB0"/>
    <w:rsid w:val="00BC15FC"/>
    <w:rsid w:val="00BC1BF9"/>
    <w:rsid w:val="00BC1F14"/>
    <w:rsid w:val="00BC2134"/>
    <w:rsid w:val="00BC268B"/>
    <w:rsid w:val="00BC29BB"/>
    <w:rsid w:val="00BC2C8D"/>
    <w:rsid w:val="00BC3F46"/>
    <w:rsid w:val="00BC4020"/>
    <w:rsid w:val="00BC49CD"/>
    <w:rsid w:val="00BC5478"/>
    <w:rsid w:val="00BC54EF"/>
    <w:rsid w:val="00BC5557"/>
    <w:rsid w:val="00BC559A"/>
    <w:rsid w:val="00BC5672"/>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D10"/>
    <w:rsid w:val="00BD1ED5"/>
    <w:rsid w:val="00BD1F97"/>
    <w:rsid w:val="00BD225E"/>
    <w:rsid w:val="00BD22E1"/>
    <w:rsid w:val="00BD23E9"/>
    <w:rsid w:val="00BD2AF3"/>
    <w:rsid w:val="00BD2EB6"/>
    <w:rsid w:val="00BD2F45"/>
    <w:rsid w:val="00BD34BB"/>
    <w:rsid w:val="00BD356A"/>
    <w:rsid w:val="00BD36AC"/>
    <w:rsid w:val="00BD3C47"/>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1D"/>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391"/>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6F"/>
    <w:rsid w:val="00C014C4"/>
    <w:rsid w:val="00C021E6"/>
    <w:rsid w:val="00C0287D"/>
    <w:rsid w:val="00C03D86"/>
    <w:rsid w:val="00C04246"/>
    <w:rsid w:val="00C047B0"/>
    <w:rsid w:val="00C0483E"/>
    <w:rsid w:val="00C04B35"/>
    <w:rsid w:val="00C04C50"/>
    <w:rsid w:val="00C04DEA"/>
    <w:rsid w:val="00C04F72"/>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749"/>
    <w:rsid w:val="00C25915"/>
    <w:rsid w:val="00C25B9A"/>
    <w:rsid w:val="00C25C9E"/>
    <w:rsid w:val="00C25FC0"/>
    <w:rsid w:val="00C26C8E"/>
    <w:rsid w:val="00C26D68"/>
    <w:rsid w:val="00C270CC"/>
    <w:rsid w:val="00C2728B"/>
    <w:rsid w:val="00C272C4"/>
    <w:rsid w:val="00C27473"/>
    <w:rsid w:val="00C2772A"/>
    <w:rsid w:val="00C30987"/>
    <w:rsid w:val="00C30AFA"/>
    <w:rsid w:val="00C30B58"/>
    <w:rsid w:val="00C30CAB"/>
    <w:rsid w:val="00C30D8E"/>
    <w:rsid w:val="00C30DEB"/>
    <w:rsid w:val="00C30E89"/>
    <w:rsid w:val="00C31358"/>
    <w:rsid w:val="00C31439"/>
    <w:rsid w:val="00C31C12"/>
    <w:rsid w:val="00C31E6E"/>
    <w:rsid w:val="00C324FF"/>
    <w:rsid w:val="00C32704"/>
    <w:rsid w:val="00C328D3"/>
    <w:rsid w:val="00C32A12"/>
    <w:rsid w:val="00C32AF1"/>
    <w:rsid w:val="00C3322C"/>
    <w:rsid w:val="00C3344C"/>
    <w:rsid w:val="00C34145"/>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A87"/>
    <w:rsid w:val="00C42B7C"/>
    <w:rsid w:val="00C42CCE"/>
    <w:rsid w:val="00C42D07"/>
    <w:rsid w:val="00C434B3"/>
    <w:rsid w:val="00C4364B"/>
    <w:rsid w:val="00C43C5C"/>
    <w:rsid w:val="00C43E12"/>
    <w:rsid w:val="00C443F2"/>
    <w:rsid w:val="00C4484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321"/>
    <w:rsid w:val="00C515D3"/>
    <w:rsid w:val="00C5195F"/>
    <w:rsid w:val="00C51B84"/>
    <w:rsid w:val="00C51D36"/>
    <w:rsid w:val="00C52067"/>
    <w:rsid w:val="00C52634"/>
    <w:rsid w:val="00C52B31"/>
    <w:rsid w:val="00C5304D"/>
    <w:rsid w:val="00C532A1"/>
    <w:rsid w:val="00C537ED"/>
    <w:rsid w:val="00C53AA8"/>
    <w:rsid w:val="00C5431F"/>
    <w:rsid w:val="00C5456C"/>
    <w:rsid w:val="00C54994"/>
    <w:rsid w:val="00C54DE2"/>
    <w:rsid w:val="00C5546B"/>
    <w:rsid w:val="00C557C0"/>
    <w:rsid w:val="00C55950"/>
    <w:rsid w:val="00C56020"/>
    <w:rsid w:val="00C565FD"/>
    <w:rsid w:val="00C575DC"/>
    <w:rsid w:val="00C57717"/>
    <w:rsid w:val="00C57882"/>
    <w:rsid w:val="00C579C8"/>
    <w:rsid w:val="00C57C36"/>
    <w:rsid w:val="00C6039F"/>
    <w:rsid w:val="00C60451"/>
    <w:rsid w:val="00C60670"/>
    <w:rsid w:val="00C60737"/>
    <w:rsid w:val="00C61257"/>
    <w:rsid w:val="00C6136E"/>
    <w:rsid w:val="00C616CD"/>
    <w:rsid w:val="00C617D8"/>
    <w:rsid w:val="00C61968"/>
    <w:rsid w:val="00C61B60"/>
    <w:rsid w:val="00C6207C"/>
    <w:rsid w:val="00C6361D"/>
    <w:rsid w:val="00C63817"/>
    <w:rsid w:val="00C63B82"/>
    <w:rsid w:val="00C63B87"/>
    <w:rsid w:val="00C63BB3"/>
    <w:rsid w:val="00C63C0B"/>
    <w:rsid w:val="00C6404D"/>
    <w:rsid w:val="00C6414E"/>
    <w:rsid w:val="00C642B6"/>
    <w:rsid w:val="00C6479D"/>
    <w:rsid w:val="00C64EA9"/>
    <w:rsid w:val="00C65140"/>
    <w:rsid w:val="00C652F1"/>
    <w:rsid w:val="00C65D22"/>
    <w:rsid w:val="00C65E23"/>
    <w:rsid w:val="00C6660B"/>
    <w:rsid w:val="00C666DD"/>
    <w:rsid w:val="00C66840"/>
    <w:rsid w:val="00C66CF0"/>
    <w:rsid w:val="00C67029"/>
    <w:rsid w:val="00C6714B"/>
    <w:rsid w:val="00C678DC"/>
    <w:rsid w:val="00C67C2A"/>
    <w:rsid w:val="00C67C61"/>
    <w:rsid w:val="00C701F5"/>
    <w:rsid w:val="00C70382"/>
    <w:rsid w:val="00C705E4"/>
    <w:rsid w:val="00C70786"/>
    <w:rsid w:val="00C7081B"/>
    <w:rsid w:val="00C70FF3"/>
    <w:rsid w:val="00C715E0"/>
    <w:rsid w:val="00C718F7"/>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8F"/>
    <w:rsid w:val="00C765D7"/>
    <w:rsid w:val="00C766E2"/>
    <w:rsid w:val="00C775F2"/>
    <w:rsid w:val="00C77B9A"/>
    <w:rsid w:val="00C80C33"/>
    <w:rsid w:val="00C80F2F"/>
    <w:rsid w:val="00C83B22"/>
    <w:rsid w:val="00C845B7"/>
    <w:rsid w:val="00C858A1"/>
    <w:rsid w:val="00C85C92"/>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3C8C"/>
    <w:rsid w:val="00C94090"/>
    <w:rsid w:val="00C949F5"/>
    <w:rsid w:val="00C94FBE"/>
    <w:rsid w:val="00C95433"/>
    <w:rsid w:val="00C955D1"/>
    <w:rsid w:val="00C95919"/>
    <w:rsid w:val="00C95AB8"/>
    <w:rsid w:val="00C95F0C"/>
    <w:rsid w:val="00C95F88"/>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D0E"/>
    <w:rsid w:val="00CA2FBC"/>
    <w:rsid w:val="00CA3229"/>
    <w:rsid w:val="00CA34F9"/>
    <w:rsid w:val="00CA4545"/>
    <w:rsid w:val="00CA488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33"/>
    <w:rsid w:val="00CB77DC"/>
    <w:rsid w:val="00CB7E6A"/>
    <w:rsid w:val="00CB7ECA"/>
    <w:rsid w:val="00CB7F5E"/>
    <w:rsid w:val="00CC0119"/>
    <w:rsid w:val="00CC091C"/>
    <w:rsid w:val="00CC0B00"/>
    <w:rsid w:val="00CC10BA"/>
    <w:rsid w:val="00CC11E1"/>
    <w:rsid w:val="00CC1266"/>
    <w:rsid w:val="00CC137E"/>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0625"/>
    <w:rsid w:val="00CD102F"/>
    <w:rsid w:val="00CD1112"/>
    <w:rsid w:val="00CD1842"/>
    <w:rsid w:val="00CD1A91"/>
    <w:rsid w:val="00CD1F29"/>
    <w:rsid w:val="00CD2779"/>
    <w:rsid w:val="00CD2E4B"/>
    <w:rsid w:val="00CD3CE5"/>
    <w:rsid w:val="00CD3CEB"/>
    <w:rsid w:val="00CD420A"/>
    <w:rsid w:val="00CD42BB"/>
    <w:rsid w:val="00CD42D7"/>
    <w:rsid w:val="00CD4463"/>
    <w:rsid w:val="00CD490E"/>
    <w:rsid w:val="00CD5284"/>
    <w:rsid w:val="00CD5946"/>
    <w:rsid w:val="00CD5BD2"/>
    <w:rsid w:val="00CD5F36"/>
    <w:rsid w:val="00CD6279"/>
    <w:rsid w:val="00CD63DA"/>
    <w:rsid w:val="00CD6A39"/>
    <w:rsid w:val="00CD6B96"/>
    <w:rsid w:val="00CD6CA0"/>
    <w:rsid w:val="00CD7156"/>
    <w:rsid w:val="00CD71C6"/>
    <w:rsid w:val="00CD7BBA"/>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3E7B"/>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7E9"/>
    <w:rsid w:val="00CF5C7A"/>
    <w:rsid w:val="00CF603F"/>
    <w:rsid w:val="00CF67DF"/>
    <w:rsid w:val="00CF68B1"/>
    <w:rsid w:val="00CF6922"/>
    <w:rsid w:val="00CF6C84"/>
    <w:rsid w:val="00CF6D76"/>
    <w:rsid w:val="00CF6FC4"/>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8DD"/>
    <w:rsid w:val="00D05416"/>
    <w:rsid w:val="00D05502"/>
    <w:rsid w:val="00D056C0"/>
    <w:rsid w:val="00D05892"/>
    <w:rsid w:val="00D058A3"/>
    <w:rsid w:val="00D05C75"/>
    <w:rsid w:val="00D05F26"/>
    <w:rsid w:val="00D06063"/>
    <w:rsid w:val="00D06084"/>
    <w:rsid w:val="00D06131"/>
    <w:rsid w:val="00D063E2"/>
    <w:rsid w:val="00D07346"/>
    <w:rsid w:val="00D0757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2C1F"/>
    <w:rsid w:val="00D22DD3"/>
    <w:rsid w:val="00D23005"/>
    <w:rsid w:val="00D2333E"/>
    <w:rsid w:val="00D23D0E"/>
    <w:rsid w:val="00D24D9F"/>
    <w:rsid w:val="00D25604"/>
    <w:rsid w:val="00D25B8C"/>
    <w:rsid w:val="00D26FC2"/>
    <w:rsid w:val="00D270B3"/>
    <w:rsid w:val="00D27135"/>
    <w:rsid w:val="00D2725B"/>
    <w:rsid w:val="00D30DFC"/>
    <w:rsid w:val="00D31D2C"/>
    <w:rsid w:val="00D31E33"/>
    <w:rsid w:val="00D3264A"/>
    <w:rsid w:val="00D32A6E"/>
    <w:rsid w:val="00D32E8E"/>
    <w:rsid w:val="00D32F04"/>
    <w:rsid w:val="00D33354"/>
    <w:rsid w:val="00D336F3"/>
    <w:rsid w:val="00D33742"/>
    <w:rsid w:val="00D339EE"/>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04"/>
    <w:rsid w:val="00D37D9C"/>
    <w:rsid w:val="00D40641"/>
    <w:rsid w:val="00D40820"/>
    <w:rsid w:val="00D4087A"/>
    <w:rsid w:val="00D40DF5"/>
    <w:rsid w:val="00D41403"/>
    <w:rsid w:val="00D41678"/>
    <w:rsid w:val="00D41FB8"/>
    <w:rsid w:val="00D42003"/>
    <w:rsid w:val="00D42E52"/>
    <w:rsid w:val="00D43AC8"/>
    <w:rsid w:val="00D43C10"/>
    <w:rsid w:val="00D43D05"/>
    <w:rsid w:val="00D44334"/>
    <w:rsid w:val="00D4447C"/>
    <w:rsid w:val="00D4468A"/>
    <w:rsid w:val="00D44859"/>
    <w:rsid w:val="00D44C91"/>
    <w:rsid w:val="00D456E2"/>
    <w:rsid w:val="00D45A41"/>
    <w:rsid w:val="00D45ADC"/>
    <w:rsid w:val="00D45ED8"/>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399E"/>
    <w:rsid w:val="00D54B1A"/>
    <w:rsid w:val="00D54DBF"/>
    <w:rsid w:val="00D5556B"/>
    <w:rsid w:val="00D55628"/>
    <w:rsid w:val="00D55663"/>
    <w:rsid w:val="00D5594A"/>
    <w:rsid w:val="00D56808"/>
    <w:rsid w:val="00D56F0E"/>
    <w:rsid w:val="00D57193"/>
    <w:rsid w:val="00D573B4"/>
    <w:rsid w:val="00D5745E"/>
    <w:rsid w:val="00D57B31"/>
    <w:rsid w:val="00D57F3E"/>
    <w:rsid w:val="00D60692"/>
    <w:rsid w:val="00D6071B"/>
    <w:rsid w:val="00D607FB"/>
    <w:rsid w:val="00D60B30"/>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AEF"/>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31E"/>
    <w:rsid w:val="00D747A7"/>
    <w:rsid w:val="00D7587C"/>
    <w:rsid w:val="00D7591E"/>
    <w:rsid w:val="00D75FF5"/>
    <w:rsid w:val="00D765B1"/>
    <w:rsid w:val="00D76BA5"/>
    <w:rsid w:val="00D76EF0"/>
    <w:rsid w:val="00D779E9"/>
    <w:rsid w:val="00D77C22"/>
    <w:rsid w:val="00D77C87"/>
    <w:rsid w:val="00D77DA6"/>
    <w:rsid w:val="00D80648"/>
    <w:rsid w:val="00D809C1"/>
    <w:rsid w:val="00D80B5C"/>
    <w:rsid w:val="00D80D2C"/>
    <w:rsid w:val="00D80DD3"/>
    <w:rsid w:val="00D81894"/>
    <w:rsid w:val="00D81F28"/>
    <w:rsid w:val="00D82079"/>
    <w:rsid w:val="00D82181"/>
    <w:rsid w:val="00D824DF"/>
    <w:rsid w:val="00D82A76"/>
    <w:rsid w:val="00D82C6F"/>
    <w:rsid w:val="00D83191"/>
    <w:rsid w:val="00D831F1"/>
    <w:rsid w:val="00D8336B"/>
    <w:rsid w:val="00D835C6"/>
    <w:rsid w:val="00D835CD"/>
    <w:rsid w:val="00D83BD4"/>
    <w:rsid w:val="00D83BFB"/>
    <w:rsid w:val="00D841D6"/>
    <w:rsid w:val="00D84D4D"/>
    <w:rsid w:val="00D84DD7"/>
    <w:rsid w:val="00D854F7"/>
    <w:rsid w:val="00D86022"/>
    <w:rsid w:val="00D8613A"/>
    <w:rsid w:val="00D862B0"/>
    <w:rsid w:val="00D86B2E"/>
    <w:rsid w:val="00D86BBA"/>
    <w:rsid w:val="00D86DB1"/>
    <w:rsid w:val="00D8717D"/>
    <w:rsid w:val="00D872C1"/>
    <w:rsid w:val="00D874AE"/>
    <w:rsid w:val="00D87830"/>
    <w:rsid w:val="00D87866"/>
    <w:rsid w:val="00D87A96"/>
    <w:rsid w:val="00D87E02"/>
    <w:rsid w:val="00D87E3C"/>
    <w:rsid w:val="00D9006A"/>
    <w:rsid w:val="00D900EA"/>
    <w:rsid w:val="00D901A5"/>
    <w:rsid w:val="00D901FD"/>
    <w:rsid w:val="00D902A0"/>
    <w:rsid w:val="00D902DD"/>
    <w:rsid w:val="00D9044A"/>
    <w:rsid w:val="00D904EC"/>
    <w:rsid w:val="00D907D7"/>
    <w:rsid w:val="00D9095B"/>
    <w:rsid w:val="00D90BFB"/>
    <w:rsid w:val="00D910FE"/>
    <w:rsid w:val="00D9150D"/>
    <w:rsid w:val="00D91CEB"/>
    <w:rsid w:val="00D91F7E"/>
    <w:rsid w:val="00D9209C"/>
    <w:rsid w:val="00D92719"/>
    <w:rsid w:val="00D92B1C"/>
    <w:rsid w:val="00D931C3"/>
    <w:rsid w:val="00D93E1C"/>
    <w:rsid w:val="00D943AD"/>
    <w:rsid w:val="00D94AF5"/>
    <w:rsid w:val="00D94F7E"/>
    <w:rsid w:val="00D9517F"/>
    <w:rsid w:val="00D9565B"/>
    <w:rsid w:val="00D95B90"/>
    <w:rsid w:val="00D972DF"/>
    <w:rsid w:val="00D9746A"/>
    <w:rsid w:val="00D97B01"/>
    <w:rsid w:val="00D97C41"/>
    <w:rsid w:val="00DA0680"/>
    <w:rsid w:val="00DA09FE"/>
    <w:rsid w:val="00DA0D82"/>
    <w:rsid w:val="00DA1542"/>
    <w:rsid w:val="00DA172A"/>
    <w:rsid w:val="00DA1753"/>
    <w:rsid w:val="00DA17D6"/>
    <w:rsid w:val="00DA1F6B"/>
    <w:rsid w:val="00DA1F8E"/>
    <w:rsid w:val="00DA2779"/>
    <w:rsid w:val="00DA2991"/>
    <w:rsid w:val="00DA2A2F"/>
    <w:rsid w:val="00DA2BA1"/>
    <w:rsid w:val="00DA41DF"/>
    <w:rsid w:val="00DA42A8"/>
    <w:rsid w:val="00DA49C5"/>
    <w:rsid w:val="00DA4A20"/>
    <w:rsid w:val="00DA4F0F"/>
    <w:rsid w:val="00DA52B8"/>
    <w:rsid w:val="00DA5902"/>
    <w:rsid w:val="00DA6459"/>
    <w:rsid w:val="00DA64FC"/>
    <w:rsid w:val="00DA6961"/>
    <w:rsid w:val="00DA6A1D"/>
    <w:rsid w:val="00DA6F2A"/>
    <w:rsid w:val="00DA70A2"/>
    <w:rsid w:val="00DA75D8"/>
    <w:rsid w:val="00DA7A4B"/>
    <w:rsid w:val="00DA7ACC"/>
    <w:rsid w:val="00DB0EC5"/>
    <w:rsid w:val="00DB0F93"/>
    <w:rsid w:val="00DB17F5"/>
    <w:rsid w:val="00DB19B1"/>
    <w:rsid w:val="00DB230F"/>
    <w:rsid w:val="00DB278D"/>
    <w:rsid w:val="00DB2A8D"/>
    <w:rsid w:val="00DB2AD1"/>
    <w:rsid w:val="00DB2F5C"/>
    <w:rsid w:val="00DB38A0"/>
    <w:rsid w:val="00DB3BD9"/>
    <w:rsid w:val="00DB3C59"/>
    <w:rsid w:val="00DB3CBC"/>
    <w:rsid w:val="00DB4162"/>
    <w:rsid w:val="00DB49DE"/>
    <w:rsid w:val="00DB4BD2"/>
    <w:rsid w:val="00DB4D18"/>
    <w:rsid w:val="00DB4EA5"/>
    <w:rsid w:val="00DB571D"/>
    <w:rsid w:val="00DB59FD"/>
    <w:rsid w:val="00DB5A9B"/>
    <w:rsid w:val="00DB5C4C"/>
    <w:rsid w:val="00DB60EF"/>
    <w:rsid w:val="00DB62AD"/>
    <w:rsid w:val="00DB6631"/>
    <w:rsid w:val="00DB67A2"/>
    <w:rsid w:val="00DB690A"/>
    <w:rsid w:val="00DB6E34"/>
    <w:rsid w:val="00DB7216"/>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7D"/>
    <w:rsid w:val="00DC3889"/>
    <w:rsid w:val="00DC3AEA"/>
    <w:rsid w:val="00DC3C99"/>
    <w:rsid w:val="00DC4118"/>
    <w:rsid w:val="00DC4188"/>
    <w:rsid w:val="00DC42AF"/>
    <w:rsid w:val="00DC4361"/>
    <w:rsid w:val="00DC455B"/>
    <w:rsid w:val="00DC4B81"/>
    <w:rsid w:val="00DC4B93"/>
    <w:rsid w:val="00DC5F11"/>
    <w:rsid w:val="00DC5FAE"/>
    <w:rsid w:val="00DC6130"/>
    <w:rsid w:val="00DC62BC"/>
    <w:rsid w:val="00DC6901"/>
    <w:rsid w:val="00DC6BD0"/>
    <w:rsid w:val="00DC6C10"/>
    <w:rsid w:val="00DC71F7"/>
    <w:rsid w:val="00DC7231"/>
    <w:rsid w:val="00DC787B"/>
    <w:rsid w:val="00DC78B2"/>
    <w:rsid w:val="00DD09DC"/>
    <w:rsid w:val="00DD12E2"/>
    <w:rsid w:val="00DD16E7"/>
    <w:rsid w:val="00DD177B"/>
    <w:rsid w:val="00DD1CBF"/>
    <w:rsid w:val="00DD25B9"/>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0F9C"/>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6F6"/>
    <w:rsid w:val="00DF098D"/>
    <w:rsid w:val="00DF0B12"/>
    <w:rsid w:val="00DF0C0A"/>
    <w:rsid w:val="00DF11CA"/>
    <w:rsid w:val="00DF1784"/>
    <w:rsid w:val="00DF2132"/>
    <w:rsid w:val="00DF2161"/>
    <w:rsid w:val="00DF21D2"/>
    <w:rsid w:val="00DF2488"/>
    <w:rsid w:val="00DF254F"/>
    <w:rsid w:val="00DF26F1"/>
    <w:rsid w:val="00DF27D5"/>
    <w:rsid w:val="00DF2D87"/>
    <w:rsid w:val="00DF2EF3"/>
    <w:rsid w:val="00DF3665"/>
    <w:rsid w:val="00DF413F"/>
    <w:rsid w:val="00DF41F4"/>
    <w:rsid w:val="00DF439C"/>
    <w:rsid w:val="00DF44B4"/>
    <w:rsid w:val="00DF4642"/>
    <w:rsid w:val="00DF4972"/>
    <w:rsid w:val="00DF4993"/>
    <w:rsid w:val="00DF4B20"/>
    <w:rsid w:val="00DF4E4F"/>
    <w:rsid w:val="00DF52EB"/>
    <w:rsid w:val="00DF547F"/>
    <w:rsid w:val="00DF5489"/>
    <w:rsid w:val="00DF54C2"/>
    <w:rsid w:val="00DF5538"/>
    <w:rsid w:val="00DF5668"/>
    <w:rsid w:val="00DF58D4"/>
    <w:rsid w:val="00DF5DCE"/>
    <w:rsid w:val="00DF5FCB"/>
    <w:rsid w:val="00DF67BA"/>
    <w:rsid w:val="00DF68B6"/>
    <w:rsid w:val="00DF7419"/>
    <w:rsid w:val="00DF7628"/>
    <w:rsid w:val="00DF7D40"/>
    <w:rsid w:val="00E006A2"/>
    <w:rsid w:val="00E00725"/>
    <w:rsid w:val="00E008B2"/>
    <w:rsid w:val="00E00B08"/>
    <w:rsid w:val="00E00D33"/>
    <w:rsid w:val="00E00FF2"/>
    <w:rsid w:val="00E011D4"/>
    <w:rsid w:val="00E02965"/>
    <w:rsid w:val="00E03055"/>
    <w:rsid w:val="00E03063"/>
    <w:rsid w:val="00E031A4"/>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4F7"/>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E6E"/>
    <w:rsid w:val="00E27F2C"/>
    <w:rsid w:val="00E301D1"/>
    <w:rsid w:val="00E30EAD"/>
    <w:rsid w:val="00E30EE0"/>
    <w:rsid w:val="00E30F72"/>
    <w:rsid w:val="00E31B8A"/>
    <w:rsid w:val="00E31D52"/>
    <w:rsid w:val="00E3206C"/>
    <w:rsid w:val="00E3215F"/>
    <w:rsid w:val="00E32A05"/>
    <w:rsid w:val="00E32BE3"/>
    <w:rsid w:val="00E32E70"/>
    <w:rsid w:val="00E3371C"/>
    <w:rsid w:val="00E33EEC"/>
    <w:rsid w:val="00E34147"/>
    <w:rsid w:val="00E34CB6"/>
    <w:rsid w:val="00E34D35"/>
    <w:rsid w:val="00E3515A"/>
    <w:rsid w:val="00E3561D"/>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0F"/>
    <w:rsid w:val="00E469DD"/>
    <w:rsid w:val="00E46C23"/>
    <w:rsid w:val="00E473E7"/>
    <w:rsid w:val="00E47A98"/>
    <w:rsid w:val="00E47D1E"/>
    <w:rsid w:val="00E50111"/>
    <w:rsid w:val="00E50CB1"/>
    <w:rsid w:val="00E51377"/>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474"/>
    <w:rsid w:val="00E57739"/>
    <w:rsid w:val="00E57AE9"/>
    <w:rsid w:val="00E57BBE"/>
    <w:rsid w:val="00E57DCD"/>
    <w:rsid w:val="00E605ED"/>
    <w:rsid w:val="00E60986"/>
    <w:rsid w:val="00E60BE7"/>
    <w:rsid w:val="00E60DE1"/>
    <w:rsid w:val="00E60DF1"/>
    <w:rsid w:val="00E61262"/>
    <w:rsid w:val="00E6130D"/>
    <w:rsid w:val="00E614CE"/>
    <w:rsid w:val="00E620C5"/>
    <w:rsid w:val="00E62139"/>
    <w:rsid w:val="00E6239D"/>
    <w:rsid w:val="00E626BE"/>
    <w:rsid w:val="00E62790"/>
    <w:rsid w:val="00E62825"/>
    <w:rsid w:val="00E62D73"/>
    <w:rsid w:val="00E62E78"/>
    <w:rsid w:val="00E63879"/>
    <w:rsid w:val="00E63EF1"/>
    <w:rsid w:val="00E63F97"/>
    <w:rsid w:val="00E641FA"/>
    <w:rsid w:val="00E6422A"/>
    <w:rsid w:val="00E644BF"/>
    <w:rsid w:val="00E6468D"/>
    <w:rsid w:val="00E64788"/>
    <w:rsid w:val="00E64B70"/>
    <w:rsid w:val="00E64F1C"/>
    <w:rsid w:val="00E6537D"/>
    <w:rsid w:val="00E65528"/>
    <w:rsid w:val="00E6553D"/>
    <w:rsid w:val="00E65E05"/>
    <w:rsid w:val="00E65E5B"/>
    <w:rsid w:val="00E65FE0"/>
    <w:rsid w:val="00E66042"/>
    <w:rsid w:val="00E66050"/>
    <w:rsid w:val="00E66F17"/>
    <w:rsid w:val="00E672F0"/>
    <w:rsid w:val="00E67381"/>
    <w:rsid w:val="00E67BA4"/>
    <w:rsid w:val="00E70A71"/>
    <w:rsid w:val="00E70F61"/>
    <w:rsid w:val="00E712F5"/>
    <w:rsid w:val="00E71551"/>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C09"/>
    <w:rsid w:val="00E85D3D"/>
    <w:rsid w:val="00E864BC"/>
    <w:rsid w:val="00E86D91"/>
    <w:rsid w:val="00E86F02"/>
    <w:rsid w:val="00E87202"/>
    <w:rsid w:val="00E87347"/>
    <w:rsid w:val="00E87B3F"/>
    <w:rsid w:val="00E904D3"/>
    <w:rsid w:val="00E90569"/>
    <w:rsid w:val="00E9072E"/>
    <w:rsid w:val="00E908B6"/>
    <w:rsid w:val="00E910FD"/>
    <w:rsid w:val="00E9125D"/>
    <w:rsid w:val="00E915BF"/>
    <w:rsid w:val="00E9176C"/>
    <w:rsid w:val="00E91EBF"/>
    <w:rsid w:val="00E92BD6"/>
    <w:rsid w:val="00E92DEA"/>
    <w:rsid w:val="00E93029"/>
    <w:rsid w:val="00E9381A"/>
    <w:rsid w:val="00E93D98"/>
    <w:rsid w:val="00E9404C"/>
    <w:rsid w:val="00E94717"/>
    <w:rsid w:val="00E9487A"/>
    <w:rsid w:val="00E95021"/>
    <w:rsid w:val="00E95025"/>
    <w:rsid w:val="00E95227"/>
    <w:rsid w:val="00E954AA"/>
    <w:rsid w:val="00E95576"/>
    <w:rsid w:val="00E9636B"/>
    <w:rsid w:val="00E96576"/>
    <w:rsid w:val="00E96D09"/>
    <w:rsid w:val="00E96FED"/>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87"/>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282"/>
    <w:rsid w:val="00EA660E"/>
    <w:rsid w:val="00EA6C70"/>
    <w:rsid w:val="00EA7530"/>
    <w:rsid w:val="00EA7BF6"/>
    <w:rsid w:val="00EA7C3A"/>
    <w:rsid w:val="00EA7C61"/>
    <w:rsid w:val="00EB0092"/>
    <w:rsid w:val="00EB042B"/>
    <w:rsid w:val="00EB1712"/>
    <w:rsid w:val="00EB1B39"/>
    <w:rsid w:val="00EB1E86"/>
    <w:rsid w:val="00EB2307"/>
    <w:rsid w:val="00EB3102"/>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0DB"/>
    <w:rsid w:val="00EC1A00"/>
    <w:rsid w:val="00EC1C96"/>
    <w:rsid w:val="00EC2F7F"/>
    <w:rsid w:val="00EC3971"/>
    <w:rsid w:val="00EC39A2"/>
    <w:rsid w:val="00EC4250"/>
    <w:rsid w:val="00EC446D"/>
    <w:rsid w:val="00EC483B"/>
    <w:rsid w:val="00EC4911"/>
    <w:rsid w:val="00EC50C9"/>
    <w:rsid w:val="00EC51B4"/>
    <w:rsid w:val="00EC5523"/>
    <w:rsid w:val="00EC563C"/>
    <w:rsid w:val="00EC5C13"/>
    <w:rsid w:val="00EC5C28"/>
    <w:rsid w:val="00EC5EE0"/>
    <w:rsid w:val="00EC6112"/>
    <w:rsid w:val="00EC621C"/>
    <w:rsid w:val="00EC6270"/>
    <w:rsid w:val="00EC6333"/>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35F"/>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59E4"/>
    <w:rsid w:val="00EE5D7E"/>
    <w:rsid w:val="00EE61AD"/>
    <w:rsid w:val="00EE6A67"/>
    <w:rsid w:val="00EE6E5F"/>
    <w:rsid w:val="00EE6EF4"/>
    <w:rsid w:val="00EE7778"/>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88C"/>
    <w:rsid w:val="00EF68A3"/>
    <w:rsid w:val="00EF692B"/>
    <w:rsid w:val="00EF7A5F"/>
    <w:rsid w:val="00F004EB"/>
    <w:rsid w:val="00F00518"/>
    <w:rsid w:val="00F0072E"/>
    <w:rsid w:val="00F009B0"/>
    <w:rsid w:val="00F01211"/>
    <w:rsid w:val="00F01884"/>
    <w:rsid w:val="00F018EC"/>
    <w:rsid w:val="00F01E57"/>
    <w:rsid w:val="00F01F96"/>
    <w:rsid w:val="00F028BA"/>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52"/>
    <w:rsid w:val="00F05C62"/>
    <w:rsid w:val="00F05EE8"/>
    <w:rsid w:val="00F06508"/>
    <w:rsid w:val="00F0669A"/>
    <w:rsid w:val="00F068E6"/>
    <w:rsid w:val="00F06FD8"/>
    <w:rsid w:val="00F07639"/>
    <w:rsid w:val="00F076EE"/>
    <w:rsid w:val="00F078A2"/>
    <w:rsid w:val="00F078CD"/>
    <w:rsid w:val="00F07A4A"/>
    <w:rsid w:val="00F07ADB"/>
    <w:rsid w:val="00F10954"/>
    <w:rsid w:val="00F11097"/>
    <w:rsid w:val="00F11189"/>
    <w:rsid w:val="00F11349"/>
    <w:rsid w:val="00F11738"/>
    <w:rsid w:val="00F11892"/>
    <w:rsid w:val="00F11CCD"/>
    <w:rsid w:val="00F1204D"/>
    <w:rsid w:val="00F124C4"/>
    <w:rsid w:val="00F128E3"/>
    <w:rsid w:val="00F12FE6"/>
    <w:rsid w:val="00F1306F"/>
    <w:rsid w:val="00F13416"/>
    <w:rsid w:val="00F13590"/>
    <w:rsid w:val="00F13B6C"/>
    <w:rsid w:val="00F13EF6"/>
    <w:rsid w:val="00F13F1F"/>
    <w:rsid w:val="00F14412"/>
    <w:rsid w:val="00F14445"/>
    <w:rsid w:val="00F1473E"/>
    <w:rsid w:val="00F15323"/>
    <w:rsid w:val="00F15553"/>
    <w:rsid w:val="00F15559"/>
    <w:rsid w:val="00F159B8"/>
    <w:rsid w:val="00F16146"/>
    <w:rsid w:val="00F16423"/>
    <w:rsid w:val="00F16698"/>
    <w:rsid w:val="00F169D7"/>
    <w:rsid w:val="00F16C3F"/>
    <w:rsid w:val="00F1756F"/>
    <w:rsid w:val="00F20007"/>
    <w:rsid w:val="00F204AA"/>
    <w:rsid w:val="00F205EF"/>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CDC"/>
    <w:rsid w:val="00F35D9B"/>
    <w:rsid w:val="00F35FDF"/>
    <w:rsid w:val="00F368D7"/>
    <w:rsid w:val="00F36C78"/>
    <w:rsid w:val="00F375AE"/>
    <w:rsid w:val="00F40403"/>
    <w:rsid w:val="00F40AB4"/>
    <w:rsid w:val="00F41112"/>
    <w:rsid w:val="00F411B4"/>
    <w:rsid w:val="00F41594"/>
    <w:rsid w:val="00F4185B"/>
    <w:rsid w:val="00F4188C"/>
    <w:rsid w:val="00F418D3"/>
    <w:rsid w:val="00F42107"/>
    <w:rsid w:val="00F42A49"/>
    <w:rsid w:val="00F42A7A"/>
    <w:rsid w:val="00F42EFD"/>
    <w:rsid w:val="00F43039"/>
    <w:rsid w:val="00F440C9"/>
    <w:rsid w:val="00F440EE"/>
    <w:rsid w:val="00F44818"/>
    <w:rsid w:val="00F451F3"/>
    <w:rsid w:val="00F4541A"/>
    <w:rsid w:val="00F45C9E"/>
    <w:rsid w:val="00F45CA1"/>
    <w:rsid w:val="00F462B3"/>
    <w:rsid w:val="00F46526"/>
    <w:rsid w:val="00F47012"/>
    <w:rsid w:val="00F47307"/>
    <w:rsid w:val="00F4763B"/>
    <w:rsid w:val="00F478A8"/>
    <w:rsid w:val="00F47BB9"/>
    <w:rsid w:val="00F47E7E"/>
    <w:rsid w:val="00F501F3"/>
    <w:rsid w:val="00F5023D"/>
    <w:rsid w:val="00F50C6C"/>
    <w:rsid w:val="00F50F92"/>
    <w:rsid w:val="00F51056"/>
    <w:rsid w:val="00F51676"/>
    <w:rsid w:val="00F5224A"/>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828"/>
    <w:rsid w:val="00F558A2"/>
    <w:rsid w:val="00F5592B"/>
    <w:rsid w:val="00F55D96"/>
    <w:rsid w:val="00F55E20"/>
    <w:rsid w:val="00F560C2"/>
    <w:rsid w:val="00F560F9"/>
    <w:rsid w:val="00F56360"/>
    <w:rsid w:val="00F56397"/>
    <w:rsid w:val="00F568C1"/>
    <w:rsid w:val="00F569C8"/>
    <w:rsid w:val="00F56C33"/>
    <w:rsid w:val="00F56DE0"/>
    <w:rsid w:val="00F56FD2"/>
    <w:rsid w:val="00F57133"/>
    <w:rsid w:val="00F5713F"/>
    <w:rsid w:val="00F57931"/>
    <w:rsid w:val="00F57CB8"/>
    <w:rsid w:val="00F60202"/>
    <w:rsid w:val="00F60818"/>
    <w:rsid w:val="00F6092F"/>
    <w:rsid w:val="00F60AB8"/>
    <w:rsid w:val="00F60BCE"/>
    <w:rsid w:val="00F6141B"/>
    <w:rsid w:val="00F6158A"/>
    <w:rsid w:val="00F619F6"/>
    <w:rsid w:val="00F61ADE"/>
    <w:rsid w:val="00F62154"/>
    <w:rsid w:val="00F62338"/>
    <w:rsid w:val="00F62567"/>
    <w:rsid w:val="00F62FAC"/>
    <w:rsid w:val="00F630AA"/>
    <w:rsid w:val="00F63E68"/>
    <w:rsid w:val="00F63EC8"/>
    <w:rsid w:val="00F64203"/>
    <w:rsid w:val="00F6440A"/>
    <w:rsid w:val="00F64D45"/>
    <w:rsid w:val="00F64D52"/>
    <w:rsid w:val="00F64F51"/>
    <w:rsid w:val="00F652DA"/>
    <w:rsid w:val="00F65345"/>
    <w:rsid w:val="00F655CD"/>
    <w:rsid w:val="00F658E4"/>
    <w:rsid w:val="00F65936"/>
    <w:rsid w:val="00F65C86"/>
    <w:rsid w:val="00F6605C"/>
    <w:rsid w:val="00F66353"/>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8C5"/>
    <w:rsid w:val="00F74CA7"/>
    <w:rsid w:val="00F74D16"/>
    <w:rsid w:val="00F74E3B"/>
    <w:rsid w:val="00F751BE"/>
    <w:rsid w:val="00F75223"/>
    <w:rsid w:val="00F75E2C"/>
    <w:rsid w:val="00F760EE"/>
    <w:rsid w:val="00F76223"/>
    <w:rsid w:val="00F76430"/>
    <w:rsid w:val="00F76B07"/>
    <w:rsid w:val="00F77161"/>
    <w:rsid w:val="00F77596"/>
    <w:rsid w:val="00F77896"/>
    <w:rsid w:val="00F77BB3"/>
    <w:rsid w:val="00F800B0"/>
    <w:rsid w:val="00F80204"/>
    <w:rsid w:val="00F80770"/>
    <w:rsid w:val="00F8097E"/>
    <w:rsid w:val="00F811EC"/>
    <w:rsid w:val="00F8149A"/>
    <w:rsid w:val="00F816B7"/>
    <w:rsid w:val="00F8178C"/>
    <w:rsid w:val="00F81C1E"/>
    <w:rsid w:val="00F81E14"/>
    <w:rsid w:val="00F82905"/>
    <w:rsid w:val="00F8291D"/>
    <w:rsid w:val="00F83203"/>
    <w:rsid w:val="00F836D5"/>
    <w:rsid w:val="00F83F67"/>
    <w:rsid w:val="00F84461"/>
    <w:rsid w:val="00F85101"/>
    <w:rsid w:val="00F851C4"/>
    <w:rsid w:val="00F85475"/>
    <w:rsid w:val="00F856B4"/>
    <w:rsid w:val="00F858E0"/>
    <w:rsid w:val="00F864E7"/>
    <w:rsid w:val="00F8670F"/>
    <w:rsid w:val="00F86963"/>
    <w:rsid w:val="00F87086"/>
    <w:rsid w:val="00F90134"/>
    <w:rsid w:val="00F907C7"/>
    <w:rsid w:val="00F91074"/>
    <w:rsid w:val="00F9198D"/>
    <w:rsid w:val="00F91B15"/>
    <w:rsid w:val="00F91B7E"/>
    <w:rsid w:val="00F92016"/>
    <w:rsid w:val="00F925B4"/>
    <w:rsid w:val="00F925F6"/>
    <w:rsid w:val="00F9289C"/>
    <w:rsid w:val="00F9291E"/>
    <w:rsid w:val="00F9366B"/>
    <w:rsid w:val="00F93AA3"/>
    <w:rsid w:val="00F94191"/>
    <w:rsid w:val="00F9443B"/>
    <w:rsid w:val="00F9452B"/>
    <w:rsid w:val="00F94CA5"/>
    <w:rsid w:val="00F952C5"/>
    <w:rsid w:val="00F953FE"/>
    <w:rsid w:val="00F96A7A"/>
    <w:rsid w:val="00F97540"/>
    <w:rsid w:val="00F9777B"/>
    <w:rsid w:val="00F979B0"/>
    <w:rsid w:val="00F97FB0"/>
    <w:rsid w:val="00FA0BCC"/>
    <w:rsid w:val="00FA1070"/>
    <w:rsid w:val="00FA164F"/>
    <w:rsid w:val="00FA165E"/>
    <w:rsid w:val="00FA19EB"/>
    <w:rsid w:val="00FA1ACB"/>
    <w:rsid w:val="00FA1BB5"/>
    <w:rsid w:val="00FA1FDF"/>
    <w:rsid w:val="00FA21F4"/>
    <w:rsid w:val="00FA2F3A"/>
    <w:rsid w:val="00FA304B"/>
    <w:rsid w:val="00FA3214"/>
    <w:rsid w:val="00FA397C"/>
    <w:rsid w:val="00FA3D5B"/>
    <w:rsid w:val="00FA4C7D"/>
    <w:rsid w:val="00FA4E97"/>
    <w:rsid w:val="00FA4ED6"/>
    <w:rsid w:val="00FA4FD7"/>
    <w:rsid w:val="00FA5369"/>
    <w:rsid w:val="00FA5750"/>
    <w:rsid w:val="00FA5874"/>
    <w:rsid w:val="00FA6476"/>
    <w:rsid w:val="00FA6A95"/>
    <w:rsid w:val="00FA6E13"/>
    <w:rsid w:val="00FA70CC"/>
    <w:rsid w:val="00FA727F"/>
    <w:rsid w:val="00FA7316"/>
    <w:rsid w:val="00FA77D4"/>
    <w:rsid w:val="00FA798A"/>
    <w:rsid w:val="00FA7E20"/>
    <w:rsid w:val="00FB0FF2"/>
    <w:rsid w:val="00FB18B5"/>
    <w:rsid w:val="00FB197F"/>
    <w:rsid w:val="00FB23DD"/>
    <w:rsid w:val="00FB2830"/>
    <w:rsid w:val="00FB312F"/>
    <w:rsid w:val="00FB35C3"/>
    <w:rsid w:val="00FB409D"/>
    <w:rsid w:val="00FB4272"/>
    <w:rsid w:val="00FB546C"/>
    <w:rsid w:val="00FB580C"/>
    <w:rsid w:val="00FB584F"/>
    <w:rsid w:val="00FB5D61"/>
    <w:rsid w:val="00FB6343"/>
    <w:rsid w:val="00FB6A75"/>
    <w:rsid w:val="00FB6BF7"/>
    <w:rsid w:val="00FB746B"/>
    <w:rsid w:val="00FB74A0"/>
    <w:rsid w:val="00FB7D96"/>
    <w:rsid w:val="00FC0142"/>
    <w:rsid w:val="00FC03A1"/>
    <w:rsid w:val="00FC0623"/>
    <w:rsid w:val="00FC06E5"/>
    <w:rsid w:val="00FC16B0"/>
    <w:rsid w:val="00FC1D06"/>
    <w:rsid w:val="00FC1F16"/>
    <w:rsid w:val="00FC1F29"/>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3F4"/>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D64"/>
    <w:rsid w:val="00FD701C"/>
    <w:rsid w:val="00FD76D9"/>
    <w:rsid w:val="00FD78CB"/>
    <w:rsid w:val="00FD7DCF"/>
    <w:rsid w:val="00FD7F1A"/>
    <w:rsid w:val="00FE00DF"/>
    <w:rsid w:val="00FE01E9"/>
    <w:rsid w:val="00FE04E0"/>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5A1"/>
    <w:rsid w:val="00FF0A09"/>
    <w:rsid w:val="00FF0BE3"/>
    <w:rsid w:val="00FF0BF3"/>
    <w:rsid w:val="00FF11C6"/>
    <w:rsid w:val="00FF12C8"/>
    <w:rsid w:val="00FF1384"/>
    <w:rsid w:val="00FF1B34"/>
    <w:rsid w:val="00FF2495"/>
    <w:rsid w:val="00FF2A9B"/>
    <w:rsid w:val="00FF2AC3"/>
    <w:rsid w:val="00FF2EC4"/>
    <w:rsid w:val="00FF3625"/>
    <w:rsid w:val="00FF36AA"/>
    <w:rsid w:val="00FF3D9F"/>
    <w:rsid w:val="00FF4055"/>
    <w:rsid w:val="00FF4786"/>
    <w:rsid w:val="00FF4BA5"/>
    <w:rsid w:val="00FF4D59"/>
    <w:rsid w:val="00FF4DA4"/>
    <w:rsid w:val="00FF5169"/>
    <w:rsid w:val="00FF5328"/>
    <w:rsid w:val="00FF5399"/>
    <w:rsid w:val="00FF58A7"/>
    <w:rsid w:val="00FF6A50"/>
    <w:rsid w:val="00FF6D0F"/>
    <w:rsid w:val="00FF74EF"/>
    <w:rsid w:val="00FF75FD"/>
    <w:rsid w:val="00FF77F8"/>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06F1FE21"/>
  <w15:docId w15:val="{1E3A07CF-49C2-4A84-8407-D7B88F41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57F8"/>
  </w:style>
  <w:style w:type="paragraph" w:styleId="Heading1">
    <w:name w:val="heading 1"/>
    <w:basedOn w:val="Normal"/>
    <w:next w:val="BodyText"/>
    <w:link w:val="Heading1Char"/>
    <w:qFormat/>
    <w:rsid w:val="00321955"/>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uiPriority w:val="99"/>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rsid w:val="00D901FD"/>
    <w:rPr>
      <w:b/>
      <w:bCs/>
      <w:iCs/>
      <w:color w:val="B3272F" w:themeColor="text2"/>
      <w:kern w:val="20"/>
      <w:sz w:val="24"/>
      <w:szCs w:val="28"/>
    </w:rPr>
  </w:style>
  <w:style w:type="character" w:customStyle="1" w:styleId="Heading1Char">
    <w:name w:val="Heading 1 Char"/>
    <w:basedOn w:val="DefaultParagraphFont"/>
    <w:link w:val="Heading1"/>
    <w:rsid w:val="00321955"/>
    <w:rPr>
      <w:b/>
      <w:bCs/>
      <w:color w:val="B3272F"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3.xml"/><Relationship Id="rId26" Type="http://schemas.openxmlformats.org/officeDocument/2006/relationships/header" Target="header5.xml"/><Relationship Id="rId39"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chart" Target="charts/chart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image" Target="media/image9.png"/><Relationship Id="rId38"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creativecommons.org/licenses/by/4.0/" TargetMode="External"/><Relationship Id="rId29" Type="http://schemas.openxmlformats.org/officeDocument/2006/relationships/image" Target="media/image6.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image" Target="media/image8.png"/><Relationship Id="rId37" Type="http://schemas.openxmlformats.org/officeDocument/2006/relationships/image" Target="media/image12.png"/><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oter" Target="footer7.xml"/><Relationship Id="rId36"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chart" Target="charts/chart1.xml"/><Relationship Id="rId35" Type="http://schemas.openxmlformats.org/officeDocument/2006/relationships/image" Target="media/image10.png"/></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t01\AppData\Roaming\Microsoft\Templates\DELWP%20Report%20template.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delwpvicgovau-my.sharepoint.com/personal/april_casey_delwp_vic_gov_au/Documents/LRS%20EXEC%20STATS%20DATA/TRS%20Processing%20figures.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https://delwpvicgovau-my.sharepoint.com/personal/april_casey_delwp_vic_gov_au/Documents/LRS%20EXEC%20STATS%20DATA/Landata%20stats%20with%20trend%20calendar%20year%20Financial%20repo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FF0000"/>
                </a:solidFill>
                <a:latin typeface="Times New Roman"/>
                <a:ea typeface="Times New Roman"/>
                <a:cs typeface="Times New Roman"/>
              </a:defRPr>
            </a:pPr>
            <a:r>
              <a:rPr lang="en-AU"/>
              <a:t>Monthly Lodgements</a:t>
            </a:r>
          </a:p>
        </c:rich>
      </c:tx>
      <c:layout>
        <c:manualLayout>
          <c:xMode val="edge"/>
          <c:yMode val="edge"/>
          <c:x val="0.3873083431609915"/>
          <c:y val="3.0863977916681492E-2"/>
        </c:manualLayout>
      </c:layout>
      <c:overlay val="0"/>
      <c:spPr>
        <a:noFill/>
        <a:ln w="25400">
          <a:noFill/>
        </a:ln>
      </c:spPr>
    </c:title>
    <c:autoTitleDeleted val="0"/>
    <c:plotArea>
      <c:layout>
        <c:manualLayout>
          <c:layoutTarget val="inner"/>
          <c:xMode val="edge"/>
          <c:yMode val="edge"/>
          <c:x val="0.14950166112956811"/>
          <c:y val="0.14332270352374213"/>
          <c:w val="0.71816168327796237"/>
          <c:h val="0.52768813570105055"/>
        </c:manualLayout>
      </c:layout>
      <c:barChart>
        <c:barDir val="col"/>
        <c:grouping val="clustered"/>
        <c:varyColors val="0"/>
        <c:ser>
          <c:idx val="1"/>
          <c:order val="0"/>
          <c:tx>
            <c:v>Total Lodged dealings</c:v>
          </c:tx>
          <c:spPr>
            <a:solidFill>
              <a:srgbClr val="993366"/>
            </a:solidFill>
            <a:ln w="12700">
              <a:solidFill>
                <a:srgbClr val="000000"/>
              </a:solidFill>
              <a:prstDash val="solid"/>
            </a:ln>
          </c:spPr>
          <c:invertIfNegative val="0"/>
          <c:cat>
            <c:numRef>
              <c:f>'dtm stats'!$HV$2:$IH$2</c:f>
              <c:numCache>
                <c:formatCode>mmm\-yy</c:formatCode>
                <c:ptCount val="13"/>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numCache>
            </c:numRef>
          </c:cat>
          <c:val>
            <c:numRef>
              <c:f>'dtm stats'!$HV$23:$IH$23</c:f>
              <c:numCache>
                <c:formatCode>General</c:formatCode>
                <c:ptCount val="13"/>
                <c:pt idx="0" formatCode="#,##0">
                  <c:v>72251</c:v>
                </c:pt>
                <c:pt idx="1">
                  <c:v>71413</c:v>
                </c:pt>
                <c:pt idx="2">
                  <c:v>71729</c:v>
                </c:pt>
                <c:pt idx="3">
                  <c:v>66846</c:v>
                </c:pt>
                <c:pt idx="4">
                  <c:v>75374</c:v>
                </c:pt>
                <c:pt idx="5">
                  <c:v>73922</c:v>
                </c:pt>
                <c:pt idx="6">
                  <c:v>81298</c:v>
                </c:pt>
                <c:pt idx="7">
                  <c:v>69914</c:v>
                </c:pt>
                <c:pt idx="8">
                  <c:v>67442</c:v>
                </c:pt>
                <c:pt idx="9">
                  <c:v>66181</c:v>
                </c:pt>
                <c:pt idx="10">
                  <c:v>64846</c:v>
                </c:pt>
                <c:pt idx="11">
                  <c:v>69732</c:v>
                </c:pt>
                <c:pt idx="12">
                  <c:v>74454</c:v>
                </c:pt>
              </c:numCache>
            </c:numRef>
          </c:val>
          <c:extLst>
            <c:ext xmlns:c16="http://schemas.microsoft.com/office/drawing/2014/chart" uri="{C3380CC4-5D6E-409C-BE32-E72D297353CC}">
              <c16:uniqueId val="{00000000-E5BD-4E8C-8DAB-EBE4426BD7A0}"/>
            </c:ext>
          </c:extLst>
        </c:ser>
        <c:dLbls>
          <c:showLegendKey val="0"/>
          <c:showVal val="0"/>
          <c:showCatName val="0"/>
          <c:showSerName val="0"/>
          <c:showPercent val="0"/>
          <c:showBubbleSize val="0"/>
        </c:dLbls>
        <c:gapWidth val="150"/>
        <c:axId val="163179520"/>
        <c:axId val="163210368"/>
      </c:barChart>
      <c:catAx>
        <c:axId val="163179520"/>
        <c:scaling>
          <c:orientation val="minMax"/>
        </c:scaling>
        <c:delete val="0"/>
        <c:axPos val="b"/>
        <c:title>
          <c:tx>
            <c:rich>
              <a:bodyPr/>
              <a:lstStyle/>
              <a:p>
                <a:pPr>
                  <a:defRPr sz="800" b="1" i="0" u="none" strike="noStrike" baseline="0">
                    <a:solidFill>
                      <a:srgbClr val="333333"/>
                    </a:solidFill>
                    <a:latin typeface="Times New Roman"/>
                    <a:ea typeface="Times New Roman"/>
                    <a:cs typeface="Times New Roman"/>
                  </a:defRPr>
                </a:pPr>
                <a:r>
                  <a:rPr lang="en-AU"/>
                  <a:t>Months</a:t>
                </a:r>
              </a:p>
            </c:rich>
          </c:tx>
          <c:layout>
            <c:manualLayout>
              <c:xMode val="edge"/>
              <c:yMode val="edge"/>
              <c:x val="0.47840531561461797"/>
              <c:y val="0.84364957637624283"/>
            </c:manualLayout>
          </c:layout>
          <c:overlay val="0"/>
          <c:spPr>
            <a:noFill/>
            <a:ln w="25400">
              <a:noFill/>
            </a:ln>
          </c:spPr>
        </c:title>
        <c:numFmt formatCode="mmm\-yy"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333333"/>
                </a:solidFill>
                <a:latin typeface="Times New Roman"/>
                <a:ea typeface="Times New Roman"/>
                <a:cs typeface="Times New Roman"/>
              </a:defRPr>
            </a:pPr>
            <a:endParaRPr lang="en-US"/>
          </a:p>
        </c:txPr>
        <c:crossAx val="163210368"/>
        <c:crosses val="autoZero"/>
        <c:auto val="0"/>
        <c:lblAlgn val="ctr"/>
        <c:lblOffset val="100"/>
        <c:tickLblSkip val="1"/>
        <c:tickMarkSkip val="1"/>
        <c:noMultiLvlLbl val="0"/>
      </c:catAx>
      <c:valAx>
        <c:axId val="163210368"/>
        <c:scaling>
          <c:orientation val="minMax"/>
          <c:min val="0"/>
        </c:scaling>
        <c:delete val="0"/>
        <c:axPos val="l"/>
        <c:title>
          <c:tx>
            <c:rich>
              <a:bodyPr/>
              <a:lstStyle/>
              <a:p>
                <a:pPr>
                  <a:defRPr sz="1000" b="1" i="0" u="none" strike="noStrike" baseline="0">
                    <a:solidFill>
                      <a:srgbClr val="333333"/>
                    </a:solidFill>
                    <a:latin typeface="Times New Roman"/>
                    <a:ea typeface="Times New Roman"/>
                    <a:cs typeface="Times New Roman"/>
                  </a:defRPr>
                </a:pPr>
                <a:r>
                  <a:rPr lang="en-AU" sz="1000" baseline="0"/>
                  <a:t>Number lodged</a:t>
                </a:r>
              </a:p>
            </c:rich>
          </c:tx>
          <c:layout>
            <c:manualLayout>
              <c:xMode val="edge"/>
              <c:yMode val="edge"/>
              <c:x val="2.1328147396993655E-2"/>
              <c:y val="0.27689925924707032"/>
            </c:manualLayout>
          </c:layout>
          <c:overlay val="0"/>
          <c:spPr>
            <a:noFill/>
            <a:ln w="25400">
              <a:noFill/>
            </a:ln>
          </c:spPr>
        </c:title>
        <c:numFmt formatCode="#,##0"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333333"/>
                </a:solidFill>
                <a:latin typeface="Times New Roman"/>
                <a:ea typeface="Times New Roman"/>
                <a:cs typeface="Times New Roman"/>
              </a:defRPr>
            </a:pPr>
            <a:endParaRPr lang="en-US"/>
          </a:p>
        </c:txPr>
        <c:crossAx val="163179520"/>
        <c:crosses val="autoZero"/>
        <c:crossBetween val="between"/>
        <c:majorUnit val="10000"/>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333333"/>
          </a:solidFill>
          <a:latin typeface="Times New Roman"/>
          <a:ea typeface="Times New Roman"/>
          <a:cs typeface="Times New Roman"/>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kumimoji="0" lang="en-US" sz="1600" b="1" i="0" u="none" strike="noStrike" kern="1200" cap="all" spc="120" normalizeH="0" baseline="0" noProof="0">
                <a:ln>
                  <a:noFill/>
                </a:ln>
                <a:solidFill>
                  <a:sysClr val="windowText" lastClr="000000">
                    <a:lumMod val="65000"/>
                    <a:lumOff val="35000"/>
                  </a:sysClr>
                </a:solidFill>
                <a:effectLst/>
                <a:uLnTx/>
                <a:uFillTx/>
                <a:latin typeface="Calibri" panose="020F0502020204030204"/>
              </a:rPr>
              <a:t>Landata Statistics with trend line 2019-2020</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Title Searches</c:v>
                </c:pt>
              </c:strCache>
            </c:strRef>
          </c:tx>
          <c:spPr>
            <a:ln w="22225" cap="rnd">
              <a:solidFill>
                <a:srgbClr val="FF0000"/>
              </a:solidFill>
              <a:round/>
            </a:ln>
            <a:effectLst/>
          </c:spPr>
          <c:marker>
            <c:symbol val="none"/>
          </c:marker>
          <c:trendline>
            <c:spPr>
              <a:ln w="19050" cap="rnd">
                <a:solidFill>
                  <a:schemeClr val="dk1">
                    <a:tint val="88500"/>
                  </a:schemeClr>
                </a:solidFill>
                <a:prstDash val="sysDash"/>
              </a:ln>
              <a:effectLst/>
            </c:spPr>
            <c:trendlineType val="linear"/>
            <c:dispRSqr val="0"/>
            <c:dispEq val="0"/>
          </c:trendline>
          <c:cat>
            <c:strRef>
              <c:f>Sheet1!$A$2:$A$13</c:f>
              <c:strCache>
                <c:ptCount val="12"/>
                <c:pt idx="0">
                  <c:v>Jul</c:v>
                </c:pt>
                <c:pt idx="1">
                  <c:v>Aug</c:v>
                </c:pt>
                <c:pt idx="2">
                  <c:v>Sep</c:v>
                </c:pt>
                <c:pt idx="3">
                  <c:v>Oct</c:v>
                </c:pt>
                <c:pt idx="4">
                  <c:v>Nov</c:v>
                </c:pt>
                <c:pt idx="5">
                  <c:v>Dec</c:v>
                </c:pt>
                <c:pt idx="6">
                  <c:v>Jan</c:v>
                </c:pt>
                <c:pt idx="7">
                  <c:v>Feb</c:v>
                </c:pt>
                <c:pt idx="8">
                  <c:v>Mar</c:v>
                </c:pt>
                <c:pt idx="9">
                  <c:v>Apr</c:v>
                </c:pt>
                <c:pt idx="10">
                  <c:v>May </c:v>
                </c:pt>
                <c:pt idx="11">
                  <c:v>Jun</c:v>
                </c:pt>
              </c:strCache>
            </c:strRef>
          </c:cat>
          <c:val>
            <c:numRef>
              <c:f>Sheet1!$B$2:$B$13</c:f>
              <c:numCache>
                <c:formatCode>General</c:formatCode>
                <c:ptCount val="12"/>
                <c:pt idx="0">
                  <c:v>224859</c:v>
                </c:pt>
                <c:pt idx="1">
                  <c:v>226307</c:v>
                </c:pt>
                <c:pt idx="2">
                  <c:v>204735</c:v>
                </c:pt>
                <c:pt idx="3">
                  <c:v>236964</c:v>
                </c:pt>
                <c:pt idx="4">
                  <c:v>216899</c:v>
                </c:pt>
                <c:pt idx="5">
                  <c:v>184181</c:v>
                </c:pt>
                <c:pt idx="6">
                  <c:v>194703</c:v>
                </c:pt>
                <c:pt idx="7">
                  <c:v>219147</c:v>
                </c:pt>
                <c:pt idx="8">
                  <c:v>218641</c:v>
                </c:pt>
                <c:pt idx="9">
                  <c:v>189760</c:v>
                </c:pt>
                <c:pt idx="10">
                  <c:v>200716</c:v>
                </c:pt>
                <c:pt idx="11">
                  <c:v>219423</c:v>
                </c:pt>
              </c:numCache>
            </c:numRef>
          </c:val>
          <c:smooth val="0"/>
          <c:extLst>
            <c:ext xmlns:c16="http://schemas.microsoft.com/office/drawing/2014/chart" uri="{C3380CC4-5D6E-409C-BE32-E72D297353CC}">
              <c16:uniqueId val="{00000001-5B37-44E2-A340-7F1619AE03FA}"/>
            </c:ext>
          </c:extLst>
        </c:ser>
        <c:ser>
          <c:idx val="1"/>
          <c:order val="1"/>
          <c:tx>
            <c:strRef>
              <c:f>Sheet1!$C$1</c:f>
              <c:strCache>
                <c:ptCount val="1"/>
                <c:pt idx="0">
                  <c:v>Instruments</c:v>
                </c:pt>
              </c:strCache>
            </c:strRef>
          </c:tx>
          <c:spPr>
            <a:ln w="22225" cap="rnd">
              <a:solidFill>
                <a:schemeClr val="tx2">
                  <a:lumMod val="50000"/>
                </a:schemeClr>
              </a:solidFill>
              <a:round/>
            </a:ln>
            <a:effectLst/>
          </c:spPr>
          <c:marker>
            <c:symbol val="none"/>
          </c:marker>
          <c:trendline>
            <c:spPr>
              <a:ln w="19050" cap="rnd">
                <a:solidFill>
                  <a:schemeClr val="dk1">
                    <a:tint val="55000"/>
                  </a:schemeClr>
                </a:solidFill>
                <a:prstDash val="sysDash"/>
              </a:ln>
              <a:effectLst/>
            </c:spPr>
            <c:trendlineType val="linear"/>
            <c:dispRSqr val="0"/>
            <c:dispEq val="0"/>
          </c:trendline>
          <c:cat>
            <c:strRef>
              <c:f>Sheet1!$A$2:$A$13</c:f>
              <c:strCache>
                <c:ptCount val="12"/>
                <c:pt idx="0">
                  <c:v>Jul</c:v>
                </c:pt>
                <c:pt idx="1">
                  <c:v>Aug</c:v>
                </c:pt>
                <c:pt idx="2">
                  <c:v>Sep</c:v>
                </c:pt>
                <c:pt idx="3">
                  <c:v>Oct</c:v>
                </c:pt>
                <c:pt idx="4">
                  <c:v>Nov</c:v>
                </c:pt>
                <c:pt idx="5">
                  <c:v>Dec</c:v>
                </c:pt>
                <c:pt idx="6">
                  <c:v>Jan</c:v>
                </c:pt>
                <c:pt idx="7">
                  <c:v>Feb</c:v>
                </c:pt>
                <c:pt idx="8">
                  <c:v>Mar</c:v>
                </c:pt>
                <c:pt idx="9">
                  <c:v>Apr</c:v>
                </c:pt>
                <c:pt idx="10">
                  <c:v>May </c:v>
                </c:pt>
                <c:pt idx="11">
                  <c:v>Jun</c:v>
                </c:pt>
              </c:strCache>
            </c:strRef>
          </c:cat>
          <c:val>
            <c:numRef>
              <c:f>Sheet1!$C$2:$C$13</c:f>
              <c:numCache>
                <c:formatCode>General</c:formatCode>
                <c:ptCount val="12"/>
                <c:pt idx="0">
                  <c:v>52282</c:v>
                </c:pt>
                <c:pt idx="1">
                  <c:v>50630</c:v>
                </c:pt>
                <c:pt idx="2">
                  <c:v>38211</c:v>
                </c:pt>
                <c:pt idx="3">
                  <c:v>57244</c:v>
                </c:pt>
                <c:pt idx="4">
                  <c:v>49933</c:v>
                </c:pt>
                <c:pt idx="5">
                  <c:v>8321</c:v>
                </c:pt>
                <c:pt idx="6">
                  <c:v>34514</c:v>
                </c:pt>
                <c:pt idx="7">
                  <c:v>39467</c:v>
                </c:pt>
                <c:pt idx="8">
                  <c:v>37492</c:v>
                </c:pt>
                <c:pt idx="9">
                  <c:v>28676</c:v>
                </c:pt>
                <c:pt idx="10">
                  <c:v>32275</c:v>
                </c:pt>
                <c:pt idx="11">
                  <c:v>37522</c:v>
                </c:pt>
              </c:numCache>
            </c:numRef>
          </c:val>
          <c:smooth val="0"/>
          <c:extLst>
            <c:ext xmlns:c16="http://schemas.microsoft.com/office/drawing/2014/chart" uri="{C3380CC4-5D6E-409C-BE32-E72D297353CC}">
              <c16:uniqueId val="{00000003-5B37-44E2-A340-7F1619AE03FA}"/>
            </c:ext>
          </c:extLst>
        </c:ser>
        <c:ser>
          <c:idx val="2"/>
          <c:order val="2"/>
          <c:tx>
            <c:strRef>
              <c:f>Sheet1!$D$1</c:f>
              <c:strCache>
                <c:ptCount val="1"/>
                <c:pt idx="0">
                  <c:v>Plans</c:v>
                </c:pt>
              </c:strCache>
            </c:strRef>
          </c:tx>
          <c:spPr>
            <a:ln w="22225" cap="rnd">
              <a:solidFill>
                <a:srgbClr val="7030A0"/>
              </a:solidFill>
              <a:round/>
            </a:ln>
            <a:effectLst/>
          </c:spPr>
          <c:marker>
            <c:symbol val="none"/>
          </c:marker>
          <c:trendline>
            <c:spPr>
              <a:ln w="19050" cap="rnd">
                <a:solidFill>
                  <a:schemeClr val="dk1">
                    <a:tint val="75000"/>
                  </a:schemeClr>
                </a:solidFill>
                <a:prstDash val="sysDash"/>
              </a:ln>
              <a:effectLst/>
            </c:spPr>
            <c:trendlineType val="linear"/>
            <c:dispRSqr val="0"/>
            <c:dispEq val="0"/>
          </c:trendline>
          <c:cat>
            <c:strRef>
              <c:f>Sheet1!$A$2:$A$13</c:f>
              <c:strCache>
                <c:ptCount val="12"/>
                <c:pt idx="0">
                  <c:v>Jul</c:v>
                </c:pt>
                <c:pt idx="1">
                  <c:v>Aug</c:v>
                </c:pt>
                <c:pt idx="2">
                  <c:v>Sep</c:v>
                </c:pt>
                <c:pt idx="3">
                  <c:v>Oct</c:v>
                </c:pt>
                <c:pt idx="4">
                  <c:v>Nov</c:v>
                </c:pt>
                <c:pt idx="5">
                  <c:v>Dec</c:v>
                </c:pt>
                <c:pt idx="6">
                  <c:v>Jan</c:v>
                </c:pt>
                <c:pt idx="7">
                  <c:v>Feb</c:v>
                </c:pt>
                <c:pt idx="8">
                  <c:v>Mar</c:v>
                </c:pt>
                <c:pt idx="9">
                  <c:v>Apr</c:v>
                </c:pt>
                <c:pt idx="10">
                  <c:v>May </c:v>
                </c:pt>
                <c:pt idx="11">
                  <c:v>Jun</c:v>
                </c:pt>
              </c:strCache>
            </c:strRef>
          </c:cat>
          <c:val>
            <c:numRef>
              <c:f>Sheet1!$D$2:$D$13</c:f>
              <c:numCache>
                <c:formatCode>General</c:formatCode>
                <c:ptCount val="12"/>
                <c:pt idx="0">
                  <c:v>77421</c:v>
                </c:pt>
                <c:pt idx="1">
                  <c:v>75642</c:v>
                </c:pt>
                <c:pt idx="2">
                  <c:v>70254</c:v>
                </c:pt>
                <c:pt idx="3">
                  <c:v>84265</c:v>
                </c:pt>
                <c:pt idx="4">
                  <c:v>76052</c:v>
                </c:pt>
                <c:pt idx="5">
                  <c:v>56343</c:v>
                </c:pt>
                <c:pt idx="6">
                  <c:v>68088</c:v>
                </c:pt>
                <c:pt idx="7">
                  <c:v>76408</c:v>
                </c:pt>
                <c:pt idx="8">
                  <c:v>74509</c:v>
                </c:pt>
                <c:pt idx="9">
                  <c:v>59337</c:v>
                </c:pt>
                <c:pt idx="10">
                  <c:v>65653</c:v>
                </c:pt>
                <c:pt idx="11">
                  <c:v>73695</c:v>
                </c:pt>
              </c:numCache>
            </c:numRef>
          </c:val>
          <c:smooth val="0"/>
          <c:extLst>
            <c:ext xmlns:c16="http://schemas.microsoft.com/office/drawing/2014/chart" uri="{C3380CC4-5D6E-409C-BE32-E72D297353CC}">
              <c16:uniqueId val="{00000005-5B37-44E2-A340-7F1619AE03FA}"/>
            </c:ext>
          </c:extLst>
        </c:ser>
        <c:ser>
          <c:idx val="3"/>
          <c:order val="3"/>
          <c:tx>
            <c:strRef>
              <c:f>Sheet1!$E$1</c:f>
              <c:strCache>
                <c:ptCount val="1"/>
                <c:pt idx="0">
                  <c:v>Land Index</c:v>
                </c:pt>
              </c:strCache>
            </c:strRef>
          </c:tx>
          <c:spPr>
            <a:ln w="22225" cap="rnd">
              <a:solidFill>
                <a:srgbClr val="00B050"/>
              </a:solidFill>
              <a:round/>
            </a:ln>
            <a:effectLst/>
          </c:spPr>
          <c:marker>
            <c:symbol val="none"/>
          </c:marker>
          <c:trendline>
            <c:spPr>
              <a:ln w="19050" cap="rnd">
                <a:solidFill>
                  <a:schemeClr val="dk1">
                    <a:tint val="98500"/>
                  </a:schemeClr>
                </a:solidFill>
                <a:prstDash val="sysDash"/>
              </a:ln>
              <a:effectLst/>
            </c:spPr>
            <c:trendlineType val="linear"/>
            <c:dispRSqr val="0"/>
            <c:dispEq val="0"/>
          </c:trendline>
          <c:cat>
            <c:strRef>
              <c:f>Sheet1!$A$2:$A$13</c:f>
              <c:strCache>
                <c:ptCount val="12"/>
                <c:pt idx="0">
                  <c:v>Jul</c:v>
                </c:pt>
                <c:pt idx="1">
                  <c:v>Aug</c:v>
                </c:pt>
                <c:pt idx="2">
                  <c:v>Sep</c:v>
                </c:pt>
                <c:pt idx="3">
                  <c:v>Oct</c:v>
                </c:pt>
                <c:pt idx="4">
                  <c:v>Nov</c:v>
                </c:pt>
                <c:pt idx="5">
                  <c:v>Dec</c:v>
                </c:pt>
                <c:pt idx="6">
                  <c:v>Jan</c:v>
                </c:pt>
                <c:pt idx="7">
                  <c:v>Feb</c:v>
                </c:pt>
                <c:pt idx="8">
                  <c:v>Mar</c:v>
                </c:pt>
                <c:pt idx="9">
                  <c:v>Apr</c:v>
                </c:pt>
                <c:pt idx="10">
                  <c:v>May </c:v>
                </c:pt>
                <c:pt idx="11">
                  <c:v>Jun</c:v>
                </c:pt>
              </c:strCache>
            </c:strRef>
          </c:cat>
          <c:val>
            <c:numRef>
              <c:f>Sheet1!$E$2:$E$13</c:f>
              <c:numCache>
                <c:formatCode>General</c:formatCode>
                <c:ptCount val="12"/>
                <c:pt idx="0">
                  <c:v>120657</c:v>
                </c:pt>
                <c:pt idx="1">
                  <c:v>122226</c:v>
                </c:pt>
                <c:pt idx="2">
                  <c:v>111341</c:v>
                </c:pt>
                <c:pt idx="3">
                  <c:v>128742</c:v>
                </c:pt>
                <c:pt idx="4">
                  <c:v>117819</c:v>
                </c:pt>
                <c:pt idx="5">
                  <c:v>95939</c:v>
                </c:pt>
                <c:pt idx="6">
                  <c:v>101826</c:v>
                </c:pt>
                <c:pt idx="7">
                  <c:v>116985</c:v>
                </c:pt>
                <c:pt idx="8">
                  <c:v>111510</c:v>
                </c:pt>
                <c:pt idx="9">
                  <c:v>101208</c:v>
                </c:pt>
                <c:pt idx="10">
                  <c:v>105820</c:v>
                </c:pt>
                <c:pt idx="11">
                  <c:v>118225</c:v>
                </c:pt>
              </c:numCache>
            </c:numRef>
          </c:val>
          <c:smooth val="0"/>
          <c:extLst>
            <c:ext xmlns:c16="http://schemas.microsoft.com/office/drawing/2014/chart" uri="{C3380CC4-5D6E-409C-BE32-E72D297353CC}">
              <c16:uniqueId val="{00000007-5B37-44E2-A340-7F1619AE03FA}"/>
            </c:ext>
          </c:extLst>
        </c:ser>
        <c:ser>
          <c:idx val="4"/>
          <c:order val="4"/>
          <c:tx>
            <c:strRef>
              <c:f>Sheet1!$F$1</c:f>
              <c:strCache>
                <c:ptCount val="1"/>
                <c:pt idx="0">
                  <c:v>LSS1</c:v>
                </c:pt>
              </c:strCache>
            </c:strRef>
          </c:tx>
          <c:spPr>
            <a:ln w="22225" cap="rnd">
              <a:solidFill>
                <a:schemeClr val="dk1">
                  <a:tint val="30000"/>
                </a:schemeClr>
              </a:solidFill>
              <a:round/>
            </a:ln>
            <a:effectLst/>
          </c:spPr>
          <c:marker>
            <c:symbol val="none"/>
          </c:marker>
          <c:cat>
            <c:strRef>
              <c:f>Sheet1!$A$2:$A$13</c:f>
              <c:strCache>
                <c:ptCount val="12"/>
                <c:pt idx="0">
                  <c:v>Jul</c:v>
                </c:pt>
                <c:pt idx="1">
                  <c:v>Aug</c:v>
                </c:pt>
                <c:pt idx="2">
                  <c:v>Sep</c:v>
                </c:pt>
                <c:pt idx="3">
                  <c:v>Oct</c:v>
                </c:pt>
                <c:pt idx="4">
                  <c:v>Nov</c:v>
                </c:pt>
                <c:pt idx="5">
                  <c:v>Dec</c:v>
                </c:pt>
                <c:pt idx="6">
                  <c:v>Jan</c:v>
                </c:pt>
                <c:pt idx="7">
                  <c:v>Feb</c:v>
                </c:pt>
                <c:pt idx="8">
                  <c:v>Mar</c:v>
                </c:pt>
                <c:pt idx="9">
                  <c:v>Apr</c:v>
                </c:pt>
                <c:pt idx="10">
                  <c:v>May </c:v>
                </c:pt>
                <c:pt idx="11">
                  <c:v>Jun</c:v>
                </c:pt>
              </c:strCache>
            </c:strRef>
          </c:cat>
          <c:val>
            <c:numRef>
              <c:f>Sheet1!$F$2:$F$13</c:f>
              <c:numCache>
                <c:formatCode>General</c:formatCode>
                <c:ptCount val="12"/>
                <c:pt idx="0">
                  <c:v>40749</c:v>
                </c:pt>
                <c:pt idx="1">
                  <c:v>37969</c:v>
                </c:pt>
                <c:pt idx="2">
                  <c:v>36696</c:v>
                </c:pt>
                <c:pt idx="3">
                  <c:v>42753</c:v>
                </c:pt>
                <c:pt idx="4">
                  <c:v>41183</c:v>
                </c:pt>
                <c:pt idx="5">
                  <c:v>39482</c:v>
                </c:pt>
                <c:pt idx="6">
                  <c:v>34767</c:v>
                </c:pt>
                <c:pt idx="7">
                  <c:v>37404</c:v>
                </c:pt>
                <c:pt idx="8">
                  <c:v>41632</c:v>
                </c:pt>
                <c:pt idx="9">
                  <c:v>36604</c:v>
                </c:pt>
                <c:pt idx="10">
                  <c:v>43497</c:v>
                </c:pt>
                <c:pt idx="11">
                  <c:v>43431</c:v>
                </c:pt>
              </c:numCache>
            </c:numRef>
          </c:val>
          <c:smooth val="0"/>
          <c:extLst>
            <c:ext xmlns:c16="http://schemas.microsoft.com/office/drawing/2014/chart" uri="{C3380CC4-5D6E-409C-BE32-E72D297353CC}">
              <c16:uniqueId val="{00000008-5B37-44E2-A340-7F1619AE03FA}"/>
            </c:ext>
          </c:extLst>
        </c:ser>
        <c:dLbls>
          <c:showLegendKey val="0"/>
          <c:showVal val="0"/>
          <c:showCatName val="0"/>
          <c:showSerName val="0"/>
          <c:showPercent val="0"/>
          <c:showBubbleSize val="0"/>
        </c:dLbls>
        <c:smooth val="0"/>
        <c:axId val="731111024"/>
        <c:axId val="731115944"/>
      </c:lineChart>
      <c:catAx>
        <c:axId val="731111024"/>
        <c:scaling>
          <c:orientation val="minMax"/>
        </c:scaling>
        <c:delete val="0"/>
        <c:axPos val="b"/>
        <c:numFmt formatCode="m/d/yyyy"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mn-lt"/>
                <a:ea typeface="+mn-ea"/>
                <a:cs typeface="+mn-cs"/>
              </a:defRPr>
            </a:pPr>
            <a:endParaRPr lang="en-US"/>
          </a:p>
        </c:txPr>
        <c:crossAx val="731115944"/>
        <c:crosses val="autoZero"/>
        <c:auto val="1"/>
        <c:lblAlgn val="ctr"/>
        <c:lblOffset val="100"/>
        <c:noMultiLvlLbl val="1"/>
      </c:catAx>
      <c:valAx>
        <c:axId val="731115944"/>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1111024"/>
        <c:crosses val="autoZero"/>
        <c:crossBetween val="between"/>
        <c:minorUnit val="2000"/>
      </c:valAx>
      <c:spPr>
        <a:noFill/>
        <a:ln cmpd="sng">
          <a:solidFill>
            <a:schemeClr val="tx1"/>
          </a:solidFill>
        </a:ln>
        <a:effectLst/>
      </c:spPr>
    </c:plotArea>
    <c:legend>
      <c:legendPos val="t"/>
      <c:legendEntry>
        <c:idx val="5"/>
        <c:delete val="1"/>
      </c:legendEntry>
      <c:legendEntry>
        <c:idx val="6"/>
        <c:delete val="1"/>
      </c:legendEntry>
      <c:legendEntry>
        <c:idx val="7"/>
        <c:delete val="1"/>
      </c:legendEntry>
      <c:legendEntry>
        <c:idx val="8"/>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797aeec6-0273-40f2-ab3e-beee73212332"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75D14DD0107DB3429CEA5B61994F4730" ma:contentTypeVersion="17" ma:contentTypeDescription="Create a new document." ma:contentTypeScope="" ma:versionID="e2cb83c8da106cd45155b3acd465fa56">
  <xsd:schema xmlns:xsd="http://www.w3.org/2001/XMLSchema" xmlns:xs="http://www.w3.org/2001/XMLSchema" xmlns:p="http://schemas.microsoft.com/office/2006/metadata/properties" xmlns:ns3="9015103a-faad-4b62-9a46-e6493da446ca" xmlns:ns4="a5f32de4-e402-4188-b034-e71ca7d22e54" targetNamespace="http://schemas.microsoft.com/office/2006/metadata/properties" ma:root="true" ma:fieldsID="60e03e0e816dfc6be415ff06f3128b4f" ns3:_="" ns4:_="">
    <xsd:import namespace="9015103a-faad-4b62-9a46-e6493da446ca"/>
    <xsd:import namespace="a5f32de4-e402-4188-b034-e71ca7d22e54"/>
    <xsd:element name="properties">
      <xsd:complexType>
        <xsd:sequence>
          <xsd:element name="documentManagement">
            <xsd:complexType>
              <xsd:all>
                <xsd:element ref="ns3:MediaServiceFastMetadata" minOccurs="0"/>
                <xsd:element ref="ns3:MediaServiceMetadata" minOccurs="0"/>
                <xsd:element ref="ns4:_dlc_DocId" minOccurs="0"/>
                <xsd:element ref="ns4:_dlc_DocIdUrl" minOccurs="0"/>
                <xsd:element ref="ns4:_dlc_DocIdPersistId"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5103a-faad-4b62-9a46-e6493da446ca"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description="" ma:hidden="true" ma:internalName="MediaServiceFastMetadata" ma:readOnly="true">
      <xsd:simpleType>
        <xsd:restriction base="dms:Note"/>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003C8-3105-4843-A9A8-04FDB596D11F}">
  <ds:schemaRefs>
    <ds:schemaRef ds:uri="http://schemas.microsoft.com/sharepoint/events"/>
  </ds:schemaRefs>
</ds:datastoreItem>
</file>

<file path=customXml/itemProps2.xml><?xml version="1.0" encoding="utf-8"?>
<ds:datastoreItem xmlns:ds="http://schemas.openxmlformats.org/officeDocument/2006/customXml" ds:itemID="{5C5E0A55-DE63-4995-B9B7-68CB978AE5D9}">
  <ds:schemaRefs>
    <ds:schemaRef ds:uri="Microsoft.SharePoint.Taxonomy.ContentTypeSync"/>
  </ds:schemaRefs>
</ds:datastoreItem>
</file>

<file path=customXml/itemProps3.xml><?xml version="1.0" encoding="utf-8"?>
<ds:datastoreItem xmlns:ds="http://schemas.openxmlformats.org/officeDocument/2006/customXml" ds:itemID="{17917B68-13E8-4129-BB10-795AD452C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5103a-faad-4b62-9a46-e6493da446ca"/>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F548A-EC89-40ED-BC0E-BF88F048C0D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AD30778-CFEC-434C-B6EE-AF237325AB65}">
  <ds:schemaRefs>
    <ds:schemaRef ds:uri="http://schemas.microsoft.com/sharepoint/v3/contenttype/forms"/>
  </ds:schemaRefs>
</ds:datastoreItem>
</file>

<file path=customXml/itemProps6.xml><?xml version="1.0" encoding="utf-8"?>
<ds:datastoreItem xmlns:ds="http://schemas.openxmlformats.org/officeDocument/2006/customXml" ds:itemID="{CC286699-2B2C-4E0C-9D3E-24641E7B2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24</TotalTime>
  <Pages>1</Pages>
  <Words>2616</Words>
  <Characters>14915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Tina Osborn</dc:creator>
  <cp:lastModifiedBy>Richard Jefferson (DELWP)</cp:lastModifiedBy>
  <cp:revision>11</cp:revision>
  <cp:lastPrinted>2019-08-29T00:37:00Z</cp:lastPrinted>
  <dcterms:created xsi:type="dcterms:W3CDTF">2020-07-28T01:09:00Z</dcterms:created>
  <dcterms:modified xsi:type="dcterms:W3CDTF">2020-07-28T01:41:00Z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0x01010075D14DD0107DB3429CEA5B61994F4730</vt:lpwstr>
  </property>
</Properties>
</file>