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AAD1AB0" w14:textId="77777777" w:rsidTr="003F46E9">
        <w:trPr>
          <w:trHeight w:hRule="exact" w:val="1418"/>
        </w:trPr>
        <w:tc>
          <w:tcPr>
            <w:tcW w:w="7761" w:type="dxa"/>
            <w:vAlign w:val="center"/>
          </w:tcPr>
          <w:p w14:paraId="7207188A" w14:textId="77777777" w:rsidR="00656225" w:rsidRDefault="00656225" w:rsidP="00656225">
            <w:pPr>
              <w:pStyle w:val="Title"/>
            </w:pPr>
            <w:bookmarkStart w:id="0" w:name="_GoBack"/>
            <w:bookmarkEnd w:id="0"/>
            <w:r>
              <w:t xml:space="preserve">Land Use Victoria </w:t>
            </w:r>
          </w:p>
          <w:p w14:paraId="4ED40303" w14:textId="107C8A9F" w:rsidR="00D849DC" w:rsidRDefault="00656225" w:rsidP="00656225">
            <w:pPr>
              <w:pStyle w:val="Title"/>
            </w:pPr>
            <w:r>
              <w:t>Customer Information Bulletin 2</w:t>
            </w:r>
            <w:r w:rsidR="00D849DC">
              <w:t>03</w:t>
            </w:r>
          </w:p>
          <w:p w14:paraId="34FDE0FD" w14:textId="39661A74" w:rsidR="00656225" w:rsidRPr="00656225" w:rsidRDefault="00D849DC" w:rsidP="00656225">
            <w:pPr>
              <w:pStyle w:val="Title"/>
            </w:pPr>
            <w:r>
              <w:t>May 2020</w:t>
            </w:r>
            <w:r w:rsidR="00656225">
              <w:t xml:space="preserve"> </w:t>
            </w:r>
          </w:p>
        </w:tc>
      </w:tr>
    </w:tbl>
    <w:p w14:paraId="37AB05D1" w14:textId="684CB366" w:rsidR="00806AB6" w:rsidRDefault="00806AB6" w:rsidP="00307C36"/>
    <w:p w14:paraId="370AF2CD"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5FC39C89" w14:textId="77777777" w:rsidR="00D849DC" w:rsidRDefault="00D849DC" w:rsidP="004A1371">
      <w:pPr>
        <w:pStyle w:val="Heading1"/>
        <w:numPr>
          <w:ilvl w:val="0"/>
          <w:numId w:val="0"/>
        </w:numPr>
      </w:pPr>
      <w:bookmarkStart w:id="1" w:name="Here"/>
      <w:bookmarkEnd w:id="1"/>
    </w:p>
    <w:p w14:paraId="2FB9ADE6" w14:textId="331BCF3B" w:rsidR="00656225" w:rsidRPr="00656225" w:rsidRDefault="00656225" w:rsidP="004A1371">
      <w:pPr>
        <w:pStyle w:val="Heading1"/>
        <w:numPr>
          <w:ilvl w:val="0"/>
          <w:numId w:val="0"/>
        </w:numPr>
      </w:pPr>
      <w:r w:rsidRPr="00656225">
        <w:t xml:space="preserve">Lodging </w:t>
      </w:r>
      <w:r w:rsidR="00054FB5">
        <w:t>f</w:t>
      </w:r>
      <w:r w:rsidRPr="00656225">
        <w:t>ees from 1 July 2020 – no change</w:t>
      </w:r>
    </w:p>
    <w:p w14:paraId="01510D2D" w14:textId="4EDB6276" w:rsidR="00656225" w:rsidRPr="004A1371" w:rsidRDefault="00656225" w:rsidP="00656225">
      <w:pPr>
        <w:rPr>
          <w:rFonts w:ascii="Arial" w:hAnsi="Arial"/>
          <w:color w:val="auto"/>
          <w:sz w:val="22"/>
          <w:szCs w:val="22"/>
        </w:rPr>
      </w:pPr>
      <w:r w:rsidRPr="004A1371">
        <w:rPr>
          <w:rFonts w:ascii="Arial" w:hAnsi="Arial"/>
          <w:color w:val="auto"/>
          <w:sz w:val="22"/>
          <w:szCs w:val="22"/>
        </w:rPr>
        <w:t xml:space="preserve">In accordance with </w:t>
      </w:r>
      <w:r w:rsidRPr="003E464B">
        <w:rPr>
          <w:rFonts w:ascii="Arial" w:hAnsi="Arial"/>
          <w:i/>
          <w:iCs/>
          <w:color w:val="auto"/>
          <w:sz w:val="22"/>
          <w:szCs w:val="22"/>
        </w:rPr>
        <w:t xml:space="preserve">Monetary Units Act </w:t>
      </w:r>
      <w:r w:rsidR="00205DC5" w:rsidRPr="003E464B">
        <w:rPr>
          <w:rFonts w:ascii="Arial" w:hAnsi="Arial"/>
          <w:i/>
          <w:iCs/>
          <w:color w:val="auto"/>
          <w:sz w:val="22"/>
          <w:szCs w:val="22"/>
        </w:rPr>
        <w:t>2004</w:t>
      </w:r>
      <w:r w:rsidRPr="004A1371">
        <w:rPr>
          <w:rFonts w:ascii="Arial" w:hAnsi="Arial"/>
          <w:color w:val="auto"/>
          <w:sz w:val="22"/>
          <w:szCs w:val="22"/>
        </w:rPr>
        <w:t>, the Treasurer has fixed the value of a fee unit for the financial year commencing 1 July 2020</w:t>
      </w:r>
      <w:r w:rsidR="00BC57B7">
        <w:rPr>
          <w:rFonts w:ascii="Arial" w:hAnsi="Arial"/>
          <w:color w:val="auto"/>
          <w:sz w:val="22"/>
          <w:szCs w:val="22"/>
        </w:rPr>
        <w:t>.</w:t>
      </w:r>
      <w:r w:rsidR="009C0F80">
        <w:rPr>
          <w:rFonts w:ascii="Arial" w:hAnsi="Arial"/>
          <w:color w:val="auto"/>
          <w:sz w:val="22"/>
          <w:szCs w:val="22"/>
        </w:rPr>
        <w:t xml:space="preserve">  </w:t>
      </w:r>
      <w:r w:rsidRPr="004A1371">
        <w:rPr>
          <w:rFonts w:ascii="Arial" w:hAnsi="Arial"/>
          <w:color w:val="auto"/>
          <w:sz w:val="22"/>
          <w:szCs w:val="22"/>
        </w:rPr>
        <w:t>Th</w:t>
      </w:r>
      <w:r w:rsidR="00BC57B7">
        <w:rPr>
          <w:rFonts w:ascii="Arial" w:hAnsi="Arial"/>
          <w:color w:val="auto"/>
          <w:sz w:val="22"/>
          <w:szCs w:val="22"/>
        </w:rPr>
        <w:t>e fee remains</w:t>
      </w:r>
      <w:r w:rsidRPr="004A1371">
        <w:rPr>
          <w:rFonts w:ascii="Arial" w:hAnsi="Arial"/>
          <w:color w:val="auto"/>
          <w:sz w:val="22"/>
          <w:szCs w:val="22"/>
        </w:rPr>
        <w:t xml:space="preserve"> unchanged </w:t>
      </w:r>
      <w:r w:rsidR="000F3F79">
        <w:rPr>
          <w:rFonts w:ascii="Arial" w:hAnsi="Arial"/>
          <w:color w:val="auto"/>
          <w:sz w:val="22"/>
          <w:szCs w:val="22"/>
        </w:rPr>
        <w:t xml:space="preserve">from the current financial year </w:t>
      </w:r>
      <w:r w:rsidR="00BC57B7">
        <w:rPr>
          <w:rFonts w:ascii="Arial" w:hAnsi="Arial"/>
          <w:color w:val="auto"/>
          <w:sz w:val="22"/>
          <w:szCs w:val="22"/>
        </w:rPr>
        <w:t>at $14.81</w:t>
      </w:r>
      <w:r w:rsidR="000F3F79">
        <w:rPr>
          <w:rFonts w:ascii="Arial" w:hAnsi="Arial"/>
          <w:color w:val="auto"/>
          <w:sz w:val="22"/>
          <w:szCs w:val="22"/>
        </w:rPr>
        <w:t>.</w:t>
      </w:r>
      <w:r w:rsidR="009C0F80">
        <w:rPr>
          <w:rFonts w:ascii="Arial" w:hAnsi="Arial"/>
          <w:color w:val="auto"/>
          <w:sz w:val="22"/>
          <w:szCs w:val="22"/>
        </w:rPr>
        <w:t xml:space="preserve"> </w:t>
      </w:r>
      <w:r w:rsidRPr="004A1371">
        <w:rPr>
          <w:rFonts w:ascii="Arial" w:hAnsi="Arial"/>
          <w:color w:val="auto"/>
          <w:sz w:val="22"/>
          <w:szCs w:val="22"/>
        </w:rPr>
        <w:t>From 1 July 2020, the fees for lodging transactions at Land Use Victoria remain the same.</w:t>
      </w:r>
    </w:p>
    <w:p w14:paraId="1D7328CE" w14:textId="77777777" w:rsidR="00656225" w:rsidRPr="004A1371" w:rsidRDefault="00656225" w:rsidP="00656225">
      <w:pPr>
        <w:rPr>
          <w:rFonts w:ascii="Arial" w:hAnsi="Arial"/>
          <w:color w:val="auto"/>
          <w:sz w:val="22"/>
          <w:szCs w:val="22"/>
        </w:rPr>
      </w:pPr>
    </w:p>
    <w:p w14:paraId="65F115D1" w14:textId="77777777" w:rsidR="00656225" w:rsidRPr="005232D1" w:rsidRDefault="00656225" w:rsidP="00656225">
      <w:pPr>
        <w:rPr>
          <w:rFonts w:ascii="Arial" w:hAnsi="Arial"/>
          <w:sz w:val="22"/>
          <w:szCs w:val="22"/>
        </w:rPr>
      </w:pPr>
      <w:r w:rsidRPr="004A1371">
        <w:rPr>
          <w:rFonts w:ascii="Arial" w:hAnsi="Arial"/>
          <w:color w:val="auto"/>
          <w:sz w:val="22"/>
          <w:szCs w:val="22"/>
        </w:rPr>
        <w:t xml:space="preserve">Comprehensive fee listings and fee calculators are at </w:t>
      </w:r>
      <w:hyperlink r:id="rId14" w:history="1">
        <w:r w:rsidRPr="005232D1">
          <w:rPr>
            <w:rStyle w:val="Hyperlink"/>
            <w:rFonts w:ascii="Arial" w:hAnsi="Arial"/>
            <w:sz w:val="22"/>
            <w:szCs w:val="22"/>
          </w:rPr>
          <w:t>https://www.propertyandlandtitles.vic.gov.au/forms-guides-and-fees/fees</w:t>
        </w:r>
      </w:hyperlink>
      <w:r w:rsidRPr="005232D1">
        <w:rPr>
          <w:rFonts w:ascii="Arial" w:hAnsi="Arial"/>
          <w:sz w:val="22"/>
          <w:szCs w:val="22"/>
        </w:rPr>
        <w:t xml:space="preserve">. </w:t>
      </w:r>
    </w:p>
    <w:p w14:paraId="6CDED3FE" w14:textId="77777777" w:rsidR="00656225" w:rsidRPr="005232D1" w:rsidRDefault="00656225" w:rsidP="00656225">
      <w:pPr>
        <w:rPr>
          <w:rFonts w:ascii="Arial" w:hAnsi="Arial"/>
          <w:sz w:val="22"/>
          <w:szCs w:val="22"/>
        </w:rPr>
      </w:pPr>
    </w:p>
    <w:p w14:paraId="3B77B05C" w14:textId="77777777" w:rsidR="00656225" w:rsidRPr="00AD136A" w:rsidRDefault="00656225" w:rsidP="00656225">
      <w:pPr>
        <w:pStyle w:val="Heading1"/>
      </w:pPr>
      <w:r w:rsidRPr="00AD136A">
        <w:t>Search fees from 1 July 2020</w:t>
      </w:r>
    </w:p>
    <w:p w14:paraId="79B58146" w14:textId="5A3C3F04" w:rsidR="00656225" w:rsidRPr="004D5D1E" w:rsidRDefault="003D5C3E" w:rsidP="00656225">
      <w:pPr>
        <w:rPr>
          <w:rFonts w:ascii="Arial" w:hAnsi="Arial"/>
          <w:sz w:val="22"/>
          <w:szCs w:val="22"/>
        </w:rPr>
      </w:pPr>
      <w:r>
        <w:rPr>
          <w:rFonts w:ascii="Arial" w:hAnsi="Arial"/>
          <w:iCs/>
          <w:color w:val="auto"/>
          <w:sz w:val="22"/>
          <w:szCs w:val="22"/>
        </w:rPr>
        <w:t>A small number of</w:t>
      </w:r>
      <w:r w:rsidRPr="004A1371">
        <w:rPr>
          <w:rFonts w:ascii="Arial" w:hAnsi="Arial"/>
          <w:iCs/>
          <w:color w:val="auto"/>
          <w:sz w:val="22"/>
          <w:szCs w:val="22"/>
        </w:rPr>
        <w:t xml:space="preserve"> </w:t>
      </w:r>
      <w:r w:rsidR="00656225" w:rsidRPr="004A1371">
        <w:rPr>
          <w:rFonts w:ascii="Arial" w:hAnsi="Arial"/>
          <w:iCs/>
          <w:color w:val="auto"/>
          <w:sz w:val="22"/>
          <w:szCs w:val="22"/>
        </w:rPr>
        <w:t xml:space="preserve">search fees may change. Land Use Victoria will notify </w:t>
      </w:r>
      <w:r w:rsidR="004A1371">
        <w:rPr>
          <w:rFonts w:ascii="Arial" w:hAnsi="Arial"/>
          <w:iCs/>
          <w:color w:val="auto"/>
          <w:sz w:val="22"/>
          <w:szCs w:val="22"/>
        </w:rPr>
        <w:t>customers</w:t>
      </w:r>
      <w:r w:rsidR="00656225" w:rsidRPr="004A1371">
        <w:rPr>
          <w:rFonts w:ascii="Arial" w:hAnsi="Arial"/>
          <w:iCs/>
          <w:color w:val="auto"/>
          <w:sz w:val="22"/>
          <w:szCs w:val="22"/>
        </w:rPr>
        <w:t xml:space="preserve"> when this has been confirmed. </w:t>
      </w:r>
    </w:p>
    <w:p w14:paraId="432D620D" w14:textId="77777777" w:rsidR="00656225" w:rsidRDefault="00656225" w:rsidP="00656225"/>
    <w:p w14:paraId="3F175DDF" w14:textId="77777777" w:rsidR="00656225" w:rsidRDefault="00656225" w:rsidP="00656225">
      <w:pPr>
        <w:pStyle w:val="Heading1"/>
        <w:rPr>
          <w:rFonts w:ascii="Arial" w:hAnsi="Arial"/>
          <w:color w:val="363534" w:themeColor="text1"/>
        </w:rPr>
      </w:pPr>
      <w:r w:rsidRPr="00AD136A">
        <w:t xml:space="preserve">Victorian Land Registry Services </w:t>
      </w:r>
      <w:r>
        <w:t>appoints new</w:t>
      </w:r>
      <w:r w:rsidRPr="00AD136A">
        <w:t xml:space="preserve"> CEO</w:t>
      </w:r>
      <w:r>
        <w:rPr>
          <w:rFonts w:ascii="Arial" w:hAnsi="Arial"/>
          <w:color w:val="363534" w:themeColor="text1"/>
        </w:rPr>
        <w:t xml:space="preserve">  </w:t>
      </w:r>
    </w:p>
    <w:p w14:paraId="7E7902FC" w14:textId="53B05CC0" w:rsidR="00656225" w:rsidRPr="004A1371" w:rsidRDefault="00656225" w:rsidP="00656225">
      <w:pPr>
        <w:pStyle w:val="NormalWeb"/>
        <w:shd w:val="clear" w:color="auto" w:fill="FFFFFF"/>
        <w:spacing w:after="240"/>
        <w:rPr>
          <w:rFonts w:ascii="Arial" w:hAnsi="Arial" w:cs="Arial"/>
          <w:color w:val="auto"/>
          <w:sz w:val="22"/>
          <w:szCs w:val="22"/>
        </w:rPr>
      </w:pPr>
      <w:r w:rsidRPr="004A1371">
        <w:rPr>
          <w:rFonts w:ascii="Arial" w:hAnsi="Arial" w:cs="Arial"/>
          <w:color w:val="auto"/>
          <w:sz w:val="22"/>
          <w:szCs w:val="22"/>
        </w:rPr>
        <w:t xml:space="preserve">Victorian Land Registry Services (VLRS) Chair Cheryl Batagol recently announced the appointment </w:t>
      </w:r>
      <w:r w:rsidR="00845584" w:rsidRPr="004A1371">
        <w:rPr>
          <w:rFonts w:ascii="Arial" w:hAnsi="Arial" w:cs="Arial"/>
          <w:color w:val="auto"/>
          <w:sz w:val="22"/>
          <w:szCs w:val="22"/>
        </w:rPr>
        <w:t>of Andrew</w:t>
      </w:r>
      <w:r w:rsidRPr="004A1371">
        <w:rPr>
          <w:rFonts w:ascii="Arial" w:hAnsi="Arial" w:cs="Arial"/>
          <w:color w:val="auto"/>
          <w:sz w:val="22"/>
          <w:szCs w:val="22"/>
        </w:rPr>
        <w:t xml:space="preserve"> Faber as Chief Executive Officer</w:t>
      </w:r>
      <w:r w:rsidR="000F3F79">
        <w:rPr>
          <w:rFonts w:ascii="Arial" w:hAnsi="Arial" w:cs="Arial"/>
          <w:color w:val="auto"/>
          <w:sz w:val="22"/>
          <w:szCs w:val="22"/>
        </w:rPr>
        <w:t xml:space="preserve"> of</w:t>
      </w:r>
      <w:r w:rsidRPr="004A1371">
        <w:rPr>
          <w:rFonts w:ascii="Arial" w:hAnsi="Arial" w:cs="Arial"/>
          <w:color w:val="auto"/>
          <w:sz w:val="22"/>
          <w:szCs w:val="22"/>
        </w:rPr>
        <w:t xml:space="preserve"> VLRS.</w:t>
      </w:r>
    </w:p>
    <w:p w14:paraId="23DE64F8" w14:textId="493E75C6" w:rsidR="00656225" w:rsidRPr="004A1371" w:rsidRDefault="00656225" w:rsidP="00656225">
      <w:pPr>
        <w:pStyle w:val="NormalWeb"/>
        <w:shd w:val="clear" w:color="auto" w:fill="FFFFFF"/>
        <w:spacing w:after="240"/>
        <w:rPr>
          <w:rFonts w:ascii="Arial" w:hAnsi="Arial" w:cs="Arial"/>
          <w:color w:val="auto"/>
          <w:sz w:val="22"/>
          <w:szCs w:val="22"/>
        </w:rPr>
      </w:pPr>
      <w:r w:rsidRPr="004A1371">
        <w:rPr>
          <w:rFonts w:ascii="Arial" w:hAnsi="Arial" w:cs="Arial"/>
          <w:color w:val="auto"/>
          <w:sz w:val="22"/>
          <w:szCs w:val="22"/>
        </w:rPr>
        <w:t xml:space="preserve">For more information please </w:t>
      </w:r>
      <w:r w:rsidR="000F3F79">
        <w:rPr>
          <w:rFonts w:ascii="Arial" w:hAnsi="Arial" w:cs="Arial"/>
          <w:color w:val="auto"/>
          <w:sz w:val="22"/>
          <w:szCs w:val="22"/>
        </w:rPr>
        <w:t>visit</w:t>
      </w:r>
      <w:r w:rsidRPr="004A1371">
        <w:rPr>
          <w:rFonts w:ascii="Arial" w:hAnsi="Arial" w:cs="Arial"/>
          <w:color w:val="auto"/>
          <w:sz w:val="22"/>
          <w:szCs w:val="22"/>
        </w:rPr>
        <w:t xml:space="preserve"> the VLRS website </w:t>
      </w:r>
      <w:hyperlink r:id="rId15" w:history="1">
        <w:r w:rsidRPr="004A1371">
          <w:rPr>
            <w:rStyle w:val="Hyperlink"/>
            <w:rFonts w:ascii="Arial" w:hAnsi="Arial" w:cs="Arial"/>
            <w:sz w:val="22"/>
            <w:szCs w:val="22"/>
          </w:rPr>
          <w:t>https://www.victorianlrs.com.au/victorian-land-registry-services-news-updates/</w:t>
        </w:r>
      </w:hyperlink>
    </w:p>
    <w:p w14:paraId="25D44354" w14:textId="77777777" w:rsidR="00656225" w:rsidRPr="009A4F04" w:rsidRDefault="00656225" w:rsidP="00656225">
      <w:pPr>
        <w:pStyle w:val="Heading1"/>
      </w:pPr>
      <w:r w:rsidRPr="009A4F04">
        <w:t>Update on the generic residual document ‘Record-Notice - Transfer of Land Act - Section 104’</w:t>
      </w:r>
    </w:p>
    <w:p w14:paraId="5B27C10F" w14:textId="77777777" w:rsidR="00656225" w:rsidRPr="005318DE" w:rsidRDefault="00656225" w:rsidP="00656225">
      <w:pPr>
        <w:rPr>
          <w:rFonts w:ascii="Arial" w:hAnsi="Arial"/>
          <w:color w:val="auto"/>
          <w:sz w:val="22"/>
          <w:szCs w:val="22"/>
        </w:rPr>
      </w:pPr>
      <w:r w:rsidRPr="00D50FCB">
        <w:rPr>
          <w:rFonts w:ascii="Arial" w:hAnsi="Arial"/>
          <w:color w:val="auto"/>
          <w:sz w:val="22"/>
          <w:szCs w:val="22"/>
        </w:rPr>
        <w:t>Subscribers are reminded of the following when using</w:t>
      </w:r>
      <w:r w:rsidRPr="00175814">
        <w:rPr>
          <w:rFonts w:ascii="Arial" w:hAnsi="Arial"/>
          <w:color w:val="auto"/>
          <w:sz w:val="22"/>
          <w:szCs w:val="22"/>
        </w:rPr>
        <w:t xml:space="preserve"> the generic residual document in PEXA to lodge eligible paper instruments</w:t>
      </w:r>
      <w:r w:rsidRPr="00A20380">
        <w:rPr>
          <w:rFonts w:ascii="Arial" w:hAnsi="Arial"/>
          <w:color w:val="auto"/>
          <w:sz w:val="22"/>
          <w:szCs w:val="22"/>
        </w:rPr>
        <w:t>.</w:t>
      </w:r>
    </w:p>
    <w:p w14:paraId="1F264A99" w14:textId="77777777" w:rsidR="00656225" w:rsidRPr="00845584" w:rsidRDefault="00656225" w:rsidP="00656225">
      <w:pPr>
        <w:pStyle w:val="Heading2"/>
        <w:rPr>
          <w:rStyle w:val="SubtleEmphasis"/>
          <w:i w:val="0"/>
          <w:iCs/>
          <w:color w:val="C00000"/>
        </w:rPr>
      </w:pPr>
      <w:r w:rsidRPr="00845584">
        <w:rPr>
          <w:rStyle w:val="SubtleEmphasis"/>
          <w:i w:val="0"/>
          <w:iCs/>
          <w:color w:val="C00000"/>
        </w:rPr>
        <w:t xml:space="preserve">Update to Lodging Summary form </w:t>
      </w:r>
    </w:p>
    <w:p w14:paraId="1B088383" w14:textId="7563D832" w:rsidR="00656225" w:rsidRPr="00D50FCB" w:rsidRDefault="00656225" w:rsidP="00656225">
      <w:pPr>
        <w:pStyle w:val="BodyText"/>
        <w:rPr>
          <w:rFonts w:ascii="Arial" w:hAnsi="Arial" w:cs="Arial"/>
          <w:color w:val="auto"/>
          <w:sz w:val="22"/>
          <w:szCs w:val="22"/>
        </w:rPr>
      </w:pPr>
      <w:r w:rsidRPr="004A1371">
        <w:rPr>
          <w:rFonts w:ascii="Arial" w:hAnsi="Arial" w:cs="Arial"/>
          <w:color w:val="auto"/>
          <w:sz w:val="22"/>
          <w:szCs w:val="22"/>
          <w:lang w:eastAsia="en-AU"/>
        </w:rPr>
        <w:t xml:space="preserve">A completed </w:t>
      </w:r>
      <w:hyperlink r:id="rId16" w:history="1">
        <w:r w:rsidRPr="004A1371">
          <w:rPr>
            <w:rFonts w:ascii="Arial" w:hAnsi="Arial"/>
            <w:color w:val="auto"/>
            <w:sz w:val="22"/>
            <w:szCs w:val="22"/>
          </w:rPr>
          <w:t>Lodging Summary form</w:t>
        </w:r>
      </w:hyperlink>
      <w:r w:rsidRPr="004A1371">
        <w:rPr>
          <w:rFonts w:ascii="Arial" w:hAnsi="Arial" w:cs="Arial"/>
          <w:color w:val="auto"/>
          <w:sz w:val="22"/>
          <w:szCs w:val="22"/>
          <w:lang w:eastAsia="en-AU"/>
        </w:rPr>
        <w:t xml:space="preserve"> must be included in the lodgment as an attached document (in the </w:t>
      </w:r>
      <w:r w:rsidR="00AD1840">
        <w:rPr>
          <w:rFonts w:ascii="Arial" w:hAnsi="Arial" w:cs="Arial"/>
          <w:color w:val="auto"/>
          <w:sz w:val="22"/>
          <w:szCs w:val="22"/>
          <w:lang w:eastAsia="en-AU"/>
        </w:rPr>
        <w:t>PDF</w:t>
      </w:r>
      <w:r w:rsidRPr="004A1371">
        <w:rPr>
          <w:rFonts w:ascii="Arial" w:hAnsi="Arial" w:cs="Arial"/>
          <w:color w:val="auto"/>
          <w:sz w:val="22"/>
          <w:szCs w:val="22"/>
          <w:lang w:eastAsia="en-AU"/>
        </w:rPr>
        <w:t xml:space="preserve"> file)</w:t>
      </w:r>
      <w:r w:rsidRPr="00D50FCB">
        <w:rPr>
          <w:rFonts w:ascii="Arial" w:hAnsi="Arial" w:cs="Arial"/>
          <w:color w:val="auto"/>
          <w:sz w:val="22"/>
          <w:szCs w:val="22"/>
        </w:rPr>
        <w:t>.</w:t>
      </w:r>
      <w:r w:rsidR="009C0F80">
        <w:rPr>
          <w:rFonts w:ascii="Arial" w:hAnsi="Arial" w:cs="Arial"/>
          <w:color w:val="auto"/>
          <w:sz w:val="22"/>
          <w:szCs w:val="22"/>
        </w:rPr>
        <w:t xml:space="preserve">  </w:t>
      </w:r>
      <w:r w:rsidRPr="00D50FCB">
        <w:rPr>
          <w:rFonts w:ascii="Arial" w:hAnsi="Arial" w:cs="Arial"/>
          <w:color w:val="auto"/>
          <w:sz w:val="22"/>
          <w:szCs w:val="22"/>
        </w:rPr>
        <w:t xml:space="preserve">This form has been updated to include a </w:t>
      </w:r>
      <w:r w:rsidRPr="00175814">
        <w:rPr>
          <w:rFonts w:ascii="Arial" w:hAnsi="Arial" w:cs="Arial"/>
          <w:color w:val="auto"/>
          <w:sz w:val="22"/>
          <w:szCs w:val="22"/>
        </w:rPr>
        <w:t>lodging part</w:t>
      </w:r>
      <w:r w:rsidRPr="00A20380">
        <w:rPr>
          <w:rFonts w:ascii="Arial" w:hAnsi="Arial" w:cs="Arial"/>
          <w:color w:val="auto"/>
          <w:sz w:val="22"/>
          <w:szCs w:val="22"/>
        </w:rPr>
        <w:t>y’s</w:t>
      </w:r>
      <w:r w:rsidRPr="005318DE">
        <w:rPr>
          <w:rFonts w:ascii="Arial" w:hAnsi="Arial" w:cs="Arial"/>
          <w:color w:val="auto"/>
          <w:sz w:val="22"/>
          <w:szCs w:val="22"/>
        </w:rPr>
        <w:t xml:space="preserve"> contact email address for correspondence</w:t>
      </w:r>
      <w:r w:rsidRPr="00D50FCB">
        <w:rPr>
          <w:rFonts w:ascii="Arial" w:hAnsi="Arial" w:cs="Arial"/>
          <w:color w:val="auto"/>
          <w:sz w:val="22"/>
          <w:szCs w:val="22"/>
        </w:rPr>
        <w:t xml:space="preserve">, including the </w:t>
      </w:r>
      <w:r w:rsidRPr="00D50FCB">
        <w:rPr>
          <w:rFonts w:ascii="Arial" w:hAnsi="Arial" w:cs="Arial"/>
          <w:i/>
          <w:color w:val="auto"/>
          <w:sz w:val="22"/>
          <w:szCs w:val="22"/>
        </w:rPr>
        <w:t xml:space="preserve">lodgment summary </w:t>
      </w:r>
      <w:r w:rsidRPr="00EE7E60">
        <w:rPr>
          <w:rFonts w:ascii="Arial" w:hAnsi="Arial" w:cs="Arial"/>
          <w:iCs/>
          <w:color w:val="auto"/>
          <w:sz w:val="22"/>
          <w:szCs w:val="22"/>
        </w:rPr>
        <w:t>or</w:t>
      </w:r>
      <w:r w:rsidRPr="00D50FCB">
        <w:rPr>
          <w:rFonts w:ascii="Arial" w:hAnsi="Arial" w:cs="Arial"/>
          <w:i/>
          <w:color w:val="auto"/>
          <w:sz w:val="22"/>
          <w:szCs w:val="22"/>
        </w:rPr>
        <w:t xml:space="preserve"> lodgment refusal.</w:t>
      </w:r>
      <w:r w:rsidRPr="00D50FCB">
        <w:rPr>
          <w:rFonts w:ascii="Arial" w:hAnsi="Arial" w:cs="Arial"/>
          <w:color w:val="auto"/>
          <w:sz w:val="22"/>
          <w:szCs w:val="22"/>
        </w:rPr>
        <w:t xml:space="preserve"> </w:t>
      </w:r>
      <w:r w:rsidR="009C0F80">
        <w:rPr>
          <w:rFonts w:ascii="Arial" w:hAnsi="Arial" w:cs="Arial"/>
          <w:color w:val="auto"/>
          <w:sz w:val="22"/>
          <w:szCs w:val="22"/>
        </w:rPr>
        <w:t xml:space="preserve"> </w:t>
      </w:r>
      <w:r w:rsidRPr="00D50FCB">
        <w:rPr>
          <w:rFonts w:ascii="Arial" w:hAnsi="Arial" w:cs="Arial"/>
          <w:color w:val="auto"/>
          <w:sz w:val="22"/>
          <w:szCs w:val="22"/>
        </w:rPr>
        <w:t>The lodgment summary form also confirms the lodging order and fees payable.</w:t>
      </w:r>
    </w:p>
    <w:p w14:paraId="30A9E759" w14:textId="35B9833A" w:rsidR="00656225" w:rsidRPr="00C41E7C" w:rsidRDefault="00656225" w:rsidP="00656225">
      <w:pPr>
        <w:pStyle w:val="BodyText"/>
        <w:rPr>
          <w:rFonts w:ascii="Arial" w:hAnsi="Arial" w:cs="Arial"/>
          <w:sz w:val="22"/>
          <w:szCs w:val="22"/>
        </w:rPr>
      </w:pPr>
      <w:r w:rsidRPr="00C41E7C">
        <w:rPr>
          <w:rFonts w:ascii="Arial" w:hAnsi="Arial" w:cs="Arial"/>
          <w:color w:val="auto"/>
          <w:sz w:val="22"/>
          <w:szCs w:val="22"/>
        </w:rPr>
        <w:t xml:space="preserve">The </w:t>
      </w:r>
      <w:r>
        <w:rPr>
          <w:rFonts w:ascii="Arial" w:hAnsi="Arial" w:cs="Arial"/>
          <w:color w:val="auto"/>
          <w:sz w:val="22"/>
          <w:szCs w:val="22"/>
        </w:rPr>
        <w:t>updated</w:t>
      </w:r>
      <w:r w:rsidRPr="00C41E7C">
        <w:rPr>
          <w:rFonts w:ascii="Arial" w:hAnsi="Arial" w:cs="Arial"/>
          <w:color w:val="auto"/>
          <w:sz w:val="22"/>
          <w:szCs w:val="22"/>
        </w:rPr>
        <w:t xml:space="preserve"> form </w:t>
      </w:r>
      <w:r w:rsidR="000F3F79">
        <w:rPr>
          <w:rFonts w:ascii="Arial" w:hAnsi="Arial" w:cs="Arial"/>
          <w:color w:val="auto"/>
          <w:sz w:val="22"/>
          <w:szCs w:val="22"/>
        </w:rPr>
        <w:t xml:space="preserve">is </w:t>
      </w:r>
      <w:r w:rsidRPr="00C41E7C">
        <w:rPr>
          <w:rFonts w:ascii="Arial" w:hAnsi="Arial" w:cs="Arial"/>
          <w:color w:val="auto"/>
          <w:sz w:val="22"/>
          <w:szCs w:val="22"/>
        </w:rPr>
        <w:t xml:space="preserve"> </w:t>
      </w:r>
      <w:r>
        <w:rPr>
          <w:rFonts w:ascii="Arial" w:hAnsi="Arial" w:cs="Arial"/>
          <w:color w:val="auto"/>
          <w:sz w:val="22"/>
          <w:szCs w:val="22"/>
        </w:rPr>
        <w:t>at</w:t>
      </w:r>
      <w:r w:rsidRPr="00C41E7C">
        <w:rPr>
          <w:rFonts w:ascii="Arial" w:hAnsi="Arial" w:cs="Arial"/>
          <w:color w:val="auto"/>
          <w:sz w:val="22"/>
          <w:szCs w:val="22"/>
        </w:rPr>
        <w:t xml:space="preserve"> </w:t>
      </w:r>
      <w:hyperlink r:id="rId17" w:history="1">
        <w:r w:rsidRPr="00C41E7C">
          <w:rPr>
            <w:rStyle w:val="Hyperlink"/>
            <w:rFonts w:ascii="Arial" w:hAnsi="Arial" w:cs="Arial"/>
            <w:sz w:val="22"/>
            <w:szCs w:val="22"/>
          </w:rPr>
          <w:t>https://www.propertyandlandtitles.vic.gov.au/forms-guides-and-fees/overview</w:t>
        </w:r>
      </w:hyperlink>
    </w:p>
    <w:p w14:paraId="011D0200" w14:textId="77777777" w:rsidR="00656225" w:rsidRDefault="00656225" w:rsidP="00656225">
      <w:pPr>
        <w:rPr>
          <w:rFonts w:ascii="Arial" w:hAnsi="Arial"/>
          <w:sz w:val="22"/>
          <w:szCs w:val="22"/>
        </w:rPr>
      </w:pPr>
    </w:p>
    <w:p w14:paraId="50E2641C" w14:textId="77777777" w:rsidR="00656225" w:rsidRPr="00845584" w:rsidRDefault="00656225" w:rsidP="00656225">
      <w:pPr>
        <w:rPr>
          <w:rStyle w:val="SubtleEmphasis"/>
          <w:b/>
          <w:i w:val="0"/>
          <w:iCs w:val="0"/>
          <w:color w:val="C00000"/>
          <w:sz w:val="22"/>
          <w:szCs w:val="22"/>
        </w:rPr>
      </w:pPr>
      <w:r w:rsidRPr="00845584">
        <w:rPr>
          <w:rStyle w:val="SubtleEmphasis"/>
          <w:b/>
          <w:i w:val="0"/>
          <w:iCs w:val="0"/>
          <w:color w:val="C00000"/>
          <w:sz w:val="22"/>
          <w:szCs w:val="22"/>
        </w:rPr>
        <w:lastRenderedPageBreak/>
        <w:t xml:space="preserve">Attached documents when using the generic residual document </w:t>
      </w:r>
    </w:p>
    <w:p w14:paraId="18276329" w14:textId="77777777" w:rsidR="00656225" w:rsidRPr="004A1371" w:rsidRDefault="00656225" w:rsidP="00656225">
      <w:pPr>
        <w:rPr>
          <w:rFonts w:ascii="Arial" w:hAnsi="Arial"/>
          <w:color w:val="auto"/>
          <w:sz w:val="22"/>
          <w:szCs w:val="22"/>
        </w:rPr>
      </w:pPr>
    </w:p>
    <w:p w14:paraId="3A13EACB" w14:textId="045C8AA6" w:rsidR="00656225" w:rsidRPr="004A1371" w:rsidRDefault="00656225" w:rsidP="00656225">
      <w:pPr>
        <w:rPr>
          <w:rFonts w:ascii="Arial" w:hAnsi="Arial"/>
          <w:color w:val="auto"/>
          <w:sz w:val="22"/>
          <w:szCs w:val="22"/>
        </w:rPr>
      </w:pPr>
      <w:r w:rsidRPr="004A1371">
        <w:rPr>
          <w:rFonts w:ascii="Arial" w:hAnsi="Arial"/>
          <w:color w:val="auto"/>
          <w:sz w:val="22"/>
          <w:szCs w:val="22"/>
        </w:rPr>
        <w:t xml:space="preserve">Only one </w:t>
      </w:r>
      <w:r w:rsidR="00AD1840">
        <w:rPr>
          <w:rFonts w:ascii="Arial" w:hAnsi="Arial"/>
          <w:color w:val="auto"/>
          <w:sz w:val="22"/>
          <w:szCs w:val="22"/>
        </w:rPr>
        <w:t>PDF</w:t>
      </w:r>
      <w:r w:rsidRPr="004A1371">
        <w:rPr>
          <w:rFonts w:ascii="Arial" w:hAnsi="Arial"/>
          <w:color w:val="auto"/>
          <w:sz w:val="22"/>
          <w:szCs w:val="22"/>
        </w:rPr>
        <w:t xml:space="preserve"> file is to be used for th</w:t>
      </w:r>
      <w:r w:rsidR="006E7369">
        <w:rPr>
          <w:rFonts w:ascii="Arial" w:hAnsi="Arial"/>
          <w:color w:val="auto"/>
          <w:sz w:val="22"/>
          <w:szCs w:val="22"/>
        </w:rPr>
        <w:t>e generic residual document</w:t>
      </w:r>
      <w:r w:rsidR="00D50FCB">
        <w:rPr>
          <w:rFonts w:ascii="Arial" w:hAnsi="Arial"/>
          <w:color w:val="auto"/>
          <w:sz w:val="22"/>
          <w:szCs w:val="22"/>
        </w:rPr>
        <w:t>.  The</w:t>
      </w:r>
      <w:r w:rsidR="004A1371">
        <w:rPr>
          <w:rFonts w:ascii="Arial" w:hAnsi="Arial"/>
          <w:color w:val="auto"/>
          <w:sz w:val="22"/>
          <w:szCs w:val="22"/>
        </w:rPr>
        <w:t xml:space="preserve"> </w:t>
      </w:r>
      <w:r w:rsidRPr="004A1371">
        <w:rPr>
          <w:rFonts w:ascii="Arial" w:hAnsi="Arial"/>
          <w:color w:val="auto"/>
          <w:sz w:val="22"/>
          <w:szCs w:val="22"/>
        </w:rPr>
        <w:t xml:space="preserve">file should include all </w:t>
      </w:r>
      <w:r w:rsidR="00D50FCB">
        <w:rPr>
          <w:rFonts w:ascii="Arial" w:hAnsi="Arial"/>
          <w:color w:val="auto"/>
          <w:sz w:val="22"/>
          <w:szCs w:val="22"/>
        </w:rPr>
        <w:t xml:space="preserve">of </w:t>
      </w:r>
      <w:r w:rsidRPr="004A1371">
        <w:rPr>
          <w:rFonts w:ascii="Arial" w:hAnsi="Arial"/>
          <w:color w:val="auto"/>
          <w:sz w:val="22"/>
          <w:szCs w:val="22"/>
        </w:rPr>
        <w:t>the paper instruments and necessary supporting documents to meet lodging requirements.</w:t>
      </w:r>
    </w:p>
    <w:p w14:paraId="292351DA" w14:textId="77777777" w:rsidR="00656225" w:rsidRPr="004A1371" w:rsidRDefault="00656225" w:rsidP="00656225">
      <w:pPr>
        <w:rPr>
          <w:rFonts w:ascii="Arial" w:hAnsi="Arial"/>
          <w:color w:val="auto"/>
          <w:sz w:val="22"/>
          <w:szCs w:val="22"/>
        </w:rPr>
      </w:pPr>
    </w:p>
    <w:p w14:paraId="4B07E572" w14:textId="6D3FC477" w:rsidR="00656225" w:rsidRPr="004A1371" w:rsidRDefault="00175814" w:rsidP="00656225">
      <w:pPr>
        <w:rPr>
          <w:rFonts w:ascii="Arial" w:hAnsi="Arial"/>
          <w:color w:val="auto"/>
          <w:sz w:val="22"/>
          <w:szCs w:val="22"/>
        </w:rPr>
      </w:pPr>
      <w:r>
        <w:rPr>
          <w:rFonts w:ascii="Arial" w:hAnsi="Arial"/>
          <w:color w:val="auto"/>
          <w:sz w:val="22"/>
          <w:szCs w:val="22"/>
        </w:rPr>
        <w:t>Please note:</w:t>
      </w:r>
      <w:r w:rsidR="00656225" w:rsidRPr="004A1371">
        <w:rPr>
          <w:rFonts w:ascii="Arial" w:hAnsi="Arial"/>
          <w:color w:val="auto"/>
          <w:sz w:val="22"/>
          <w:szCs w:val="22"/>
        </w:rPr>
        <w:t xml:space="preserve"> a copy of the contract of sale is not required when lodging a transfer of land and </w:t>
      </w:r>
      <w:r w:rsidR="004A1371">
        <w:rPr>
          <w:rFonts w:ascii="Arial" w:hAnsi="Arial"/>
          <w:color w:val="auto"/>
          <w:sz w:val="22"/>
          <w:szCs w:val="22"/>
        </w:rPr>
        <w:t>verification of identity</w:t>
      </w:r>
      <w:r w:rsidR="00656225" w:rsidRPr="004A1371">
        <w:rPr>
          <w:rFonts w:ascii="Arial" w:hAnsi="Arial"/>
          <w:color w:val="auto"/>
          <w:sz w:val="22"/>
          <w:szCs w:val="22"/>
        </w:rPr>
        <w:t xml:space="preserve"> documents containing personal information or photographs should not be included.  Similarly, when lodging a plan of subdivision, a copy of the plan is not required for plans prepared by a surveyor in SPEAR.</w:t>
      </w:r>
      <w:r w:rsidR="00656225" w:rsidRPr="00D50FCB">
        <w:rPr>
          <w:rFonts w:ascii="Arial" w:hAnsi="Arial"/>
          <w:color w:val="auto"/>
          <w:sz w:val="22"/>
          <w:szCs w:val="22"/>
        </w:rPr>
        <w:t xml:space="preserve"> </w:t>
      </w:r>
      <w:r w:rsidR="00656225" w:rsidRPr="004A1371">
        <w:rPr>
          <w:rFonts w:ascii="Arial" w:hAnsi="Arial"/>
          <w:color w:val="auto"/>
          <w:sz w:val="22"/>
          <w:szCs w:val="22"/>
        </w:rPr>
        <w:t>Submitting extraneous material increases turnaround times.</w:t>
      </w:r>
    </w:p>
    <w:p w14:paraId="08FA2AAC" w14:textId="77777777" w:rsidR="00656225" w:rsidRPr="004A1371" w:rsidRDefault="00656225" w:rsidP="00656225">
      <w:pPr>
        <w:rPr>
          <w:rFonts w:ascii="Arial" w:hAnsi="Arial"/>
          <w:color w:val="auto"/>
          <w:sz w:val="22"/>
          <w:szCs w:val="22"/>
        </w:rPr>
      </w:pPr>
    </w:p>
    <w:p w14:paraId="0043BD50" w14:textId="77777777" w:rsidR="00656225" w:rsidRPr="00845584" w:rsidRDefault="00656225" w:rsidP="00656225">
      <w:pPr>
        <w:rPr>
          <w:rStyle w:val="Emphasis"/>
          <w:b/>
          <w:i w:val="0"/>
          <w:iCs w:val="0"/>
          <w:color w:val="C00000"/>
          <w:sz w:val="22"/>
          <w:szCs w:val="22"/>
        </w:rPr>
      </w:pPr>
      <w:r w:rsidRPr="00845584">
        <w:rPr>
          <w:rStyle w:val="Emphasis"/>
          <w:b/>
          <w:i w:val="0"/>
          <w:iCs w:val="0"/>
          <w:color w:val="C00000"/>
          <w:sz w:val="22"/>
          <w:szCs w:val="22"/>
        </w:rPr>
        <w:t>‘Land Title Reference’ for the generic residual document in PEXA</w:t>
      </w:r>
    </w:p>
    <w:p w14:paraId="5845310E" w14:textId="5862D6C1" w:rsidR="00656225" w:rsidRPr="00175814" w:rsidRDefault="00656225" w:rsidP="00656225">
      <w:pPr>
        <w:pStyle w:val="BodyText"/>
        <w:rPr>
          <w:rFonts w:ascii="Arial" w:hAnsi="Arial" w:cs="Arial"/>
          <w:color w:val="auto"/>
          <w:sz w:val="22"/>
          <w:szCs w:val="22"/>
        </w:rPr>
      </w:pPr>
      <w:r w:rsidRPr="00175814">
        <w:rPr>
          <w:rFonts w:ascii="Arial" w:hAnsi="Arial" w:cs="Arial"/>
          <w:color w:val="auto"/>
          <w:sz w:val="22"/>
          <w:szCs w:val="22"/>
        </w:rPr>
        <w:t xml:space="preserve">The eligibility criteria outlined in </w:t>
      </w:r>
      <w:hyperlink r:id="rId18" w:history="1">
        <w:r w:rsidRPr="008C7620">
          <w:rPr>
            <w:rStyle w:val="Hyperlink"/>
            <w:rFonts w:ascii="Arial" w:hAnsi="Arial" w:cs="Arial"/>
            <w:sz w:val="22"/>
            <w:szCs w:val="22"/>
          </w:rPr>
          <w:t>Customer Information Bulletin 200</w:t>
        </w:r>
      </w:hyperlink>
      <w:r w:rsidRPr="008C7620">
        <w:rPr>
          <w:rStyle w:val="Hyperlink"/>
          <w:rFonts w:ascii="Arial" w:hAnsi="Arial" w:cs="Arial"/>
          <w:sz w:val="22"/>
          <w:szCs w:val="22"/>
          <w:u w:val="none"/>
        </w:rPr>
        <w:t xml:space="preserve"> has been updated in respect to</w:t>
      </w:r>
      <w:r w:rsidRPr="00175814">
        <w:rPr>
          <w:rStyle w:val="Hyperlink"/>
          <w:rFonts w:ascii="Arial" w:hAnsi="Arial" w:cs="Arial"/>
          <w:sz w:val="22"/>
          <w:szCs w:val="22"/>
        </w:rPr>
        <w:t xml:space="preserve"> </w:t>
      </w:r>
      <w:r w:rsidRPr="00175814">
        <w:rPr>
          <w:rFonts w:ascii="Arial" w:hAnsi="Arial" w:cs="Arial"/>
          <w:color w:val="auto"/>
          <w:sz w:val="22"/>
          <w:szCs w:val="22"/>
        </w:rPr>
        <w:t xml:space="preserve">the </w:t>
      </w:r>
      <w:r w:rsidR="003D5C3E">
        <w:rPr>
          <w:rFonts w:ascii="Arial" w:hAnsi="Arial" w:cs="Arial"/>
          <w:color w:val="auto"/>
          <w:sz w:val="22"/>
          <w:szCs w:val="22"/>
        </w:rPr>
        <w:t>Land Title Reference</w:t>
      </w:r>
      <w:r w:rsidRPr="00175814">
        <w:rPr>
          <w:rFonts w:ascii="Arial" w:hAnsi="Arial" w:cs="Arial"/>
          <w:color w:val="auto"/>
          <w:sz w:val="22"/>
          <w:szCs w:val="22"/>
        </w:rPr>
        <w:t xml:space="preserve"> to be used when creating the generic residual document in the PEXA workspace to lodge a paper instrument. </w:t>
      </w:r>
    </w:p>
    <w:p w14:paraId="7177C970" w14:textId="15A9F94E" w:rsidR="00656225" w:rsidRPr="00175814" w:rsidRDefault="00656225" w:rsidP="00656225">
      <w:pPr>
        <w:rPr>
          <w:rFonts w:ascii="Arial" w:hAnsi="Arial"/>
          <w:color w:val="auto"/>
          <w:sz w:val="22"/>
          <w:szCs w:val="22"/>
        </w:rPr>
      </w:pPr>
      <w:r w:rsidRPr="00175814">
        <w:rPr>
          <w:rFonts w:ascii="Arial" w:hAnsi="Arial"/>
          <w:color w:val="auto"/>
          <w:sz w:val="22"/>
          <w:szCs w:val="22"/>
        </w:rPr>
        <w:t xml:space="preserve">For the generic residual document, Subscribers must select only </w:t>
      </w:r>
      <w:r w:rsidRPr="00175814">
        <w:rPr>
          <w:rFonts w:ascii="Arial" w:hAnsi="Arial"/>
          <w:b/>
          <w:bCs/>
          <w:color w:val="auto"/>
          <w:sz w:val="22"/>
          <w:szCs w:val="22"/>
        </w:rPr>
        <w:t>one</w:t>
      </w:r>
      <w:r w:rsidRPr="00175814">
        <w:rPr>
          <w:rFonts w:ascii="Arial" w:hAnsi="Arial"/>
          <w:color w:val="auto"/>
          <w:sz w:val="22"/>
          <w:szCs w:val="22"/>
        </w:rPr>
        <w:t xml:space="preserve"> of the following </w:t>
      </w:r>
      <w:r w:rsidR="00A436F9">
        <w:rPr>
          <w:rFonts w:ascii="Arial" w:hAnsi="Arial"/>
          <w:color w:val="auto"/>
          <w:sz w:val="22"/>
          <w:szCs w:val="22"/>
        </w:rPr>
        <w:t>Land Title References</w:t>
      </w:r>
      <w:r w:rsidR="00A436F9" w:rsidRPr="00175814">
        <w:rPr>
          <w:rFonts w:ascii="Arial" w:hAnsi="Arial"/>
          <w:color w:val="auto"/>
          <w:sz w:val="22"/>
          <w:szCs w:val="22"/>
        </w:rPr>
        <w:t xml:space="preserve"> </w:t>
      </w:r>
      <w:r w:rsidRPr="00175814">
        <w:rPr>
          <w:rFonts w:ascii="Arial" w:hAnsi="Arial"/>
          <w:color w:val="auto"/>
          <w:sz w:val="22"/>
          <w:szCs w:val="22"/>
        </w:rPr>
        <w:t xml:space="preserve">depending on the type of attached paper instruments to be lodged: </w:t>
      </w:r>
    </w:p>
    <w:p w14:paraId="1B77C859" w14:textId="77777777" w:rsidR="00656225" w:rsidRPr="00845584" w:rsidRDefault="00656225" w:rsidP="00656225">
      <w:pPr>
        <w:rPr>
          <w:rFonts w:ascii="Arial" w:hAnsi="Arial"/>
          <w:bCs/>
          <w:color w:val="auto"/>
          <w:sz w:val="22"/>
          <w:szCs w:val="22"/>
        </w:rPr>
      </w:pPr>
    </w:p>
    <w:p w14:paraId="5D4DBF25" w14:textId="522E3290" w:rsidR="00656225" w:rsidRPr="00845584" w:rsidRDefault="00656225" w:rsidP="00656225">
      <w:pPr>
        <w:pStyle w:val="ListParagraph"/>
        <w:numPr>
          <w:ilvl w:val="0"/>
          <w:numId w:val="43"/>
        </w:numPr>
        <w:rPr>
          <w:rFonts w:ascii="Arial" w:hAnsi="Arial"/>
          <w:bCs/>
          <w:color w:val="auto"/>
          <w:sz w:val="22"/>
          <w:szCs w:val="22"/>
          <w:lang w:eastAsia="en-US"/>
        </w:rPr>
      </w:pPr>
      <w:r w:rsidRPr="00845584">
        <w:rPr>
          <w:rFonts w:ascii="Arial" w:hAnsi="Arial"/>
          <w:b/>
          <w:color w:val="auto"/>
          <w:sz w:val="22"/>
          <w:szCs w:val="22"/>
          <w:lang w:eastAsia="en-US"/>
        </w:rPr>
        <w:t>12207/425</w:t>
      </w:r>
      <w:r w:rsidRPr="00845584">
        <w:rPr>
          <w:rFonts w:ascii="Arial" w:hAnsi="Arial"/>
          <w:bCs/>
          <w:color w:val="auto"/>
          <w:sz w:val="22"/>
          <w:szCs w:val="22"/>
          <w:lang w:eastAsia="en-US"/>
        </w:rPr>
        <w:t xml:space="preserve"> must be used for any instrument type that can be lodged electronically using SPEAR,  including plans of subdivision, other plans under the </w:t>
      </w:r>
      <w:r w:rsidRPr="00845584">
        <w:rPr>
          <w:rFonts w:ascii="Arial" w:hAnsi="Arial"/>
          <w:bCs/>
          <w:i/>
          <w:iCs/>
          <w:color w:val="auto"/>
          <w:sz w:val="22"/>
          <w:szCs w:val="22"/>
          <w:lang w:eastAsia="en-US"/>
        </w:rPr>
        <w:t>Subdivision Act 1988</w:t>
      </w:r>
      <w:r w:rsidRPr="00845584">
        <w:rPr>
          <w:rFonts w:ascii="Arial" w:hAnsi="Arial"/>
          <w:bCs/>
          <w:color w:val="auto"/>
          <w:sz w:val="22"/>
          <w:szCs w:val="22"/>
          <w:lang w:eastAsia="en-US"/>
        </w:rPr>
        <w:t xml:space="preserve"> and other applications that involve a plan of survey, such as applications under section 60 of the </w:t>
      </w:r>
      <w:r w:rsidRPr="00845584">
        <w:rPr>
          <w:rFonts w:ascii="Arial" w:hAnsi="Arial"/>
          <w:bCs/>
          <w:i/>
          <w:iCs/>
          <w:color w:val="auto"/>
          <w:sz w:val="22"/>
          <w:szCs w:val="22"/>
          <w:lang w:eastAsia="en-US"/>
        </w:rPr>
        <w:t>Transfer of Land Act 1958</w:t>
      </w:r>
      <w:r w:rsidRPr="00845584">
        <w:rPr>
          <w:rFonts w:ascii="Arial" w:hAnsi="Arial"/>
          <w:bCs/>
          <w:color w:val="auto"/>
          <w:sz w:val="22"/>
          <w:szCs w:val="22"/>
          <w:lang w:eastAsia="en-US"/>
        </w:rPr>
        <w:t xml:space="preserve"> (TLA) (adverse possession) and section 99 of the TLA (boundary realignment). </w:t>
      </w:r>
      <w:r w:rsidR="009C0F80">
        <w:rPr>
          <w:rFonts w:ascii="Arial" w:hAnsi="Arial"/>
          <w:bCs/>
          <w:color w:val="auto"/>
          <w:sz w:val="22"/>
          <w:szCs w:val="22"/>
          <w:lang w:eastAsia="en-US"/>
        </w:rPr>
        <w:t xml:space="preserve"> </w:t>
      </w:r>
      <w:r w:rsidRPr="00845584">
        <w:rPr>
          <w:rFonts w:ascii="Arial" w:hAnsi="Arial"/>
          <w:bCs/>
          <w:color w:val="auto"/>
          <w:sz w:val="22"/>
          <w:szCs w:val="22"/>
          <w:lang w:eastAsia="en-US"/>
        </w:rPr>
        <w:t xml:space="preserve">If the application can be lodged in SPEAR, it should be. </w:t>
      </w:r>
      <w:r w:rsidR="009C0F80">
        <w:rPr>
          <w:rFonts w:ascii="Arial" w:hAnsi="Arial"/>
          <w:bCs/>
          <w:color w:val="auto"/>
          <w:sz w:val="22"/>
          <w:szCs w:val="22"/>
          <w:lang w:eastAsia="en-US"/>
        </w:rPr>
        <w:t xml:space="preserve"> </w:t>
      </w:r>
      <w:r w:rsidRPr="00845584">
        <w:rPr>
          <w:rFonts w:ascii="Arial" w:hAnsi="Arial"/>
          <w:bCs/>
          <w:color w:val="auto"/>
          <w:sz w:val="22"/>
          <w:szCs w:val="22"/>
          <w:lang w:eastAsia="en-US"/>
        </w:rPr>
        <w:t xml:space="preserve">For eligible instrument types please refer to the SPEAR </w:t>
      </w:r>
      <w:hyperlink r:id="rId19" w:history="1">
        <w:r w:rsidRPr="00845584">
          <w:rPr>
            <w:rStyle w:val="Hyperlink"/>
            <w:rFonts w:ascii="Arial" w:hAnsi="Arial"/>
            <w:bCs/>
            <w:sz w:val="22"/>
            <w:szCs w:val="22"/>
            <w:lang w:eastAsia="en-US"/>
          </w:rPr>
          <w:t>website</w:t>
        </w:r>
      </w:hyperlink>
      <w:r w:rsidRPr="00845584">
        <w:rPr>
          <w:rFonts w:ascii="Arial" w:hAnsi="Arial"/>
          <w:bCs/>
          <w:color w:val="auto"/>
          <w:sz w:val="22"/>
          <w:szCs w:val="22"/>
          <w:lang w:eastAsia="en-US"/>
        </w:rPr>
        <w:t xml:space="preserve">. </w:t>
      </w:r>
    </w:p>
    <w:p w14:paraId="0AAACCDB" w14:textId="77777777" w:rsidR="00656225" w:rsidRPr="00845584" w:rsidRDefault="00656225" w:rsidP="00656225">
      <w:pPr>
        <w:rPr>
          <w:rFonts w:ascii="Arial" w:hAnsi="Arial"/>
          <w:bCs/>
          <w:color w:val="auto"/>
          <w:sz w:val="22"/>
          <w:szCs w:val="22"/>
          <w:lang w:eastAsia="en-US"/>
        </w:rPr>
      </w:pPr>
    </w:p>
    <w:p w14:paraId="55819BF0" w14:textId="77777777" w:rsidR="00656225" w:rsidRPr="00845584" w:rsidRDefault="00656225" w:rsidP="00656225">
      <w:pPr>
        <w:pStyle w:val="ListParagraph"/>
        <w:numPr>
          <w:ilvl w:val="0"/>
          <w:numId w:val="43"/>
        </w:numPr>
        <w:rPr>
          <w:rFonts w:ascii="Arial" w:hAnsi="Arial"/>
          <w:bCs/>
          <w:color w:val="auto"/>
          <w:sz w:val="22"/>
          <w:szCs w:val="22"/>
          <w:lang w:eastAsia="en-US"/>
        </w:rPr>
      </w:pPr>
      <w:r w:rsidRPr="00845584">
        <w:rPr>
          <w:rFonts w:ascii="Arial" w:hAnsi="Arial"/>
          <w:b/>
          <w:color w:val="auto"/>
          <w:sz w:val="22"/>
          <w:szCs w:val="22"/>
          <w:lang w:eastAsia="en-US"/>
        </w:rPr>
        <w:t>12198/325</w:t>
      </w:r>
      <w:r w:rsidRPr="00845584">
        <w:rPr>
          <w:rFonts w:ascii="Arial" w:hAnsi="Arial"/>
          <w:bCs/>
          <w:color w:val="auto"/>
          <w:sz w:val="22"/>
          <w:szCs w:val="22"/>
          <w:lang w:eastAsia="en-US"/>
        </w:rPr>
        <w:t xml:space="preserve"> must be used for all other instrument types.</w:t>
      </w:r>
    </w:p>
    <w:p w14:paraId="684830BC" w14:textId="77777777" w:rsidR="00656225" w:rsidRPr="004A1371" w:rsidRDefault="00656225" w:rsidP="00656225">
      <w:pPr>
        <w:rPr>
          <w:rStyle w:val="BodyTextChar"/>
          <w:rFonts w:ascii="Arial" w:eastAsiaTheme="majorEastAsia" w:hAnsi="Arial"/>
          <w:color w:val="auto"/>
          <w:sz w:val="22"/>
          <w:szCs w:val="22"/>
        </w:rPr>
      </w:pPr>
    </w:p>
    <w:p w14:paraId="34828160" w14:textId="6468ED23" w:rsidR="00656225" w:rsidRPr="004A1371" w:rsidRDefault="00656225" w:rsidP="00656225">
      <w:pPr>
        <w:rPr>
          <w:rFonts w:ascii="Arial" w:hAnsi="Arial"/>
          <w:color w:val="auto"/>
          <w:sz w:val="22"/>
          <w:szCs w:val="22"/>
          <w:lang w:eastAsia="en-US"/>
        </w:rPr>
      </w:pPr>
      <w:r w:rsidRPr="00175814">
        <w:rPr>
          <w:rFonts w:ascii="Arial" w:hAnsi="Arial"/>
          <w:color w:val="auto"/>
          <w:sz w:val="22"/>
          <w:szCs w:val="22"/>
        </w:rPr>
        <w:t xml:space="preserve">Subscribers must enter </w:t>
      </w:r>
      <w:r w:rsidR="00A436F9">
        <w:rPr>
          <w:rFonts w:ascii="Arial" w:hAnsi="Arial"/>
          <w:color w:val="auto"/>
          <w:sz w:val="22"/>
          <w:szCs w:val="22"/>
        </w:rPr>
        <w:t>either</w:t>
      </w:r>
      <w:r w:rsidRPr="00175814">
        <w:rPr>
          <w:rFonts w:ascii="Arial" w:hAnsi="Arial"/>
          <w:color w:val="auto"/>
          <w:sz w:val="22"/>
          <w:szCs w:val="22"/>
        </w:rPr>
        <w:t xml:space="preserve"> Land Title Reference </w:t>
      </w:r>
      <w:r w:rsidRPr="004A1371">
        <w:rPr>
          <w:rFonts w:ascii="Arial" w:hAnsi="Arial"/>
          <w:color w:val="auto"/>
          <w:sz w:val="22"/>
          <w:szCs w:val="22"/>
          <w:lang w:eastAsia="en-US"/>
        </w:rPr>
        <w:t>12207/425 or 12198/325 - n</w:t>
      </w:r>
      <w:r w:rsidRPr="00175814">
        <w:rPr>
          <w:rFonts w:ascii="Arial" w:hAnsi="Arial"/>
          <w:color w:val="auto"/>
          <w:sz w:val="22"/>
          <w:szCs w:val="22"/>
        </w:rPr>
        <w:t xml:space="preserve">o other </w:t>
      </w:r>
      <w:r w:rsidR="00A436F9">
        <w:rPr>
          <w:rFonts w:ascii="Arial" w:hAnsi="Arial"/>
          <w:color w:val="auto"/>
          <w:sz w:val="22"/>
          <w:szCs w:val="22"/>
        </w:rPr>
        <w:t>Land Title Reference</w:t>
      </w:r>
      <w:r w:rsidR="00A436F9" w:rsidRPr="00175814">
        <w:rPr>
          <w:rFonts w:ascii="Arial" w:hAnsi="Arial"/>
          <w:color w:val="auto"/>
          <w:sz w:val="22"/>
          <w:szCs w:val="22"/>
        </w:rPr>
        <w:t xml:space="preserve"> </w:t>
      </w:r>
      <w:r w:rsidRPr="00175814">
        <w:rPr>
          <w:rFonts w:ascii="Arial" w:hAnsi="Arial"/>
          <w:color w:val="auto"/>
          <w:sz w:val="22"/>
          <w:szCs w:val="22"/>
        </w:rPr>
        <w:t>should be entered in the generic residual document.</w:t>
      </w:r>
      <w:r w:rsidRPr="004A1371">
        <w:rPr>
          <w:rFonts w:ascii="Arial" w:hAnsi="Arial"/>
          <w:color w:val="auto"/>
          <w:sz w:val="22"/>
          <w:szCs w:val="22"/>
          <w:lang w:eastAsia="en-US"/>
        </w:rPr>
        <w:t xml:space="preserve"> </w:t>
      </w:r>
      <w:r w:rsidR="009C0F80">
        <w:rPr>
          <w:rFonts w:ascii="Arial" w:hAnsi="Arial"/>
          <w:color w:val="auto"/>
          <w:sz w:val="22"/>
          <w:szCs w:val="22"/>
          <w:lang w:eastAsia="en-US"/>
        </w:rPr>
        <w:t xml:space="preserve"> </w:t>
      </w:r>
      <w:r w:rsidR="00175814">
        <w:rPr>
          <w:rFonts w:ascii="Arial" w:hAnsi="Arial"/>
          <w:color w:val="auto"/>
          <w:sz w:val="22"/>
          <w:szCs w:val="22"/>
          <w:lang w:eastAsia="en-US"/>
        </w:rPr>
        <w:t xml:space="preserve">These </w:t>
      </w:r>
      <w:r w:rsidR="00A436F9">
        <w:rPr>
          <w:rFonts w:ascii="Arial" w:hAnsi="Arial"/>
          <w:color w:val="auto"/>
          <w:sz w:val="22"/>
          <w:szCs w:val="22"/>
          <w:lang w:eastAsia="en-US"/>
        </w:rPr>
        <w:t>Land Title References</w:t>
      </w:r>
      <w:r w:rsidR="00A436F9" w:rsidRPr="004A1371">
        <w:rPr>
          <w:rFonts w:ascii="Arial" w:hAnsi="Arial"/>
          <w:color w:val="auto"/>
          <w:sz w:val="22"/>
          <w:szCs w:val="22"/>
          <w:lang w:eastAsia="en-US"/>
        </w:rPr>
        <w:t xml:space="preserve"> </w:t>
      </w:r>
      <w:r w:rsidR="00175814">
        <w:rPr>
          <w:rFonts w:ascii="Arial" w:hAnsi="Arial"/>
          <w:color w:val="auto"/>
          <w:sz w:val="22"/>
          <w:szCs w:val="22"/>
          <w:lang w:eastAsia="en-US"/>
        </w:rPr>
        <w:t xml:space="preserve">should </w:t>
      </w:r>
      <w:r w:rsidR="00175814" w:rsidRPr="004A1371">
        <w:rPr>
          <w:rFonts w:ascii="Arial" w:hAnsi="Arial"/>
          <w:b/>
          <w:bCs/>
          <w:color w:val="auto"/>
          <w:sz w:val="22"/>
          <w:szCs w:val="22"/>
          <w:lang w:eastAsia="en-US"/>
        </w:rPr>
        <w:t>only</w:t>
      </w:r>
      <w:r w:rsidR="00175814">
        <w:rPr>
          <w:rFonts w:ascii="Arial" w:hAnsi="Arial"/>
          <w:color w:val="auto"/>
          <w:sz w:val="22"/>
          <w:szCs w:val="22"/>
          <w:lang w:eastAsia="en-US"/>
        </w:rPr>
        <w:t xml:space="preserve"> </w:t>
      </w:r>
      <w:r w:rsidRPr="004A1371">
        <w:rPr>
          <w:rFonts w:ascii="Arial" w:hAnsi="Arial"/>
          <w:color w:val="auto"/>
          <w:sz w:val="22"/>
          <w:szCs w:val="22"/>
          <w:lang w:eastAsia="en-US"/>
        </w:rPr>
        <w:t xml:space="preserve">be </w:t>
      </w:r>
      <w:r w:rsidR="00175814">
        <w:rPr>
          <w:rFonts w:ascii="Arial" w:hAnsi="Arial"/>
          <w:color w:val="auto"/>
          <w:sz w:val="22"/>
          <w:szCs w:val="22"/>
          <w:lang w:eastAsia="en-US"/>
        </w:rPr>
        <w:t>used in a</w:t>
      </w:r>
      <w:r w:rsidRPr="004A1371">
        <w:rPr>
          <w:rFonts w:ascii="Arial" w:hAnsi="Arial"/>
          <w:color w:val="auto"/>
          <w:sz w:val="22"/>
          <w:szCs w:val="22"/>
          <w:lang w:eastAsia="en-US"/>
        </w:rPr>
        <w:t xml:space="preserve"> generic residual d</w:t>
      </w:r>
      <w:r w:rsidR="004A1371">
        <w:rPr>
          <w:rFonts w:ascii="Arial" w:hAnsi="Arial"/>
          <w:color w:val="auto"/>
          <w:sz w:val="22"/>
          <w:szCs w:val="22"/>
          <w:lang w:eastAsia="en-US"/>
        </w:rPr>
        <w:t>ocument</w:t>
      </w:r>
      <w:r w:rsidR="009A7E98">
        <w:rPr>
          <w:rFonts w:ascii="Arial" w:hAnsi="Arial"/>
          <w:color w:val="auto"/>
          <w:sz w:val="22"/>
          <w:szCs w:val="22"/>
          <w:lang w:eastAsia="en-US"/>
        </w:rPr>
        <w:t xml:space="preserve"> and should not </w:t>
      </w:r>
      <w:r w:rsidR="00845584">
        <w:rPr>
          <w:rFonts w:ascii="Arial" w:hAnsi="Arial"/>
          <w:color w:val="auto"/>
          <w:sz w:val="22"/>
          <w:szCs w:val="22"/>
          <w:lang w:eastAsia="en-US"/>
        </w:rPr>
        <w:t xml:space="preserve">be </w:t>
      </w:r>
      <w:r w:rsidR="00A436F9">
        <w:rPr>
          <w:rFonts w:ascii="Arial" w:hAnsi="Arial"/>
          <w:color w:val="auto"/>
          <w:sz w:val="22"/>
          <w:szCs w:val="22"/>
          <w:lang w:eastAsia="en-US"/>
        </w:rPr>
        <w:t>use</w:t>
      </w:r>
      <w:r w:rsidR="00845584">
        <w:rPr>
          <w:rFonts w:ascii="Arial" w:hAnsi="Arial"/>
          <w:color w:val="auto"/>
          <w:sz w:val="22"/>
          <w:szCs w:val="22"/>
          <w:lang w:eastAsia="en-US"/>
        </w:rPr>
        <w:t>d</w:t>
      </w:r>
      <w:r w:rsidR="00A436F9">
        <w:rPr>
          <w:rFonts w:ascii="Arial" w:hAnsi="Arial"/>
          <w:color w:val="auto"/>
          <w:sz w:val="22"/>
          <w:szCs w:val="22"/>
          <w:lang w:eastAsia="en-US"/>
        </w:rPr>
        <w:t xml:space="preserve"> in any other electronically lodged </w:t>
      </w:r>
      <w:r w:rsidR="005C6E3C" w:rsidRPr="00EE7E60">
        <w:rPr>
          <w:rFonts w:ascii="Arial" w:hAnsi="Arial"/>
          <w:color w:val="auto"/>
          <w:sz w:val="22"/>
          <w:szCs w:val="22"/>
          <w:lang w:eastAsia="en-US"/>
        </w:rPr>
        <w:t>instrument or be the subject of any nomination</w:t>
      </w:r>
      <w:r w:rsidR="009A7E98" w:rsidRPr="00EE7E60">
        <w:rPr>
          <w:rFonts w:ascii="Arial" w:hAnsi="Arial"/>
          <w:color w:val="auto"/>
          <w:sz w:val="22"/>
          <w:szCs w:val="22"/>
          <w:lang w:eastAsia="en-US"/>
        </w:rPr>
        <w:t xml:space="preserve">. </w:t>
      </w:r>
    </w:p>
    <w:p w14:paraId="0DAA1AFE" w14:textId="77777777" w:rsidR="00656225" w:rsidRDefault="00656225" w:rsidP="00656225">
      <w:pPr>
        <w:rPr>
          <w:rFonts w:ascii="Arial" w:hAnsi="Arial"/>
          <w:sz w:val="22"/>
          <w:szCs w:val="22"/>
          <w:lang w:eastAsia="en-US"/>
        </w:rPr>
      </w:pPr>
    </w:p>
    <w:p w14:paraId="51DA30F4" w14:textId="77777777" w:rsidR="00656225" w:rsidRPr="00EE7E60" w:rsidRDefault="00656225" w:rsidP="00656225">
      <w:pPr>
        <w:pStyle w:val="Heading2"/>
        <w:numPr>
          <w:ilvl w:val="0"/>
          <w:numId w:val="0"/>
        </w:numPr>
        <w:rPr>
          <w:rStyle w:val="Emphasis"/>
          <w:i w:val="0"/>
          <w:iCs/>
        </w:rPr>
      </w:pPr>
      <w:r w:rsidRPr="00EE7E60">
        <w:rPr>
          <w:rStyle w:val="Emphasis"/>
          <w:i w:val="0"/>
          <w:iCs/>
        </w:rPr>
        <w:t>Nominating Certificates of Title referenced in paper instruments attached to the generic residual document</w:t>
      </w:r>
    </w:p>
    <w:p w14:paraId="3A94E0B3" w14:textId="49B06015" w:rsidR="00656225" w:rsidRPr="00C41E7C" w:rsidRDefault="00656225" w:rsidP="00656225">
      <w:pPr>
        <w:rPr>
          <w:rFonts w:ascii="Arial" w:hAnsi="Arial"/>
          <w:color w:val="auto"/>
          <w:sz w:val="22"/>
          <w:szCs w:val="22"/>
        </w:rPr>
      </w:pPr>
      <w:r w:rsidRPr="00C41E7C">
        <w:rPr>
          <w:rFonts w:ascii="Arial" w:hAnsi="Arial"/>
          <w:color w:val="auto"/>
          <w:sz w:val="22"/>
          <w:szCs w:val="22"/>
        </w:rPr>
        <w:t xml:space="preserve">If the </w:t>
      </w:r>
      <w:r>
        <w:rPr>
          <w:rFonts w:ascii="Arial" w:hAnsi="Arial"/>
          <w:color w:val="auto"/>
          <w:sz w:val="22"/>
          <w:szCs w:val="22"/>
        </w:rPr>
        <w:t>folios</w:t>
      </w:r>
      <w:r w:rsidRPr="00C41E7C">
        <w:rPr>
          <w:rFonts w:ascii="Arial" w:hAnsi="Arial"/>
          <w:color w:val="auto"/>
          <w:sz w:val="22"/>
          <w:szCs w:val="22"/>
        </w:rPr>
        <w:t xml:space="preserve"> referred to in the paper instruments attached to the generic residual docum</w:t>
      </w:r>
      <w:r>
        <w:rPr>
          <w:rFonts w:ascii="Arial" w:hAnsi="Arial"/>
          <w:color w:val="auto"/>
          <w:sz w:val="22"/>
          <w:szCs w:val="22"/>
        </w:rPr>
        <w:t>ent</w:t>
      </w:r>
      <w:r w:rsidRPr="00C41E7C">
        <w:rPr>
          <w:rFonts w:ascii="Arial" w:hAnsi="Arial"/>
          <w:color w:val="auto"/>
          <w:sz w:val="22"/>
          <w:szCs w:val="22"/>
        </w:rPr>
        <w:t xml:space="preserve"> require nomination</w:t>
      </w:r>
      <w:r>
        <w:rPr>
          <w:rFonts w:ascii="Arial" w:hAnsi="Arial"/>
          <w:color w:val="auto"/>
          <w:sz w:val="22"/>
          <w:szCs w:val="22"/>
        </w:rPr>
        <w:t xml:space="preserve"> of the Certificates of Title</w:t>
      </w:r>
      <w:r w:rsidRPr="00C41E7C">
        <w:rPr>
          <w:rFonts w:ascii="Arial" w:hAnsi="Arial"/>
          <w:color w:val="auto"/>
          <w:sz w:val="22"/>
          <w:szCs w:val="22"/>
        </w:rPr>
        <w:t xml:space="preserve">, the Subscriber must ensure that </w:t>
      </w:r>
      <w:r>
        <w:rPr>
          <w:rFonts w:ascii="Arial" w:hAnsi="Arial"/>
          <w:color w:val="auto"/>
          <w:sz w:val="22"/>
          <w:szCs w:val="22"/>
        </w:rPr>
        <w:t xml:space="preserve">relevant </w:t>
      </w:r>
      <w:r w:rsidRPr="00C41E7C">
        <w:rPr>
          <w:rFonts w:ascii="Arial" w:hAnsi="Arial"/>
          <w:color w:val="auto"/>
          <w:sz w:val="22"/>
          <w:szCs w:val="22"/>
        </w:rPr>
        <w:t>nomination</w:t>
      </w:r>
      <w:r>
        <w:rPr>
          <w:rFonts w:ascii="Arial" w:hAnsi="Arial"/>
          <w:color w:val="auto"/>
          <w:sz w:val="22"/>
          <w:szCs w:val="22"/>
        </w:rPr>
        <w:t>s</w:t>
      </w:r>
      <w:r w:rsidRPr="00C41E7C">
        <w:rPr>
          <w:rFonts w:ascii="Arial" w:hAnsi="Arial"/>
          <w:color w:val="auto"/>
          <w:sz w:val="22"/>
          <w:szCs w:val="22"/>
        </w:rPr>
        <w:t xml:space="preserve"> </w:t>
      </w:r>
      <w:r>
        <w:rPr>
          <w:rFonts w:ascii="Arial" w:hAnsi="Arial"/>
          <w:color w:val="auto"/>
          <w:sz w:val="22"/>
          <w:szCs w:val="22"/>
        </w:rPr>
        <w:t>are</w:t>
      </w:r>
      <w:r w:rsidRPr="00C41E7C">
        <w:rPr>
          <w:rFonts w:ascii="Arial" w:hAnsi="Arial"/>
          <w:color w:val="auto"/>
          <w:sz w:val="22"/>
          <w:szCs w:val="22"/>
        </w:rPr>
        <w:t xml:space="preserve"> lodged prior to </w:t>
      </w:r>
      <w:r>
        <w:rPr>
          <w:rFonts w:ascii="Arial" w:hAnsi="Arial"/>
          <w:color w:val="auto"/>
          <w:sz w:val="22"/>
          <w:szCs w:val="22"/>
        </w:rPr>
        <w:t>using</w:t>
      </w:r>
      <w:r w:rsidRPr="00C41E7C">
        <w:rPr>
          <w:rFonts w:ascii="Arial" w:hAnsi="Arial"/>
          <w:color w:val="auto"/>
          <w:sz w:val="22"/>
          <w:szCs w:val="22"/>
        </w:rPr>
        <w:t xml:space="preserve"> the generic residual document. </w:t>
      </w:r>
    </w:p>
    <w:p w14:paraId="7C7D079E" w14:textId="77777777" w:rsidR="00656225" w:rsidRPr="00C41E7C" w:rsidRDefault="00656225" w:rsidP="00656225">
      <w:pPr>
        <w:rPr>
          <w:rFonts w:ascii="Arial" w:hAnsi="Arial"/>
          <w:color w:val="auto"/>
          <w:sz w:val="22"/>
          <w:szCs w:val="22"/>
        </w:rPr>
      </w:pPr>
      <w:r>
        <w:rPr>
          <w:rFonts w:ascii="Arial" w:hAnsi="Arial"/>
          <w:color w:val="auto"/>
          <w:sz w:val="22"/>
          <w:szCs w:val="22"/>
        </w:rPr>
        <w:t xml:space="preserve"> </w:t>
      </w:r>
    </w:p>
    <w:p w14:paraId="639A3B5F" w14:textId="0E62F221" w:rsidR="00656225" w:rsidRDefault="00656225" w:rsidP="00656225">
      <w:pPr>
        <w:rPr>
          <w:rFonts w:ascii="Arial" w:hAnsi="Arial"/>
          <w:sz w:val="22"/>
          <w:szCs w:val="22"/>
        </w:rPr>
      </w:pPr>
      <w:r w:rsidRPr="00C41E7C">
        <w:rPr>
          <w:rFonts w:ascii="Arial" w:hAnsi="Arial"/>
          <w:sz w:val="22"/>
          <w:szCs w:val="22"/>
        </w:rPr>
        <w:t>If a </w:t>
      </w:r>
      <w:r w:rsidRPr="00C41E7C">
        <w:rPr>
          <w:rStyle w:val="Strong"/>
          <w:rFonts w:ascii="Arial" w:hAnsi="Arial"/>
          <w:sz w:val="22"/>
          <w:szCs w:val="22"/>
        </w:rPr>
        <w:t>nomination</w:t>
      </w:r>
      <w:r w:rsidRPr="00C41E7C">
        <w:rPr>
          <w:rFonts w:ascii="Arial" w:hAnsi="Arial"/>
          <w:sz w:val="22"/>
          <w:szCs w:val="22"/>
        </w:rPr>
        <w:t xml:space="preserve"> is required and the Certificate of Title is electronic </w:t>
      </w:r>
      <w:r>
        <w:rPr>
          <w:rFonts w:ascii="Arial" w:hAnsi="Arial"/>
          <w:sz w:val="22"/>
          <w:szCs w:val="22"/>
        </w:rPr>
        <w:t>(</w:t>
      </w:r>
      <w:r w:rsidRPr="00C41E7C">
        <w:rPr>
          <w:rStyle w:val="Strong"/>
          <w:rFonts w:ascii="Arial" w:hAnsi="Arial"/>
          <w:sz w:val="22"/>
          <w:szCs w:val="22"/>
        </w:rPr>
        <w:t>eCT</w:t>
      </w:r>
      <w:r>
        <w:rPr>
          <w:rStyle w:val="Strong"/>
          <w:rFonts w:ascii="Arial" w:hAnsi="Arial"/>
          <w:sz w:val="22"/>
          <w:szCs w:val="22"/>
        </w:rPr>
        <w:t>)</w:t>
      </w:r>
      <w:r w:rsidRPr="00C41E7C">
        <w:rPr>
          <w:rFonts w:ascii="Arial" w:hAnsi="Arial"/>
          <w:sz w:val="22"/>
          <w:szCs w:val="22"/>
        </w:rPr>
        <w:t>, th</w:t>
      </w:r>
      <w:r>
        <w:rPr>
          <w:rFonts w:ascii="Arial" w:hAnsi="Arial"/>
          <w:sz w:val="22"/>
          <w:szCs w:val="22"/>
        </w:rPr>
        <w:t xml:space="preserve">e nomination </w:t>
      </w:r>
      <w:r w:rsidRPr="00C41E7C">
        <w:rPr>
          <w:rFonts w:ascii="Arial" w:hAnsi="Arial"/>
          <w:sz w:val="22"/>
          <w:szCs w:val="22"/>
        </w:rPr>
        <w:t xml:space="preserve">must be lodged in a separate workspace using the volume and folio number(s) referred to in the paper instruments, in the same </w:t>
      </w:r>
      <w:r w:rsidRPr="00EE7E60">
        <w:rPr>
          <w:rFonts w:ascii="Arial" w:hAnsi="Arial"/>
          <w:sz w:val="22"/>
          <w:szCs w:val="22"/>
        </w:rPr>
        <w:t xml:space="preserve">way </w:t>
      </w:r>
      <w:r w:rsidR="005C6E3C" w:rsidRPr="00EE7E60">
        <w:rPr>
          <w:rFonts w:ascii="Arial" w:hAnsi="Arial"/>
          <w:sz w:val="22"/>
          <w:szCs w:val="22"/>
        </w:rPr>
        <w:t xml:space="preserve">a nomination was undertaken for </w:t>
      </w:r>
      <w:r w:rsidRPr="00EE7E60">
        <w:rPr>
          <w:rFonts w:ascii="Arial" w:hAnsi="Arial"/>
          <w:sz w:val="22"/>
          <w:szCs w:val="22"/>
        </w:rPr>
        <w:t>a</w:t>
      </w:r>
      <w:r w:rsidRPr="00D52741">
        <w:rPr>
          <w:rFonts w:ascii="Arial" w:hAnsi="Arial"/>
          <w:color w:val="auto"/>
          <w:sz w:val="22"/>
          <w:szCs w:val="22"/>
        </w:rPr>
        <w:t xml:space="preserve"> </w:t>
      </w:r>
      <w:r>
        <w:rPr>
          <w:rFonts w:ascii="Arial" w:hAnsi="Arial"/>
          <w:color w:val="auto"/>
          <w:sz w:val="22"/>
          <w:szCs w:val="22"/>
        </w:rPr>
        <w:t>paper instrument</w:t>
      </w:r>
      <w:r w:rsidR="00A20380">
        <w:rPr>
          <w:rFonts w:ascii="Arial" w:hAnsi="Arial"/>
          <w:color w:val="auto"/>
          <w:sz w:val="22"/>
          <w:szCs w:val="22"/>
        </w:rPr>
        <w:t xml:space="preserve"> was lodged</w:t>
      </w:r>
      <w:r>
        <w:rPr>
          <w:rFonts w:ascii="Arial" w:hAnsi="Arial"/>
          <w:color w:val="auto"/>
          <w:sz w:val="22"/>
          <w:szCs w:val="22"/>
        </w:rPr>
        <w:t xml:space="preserve"> </w:t>
      </w:r>
      <w:r>
        <w:rPr>
          <w:rFonts w:ascii="Arial" w:hAnsi="Arial"/>
          <w:sz w:val="22"/>
          <w:szCs w:val="22"/>
        </w:rPr>
        <w:t>before the generic residual document was available in PEXA.</w:t>
      </w:r>
    </w:p>
    <w:p w14:paraId="6D85AEFB" w14:textId="15C8E799" w:rsidR="000B4D3F" w:rsidRDefault="000B4D3F" w:rsidP="00656225">
      <w:pPr>
        <w:rPr>
          <w:rFonts w:ascii="Arial" w:hAnsi="Arial"/>
          <w:sz w:val="22"/>
          <w:szCs w:val="22"/>
        </w:rPr>
      </w:pPr>
    </w:p>
    <w:p w14:paraId="0F04E53A" w14:textId="39E0B6E3" w:rsidR="00532F53" w:rsidRPr="009C0F80" w:rsidRDefault="000B4D3F" w:rsidP="00845584">
      <w:pPr>
        <w:rPr>
          <w:sz w:val="22"/>
          <w:szCs w:val="22"/>
        </w:rPr>
      </w:pPr>
      <w:r w:rsidRPr="009C0F80">
        <w:rPr>
          <w:sz w:val="22"/>
          <w:szCs w:val="22"/>
        </w:rPr>
        <w:t>If the Certificate of Title is paper, i.e. a </w:t>
      </w:r>
      <w:r w:rsidRPr="009C0F80">
        <w:rPr>
          <w:rStyle w:val="Strong"/>
          <w:rFonts w:cstheme="minorHAnsi"/>
          <w:sz w:val="22"/>
          <w:szCs w:val="22"/>
        </w:rPr>
        <w:t>pCT</w:t>
      </w:r>
      <w:r w:rsidRPr="009C0F80">
        <w:rPr>
          <w:sz w:val="22"/>
          <w:szCs w:val="22"/>
        </w:rPr>
        <w:t>, you will need to convert the Certificate of Title to an eCT by emailing the form </w:t>
      </w:r>
      <w:hyperlink r:id="rId20" w:tgtFrame="_blank" w:history="1">
        <w:r w:rsidRPr="009C0F80">
          <w:rPr>
            <w:rStyle w:val="Hyperlink"/>
            <w:rFonts w:cstheme="minorHAnsi"/>
            <w:color w:val="363534" w:themeColor="text1"/>
            <w:sz w:val="22"/>
            <w:szCs w:val="22"/>
          </w:rPr>
          <w:t>Application to convert a paper Certificate of Title to an electronic Certificate of Title CPCT </w:t>
        </w:r>
      </w:hyperlink>
      <w:r w:rsidRPr="009C0F80">
        <w:rPr>
          <w:sz w:val="22"/>
          <w:szCs w:val="22"/>
        </w:rPr>
        <w:t> available on the Land Use Victoria website to </w:t>
      </w:r>
      <w:hyperlink r:id="rId21" w:tgtFrame="_blank" w:history="1">
        <w:r w:rsidRPr="009C0F80">
          <w:rPr>
            <w:rStyle w:val="Hyperlink"/>
            <w:rFonts w:cstheme="minorHAnsi"/>
            <w:color w:val="363534" w:themeColor="text1"/>
            <w:sz w:val="22"/>
            <w:szCs w:val="22"/>
          </w:rPr>
          <w:t>advice.enquiries@victorianlrs.com.au</w:t>
        </w:r>
      </w:hyperlink>
      <w:r w:rsidRPr="009C0F80">
        <w:rPr>
          <w:sz w:val="22"/>
          <w:szCs w:val="22"/>
        </w:rPr>
        <w:t xml:space="preserve">. </w:t>
      </w:r>
      <w:r w:rsidR="009C0F80">
        <w:rPr>
          <w:sz w:val="22"/>
          <w:szCs w:val="22"/>
        </w:rPr>
        <w:t xml:space="preserve"> </w:t>
      </w:r>
      <w:r w:rsidRPr="009C0F80">
        <w:rPr>
          <w:sz w:val="22"/>
          <w:szCs w:val="22"/>
        </w:rPr>
        <w:t>Once the Certificate of Title is converted to an eCT it can be nominated to the paper instruments using PEXA.</w:t>
      </w:r>
    </w:p>
    <w:p w14:paraId="138E6241" w14:textId="77777777" w:rsidR="00845584" w:rsidRPr="00845584" w:rsidRDefault="00845584" w:rsidP="00845584">
      <w:pPr>
        <w:rPr>
          <w:rStyle w:val="Emphasis"/>
          <w:b/>
          <w:bCs/>
          <w:i w:val="0"/>
          <w:iCs w:val="0"/>
          <w:sz w:val="22"/>
          <w:szCs w:val="22"/>
        </w:rPr>
      </w:pPr>
    </w:p>
    <w:p w14:paraId="125615A5" w14:textId="77777777" w:rsidR="00845584" w:rsidRDefault="00845584" w:rsidP="002E35AE">
      <w:pPr>
        <w:spacing w:line="254" w:lineRule="auto"/>
        <w:rPr>
          <w:rStyle w:val="Emphasis"/>
          <w:i w:val="0"/>
          <w:szCs w:val="22"/>
        </w:rPr>
      </w:pPr>
    </w:p>
    <w:p w14:paraId="283D2A61" w14:textId="5987078F" w:rsidR="00845584" w:rsidRPr="00845584" w:rsidRDefault="002E35AE" w:rsidP="002E35AE">
      <w:pPr>
        <w:spacing w:line="254" w:lineRule="auto"/>
        <w:rPr>
          <w:b/>
          <w:bCs/>
          <w:color w:val="C00000"/>
          <w:sz w:val="22"/>
          <w:szCs w:val="22"/>
        </w:rPr>
      </w:pPr>
      <w:r w:rsidRPr="00845584">
        <w:rPr>
          <w:rStyle w:val="Emphasis"/>
          <w:b/>
          <w:bCs/>
          <w:i w:val="0"/>
          <w:color w:val="C00000"/>
          <w:sz w:val="22"/>
          <w:szCs w:val="22"/>
        </w:rPr>
        <w:lastRenderedPageBreak/>
        <w:t xml:space="preserve">Update to </w:t>
      </w:r>
      <w:r w:rsidR="00A54F72" w:rsidRPr="00845584">
        <w:rPr>
          <w:b/>
          <w:bCs/>
          <w:iCs/>
          <w:color w:val="C00000"/>
          <w:kern w:val="20"/>
          <w:sz w:val="22"/>
          <w:szCs w:val="22"/>
        </w:rPr>
        <w:t>s</w:t>
      </w:r>
      <w:r w:rsidRPr="00845584">
        <w:rPr>
          <w:b/>
          <w:bCs/>
          <w:iCs/>
          <w:color w:val="C00000"/>
          <w:kern w:val="20"/>
          <w:sz w:val="22"/>
          <w:szCs w:val="22"/>
        </w:rPr>
        <w:t>earching</w:t>
      </w:r>
      <w:r w:rsidRPr="00845584">
        <w:rPr>
          <w:b/>
          <w:bCs/>
          <w:color w:val="C00000"/>
          <w:sz w:val="22"/>
          <w:szCs w:val="22"/>
        </w:rPr>
        <w:t xml:space="preserve"> a registered instrument lodged with the generic residual document </w:t>
      </w:r>
    </w:p>
    <w:p w14:paraId="2C39E466" w14:textId="77777777" w:rsidR="00845584" w:rsidRDefault="00845584" w:rsidP="002E35AE">
      <w:pPr>
        <w:spacing w:line="254" w:lineRule="auto"/>
      </w:pPr>
    </w:p>
    <w:p w14:paraId="4CB70704" w14:textId="4FAC837D" w:rsidR="002E35AE" w:rsidRDefault="002E35AE" w:rsidP="002E35AE">
      <w:pPr>
        <w:spacing w:line="254" w:lineRule="auto"/>
        <w:rPr>
          <w:rFonts w:ascii="Arial" w:hAnsi="Arial"/>
          <w:iCs/>
          <w:color w:val="auto"/>
          <w:sz w:val="22"/>
          <w:szCs w:val="22"/>
        </w:rPr>
      </w:pPr>
      <w:r w:rsidRPr="00C41E7C">
        <w:rPr>
          <w:rFonts w:ascii="Arial" w:hAnsi="Arial"/>
          <w:iCs/>
          <w:color w:val="auto"/>
          <w:sz w:val="22"/>
          <w:szCs w:val="22"/>
        </w:rPr>
        <w:t>The generic residual document is used as a method to deliver scanned PDF paper instruments to Land Use Victoria.</w:t>
      </w:r>
    </w:p>
    <w:p w14:paraId="43819B14" w14:textId="77777777" w:rsidR="00656225" w:rsidRPr="00C41E7C" w:rsidRDefault="00656225" w:rsidP="00656225">
      <w:pPr>
        <w:spacing w:line="254" w:lineRule="auto"/>
        <w:rPr>
          <w:rFonts w:ascii="Arial" w:hAnsi="Arial"/>
          <w:iCs/>
          <w:color w:val="auto"/>
          <w:sz w:val="22"/>
          <w:szCs w:val="22"/>
        </w:rPr>
      </w:pPr>
    </w:p>
    <w:p w14:paraId="5E271F1D" w14:textId="713F7176" w:rsidR="00656225" w:rsidRPr="00C41E7C" w:rsidRDefault="00656225" w:rsidP="00656225">
      <w:pPr>
        <w:spacing w:line="254" w:lineRule="auto"/>
        <w:rPr>
          <w:rFonts w:ascii="Arial" w:hAnsi="Arial"/>
          <w:iCs/>
          <w:color w:val="auto"/>
          <w:sz w:val="22"/>
          <w:szCs w:val="22"/>
        </w:rPr>
      </w:pPr>
      <w:r w:rsidRPr="00C41E7C">
        <w:rPr>
          <w:rFonts w:ascii="Arial" w:hAnsi="Arial"/>
          <w:iCs/>
          <w:color w:val="auto"/>
          <w:sz w:val="22"/>
          <w:szCs w:val="22"/>
        </w:rPr>
        <w:t xml:space="preserve">The generic residual document will be assigned a dealing number when lodged </w:t>
      </w:r>
      <w:r>
        <w:rPr>
          <w:rFonts w:ascii="Arial" w:hAnsi="Arial"/>
          <w:iCs/>
          <w:color w:val="auto"/>
          <w:sz w:val="22"/>
          <w:szCs w:val="22"/>
        </w:rPr>
        <w:t>using PEXA</w:t>
      </w:r>
      <w:r w:rsidR="002E35AE">
        <w:rPr>
          <w:rFonts w:ascii="Arial" w:hAnsi="Arial"/>
          <w:iCs/>
          <w:color w:val="auto"/>
          <w:sz w:val="22"/>
          <w:szCs w:val="22"/>
        </w:rPr>
        <w:t xml:space="preserve">. </w:t>
      </w:r>
      <w:r w:rsidR="000F39E7">
        <w:rPr>
          <w:rFonts w:ascii="Arial" w:hAnsi="Arial"/>
          <w:iCs/>
          <w:color w:val="auto"/>
          <w:sz w:val="22"/>
          <w:szCs w:val="22"/>
        </w:rPr>
        <w:t xml:space="preserve"> </w:t>
      </w:r>
      <w:r w:rsidR="002E35AE">
        <w:rPr>
          <w:rFonts w:ascii="Arial" w:hAnsi="Arial"/>
          <w:iCs/>
          <w:color w:val="auto"/>
          <w:sz w:val="22"/>
          <w:szCs w:val="22"/>
        </w:rPr>
        <w:t xml:space="preserve">When </w:t>
      </w:r>
      <w:r w:rsidR="00532F53">
        <w:rPr>
          <w:rFonts w:ascii="Arial" w:hAnsi="Arial"/>
          <w:iCs/>
          <w:color w:val="auto"/>
          <w:sz w:val="22"/>
          <w:szCs w:val="22"/>
        </w:rPr>
        <w:t>the generic residual is processed (withdrawn) the</w:t>
      </w:r>
      <w:r w:rsidRPr="00C41E7C">
        <w:rPr>
          <w:rFonts w:ascii="Arial" w:hAnsi="Arial"/>
          <w:iCs/>
          <w:color w:val="auto"/>
          <w:sz w:val="22"/>
          <w:szCs w:val="22"/>
        </w:rPr>
        <w:t xml:space="preserve"> scanned paper instrument</w:t>
      </w:r>
      <w:r>
        <w:rPr>
          <w:rFonts w:ascii="Arial" w:hAnsi="Arial"/>
          <w:iCs/>
          <w:color w:val="auto"/>
          <w:sz w:val="22"/>
          <w:szCs w:val="22"/>
        </w:rPr>
        <w:t>(</w:t>
      </w:r>
      <w:r w:rsidRPr="00C41E7C">
        <w:rPr>
          <w:rFonts w:ascii="Arial" w:hAnsi="Arial"/>
          <w:iCs/>
          <w:color w:val="auto"/>
          <w:sz w:val="22"/>
          <w:szCs w:val="22"/>
        </w:rPr>
        <w:t>s</w:t>
      </w:r>
      <w:r>
        <w:rPr>
          <w:rFonts w:ascii="Arial" w:hAnsi="Arial"/>
          <w:iCs/>
          <w:color w:val="auto"/>
          <w:sz w:val="22"/>
          <w:szCs w:val="22"/>
        </w:rPr>
        <w:t>)</w:t>
      </w:r>
      <w:r w:rsidRPr="00C41E7C">
        <w:rPr>
          <w:rFonts w:ascii="Arial" w:hAnsi="Arial"/>
          <w:iCs/>
          <w:color w:val="auto"/>
          <w:sz w:val="22"/>
          <w:szCs w:val="22"/>
        </w:rPr>
        <w:t xml:space="preserve"> will be assigned new dealing number</w:t>
      </w:r>
      <w:r>
        <w:rPr>
          <w:rFonts w:ascii="Arial" w:hAnsi="Arial"/>
          <w:iCs/>
          <w:color w:val="auto"/>
          <w:sz w:val="22"/>
          <w:szCs w:val="22"/>
        </w:rPr>
        <w:t>(</w:t>
      </w:r>
      <w:r w:rsidRPr="00C41E7C">
        <w:rPr>
          <w:rFonts w:ascii="Arial" w:hAnsi="Arial"/>
          <w:iCs/>
          <w:color w:val="auto"/>
          <w:sz w:val="22"/>
          <w:szCs w:val="22"/>
        </w:rPr>
        <w:t>s</w:t>
      </w:r>
      <w:r>
        <w:rPr>
          <w:rFonts w:ascii="Arial" w:hAnsi="Arial"/>
          <w:iCs/>
          <w:color w:val="auto"/>
          <w:sz w:val="22"/>
          <w:szCs w:val="22"/>
        </w:rPr>
        <w:t>)</w:t>
      </w:r>
      <w:r w:rsidRPr="00C41E7C">
        <w:rPr>
          <w:rFonts w:ascii="Arial" w:hAnsi="Arial"/>
          <w:iCs/>
          <w:color w:val="auto"/>
          <w:sz w:val="22"/>
          <w:szCs w:val="22"/>
        </w:rPr>
        <w:t xml:space="preserve"> which are shown in the top right corner</w:t>
      </w:r>
      <w:r w:rsidR="002E35AE">
        <w:rPr>
          <w:rFonts w:ascii="Arial" w:hAnsi="Arial"/>
          <w:iCs/>
          <w:color w:val="auto"/>
          <w:sz w:val="22"/>
          <w:szCs w:val="22"/>
        </w:rPr>
        <w:t xml:space="preserve"> of the imaged instrument</w:t>
      </w:r>
      <w:r w:rsidRPr="00C41E7C">
        <w:rPr>
          <w:rFonts w:ascii="Arial" w:hAnsi="Arial"/>
          <w:iCs/>
          <w:color w:val="auto"/>
          <w:sz w:val="22"/>
          <w:szCs w:val="22"/>
        </w:rPr>
        <w:t>.</w:t>
      </w:r>
    </w:p>
    <w:p w14:paraId="1DE17500" w14:textId="77777777" w:rsidR="00656225" w:rsidRPr="00C41E7C" w:rsidRDefault="00656225" w:rsidP="00656225">
      <w:pPr>
        <w:spacing w:line="254" w:lineRule="auto"/>
        <w:rPr>
          <w:rFonts w:ascii="Arial" w:hAnsi="Arial"/>
          <w:iCs/>
          <w:color w:val="auto"/>
          <w:sz w:val="22"/>
          <w:szCs w:val="22"/>
        </w:rPr>
      </w:pPr>
    </w:p>
    <w:p w14:paraId="6D525631" w14:textId="587AE9EC" w:rsidR="00656225" w:rsidRDefault="002E35AE" w:rsidP="00656225">
      <w:pPr>
        <w:rPr>
          <w:rFonts w:ascii="Arial" w:hAnsi="Arial"/>
          <w:iCs/>
          <w:color w:val="auto"/>
          <w:sz w:val="22"/>
          <w:szCs w:val="22"/>
        </w:rPr>
      </w:pPr>
      <w:r>
        <w:rPr>
          <w:rFonts w:ascii="Arial" w:hAnsi="Arial"/>
          <w:iCs/>
          <w:color w:val="auto"/>
          <w:sz w:val="22"/>
          <w:szCs w:val="22"/>
        </w:rPr>
        <w:t>For generic residual documents submitted f</w:t>
      </w:r>
      <w:r w:rsidR="00656225" w:rsidRPr="00C41E7C">
        <w:rPr>
          <w:rFonts w:ascii="Arial" w:hAnsi="Arial"/>
          <w:iCs/>
          <w:color w:val="auto"/>
          <w:sz w:val="22"/>
          <w:szCs w:val="22"/>
        </w:rPr>
        <w:t>rom 25 May 2020</w:t>
      </w:r>
      <w:r w:rsidR="00656225">
        <w:rPr>
          <w:rFonts w:ascii="Arial" w:hAnsi="Arial"/>
          <w:iCs/>
          <w:color w:val="auto"/>
          <w:sz w:val="22"/>
          <w:szCs w:val="22"/>
        </w:rPr>
        <w:t>,</w:t>
      </w:r>
      <w:r w:rsidR="00656225" w:rsidRPr="00C41E7C">
        <w:rPr>
          <w:rFonts w:ascii="Arial" w:hAnsi="Arial"/>
          <w:iCs/>
          <w:color w:val="auto"/>
          <w:sz w:val="22"/>
          <w:szCs w:val="22"/>
        </w:rPr>
        <w:t xml:space="preserve"> </w:t>
      </w:r>
      <w:r w:rsidR="00656225">
        <w:rPr>
          <w:rFonts w:ascii="Arial" w:hAnsi="Arial"/>
          <w:iCs/>
          <w:color w:val="auto"/>
          <w:sz w:val="22"/>
          <w:szCs w:val="22"/>
        </w:rPr>
        <w:t>t</w:t>
      </w:r>
      <w:r w:rsidR="00656225" w:rsidRPr="00C41E7C">
        <w:rPr>
          <w:rFonts w:ascii="Arial" w:hAnsi="Arial"/>
          <w:iCs/>
          <w:color w:val="auto"/>
          <w:sz w:val="22"/>
          <w:szCs w:val="22"/>
        </w:rPr>
        <w:t xml:space="preserve">he generic residual document dealing number </w:t>
      </w:r>
      <w:r w:rsidR="00A20380">
        <w:rPr>
          <w:rFonts w:ascii="Arial" w:hAnsi="Arial"/>
          <w:iCs/>
          <w:color w:val="auto"/>
          <w:sz w:val="22"/>
          <w:szCs w:val="22"/>
        </w:rPr>
        <w:t xml:space="preserve">will </w:t>
      </w:r>
      <w:r w:rsidR="00656225" w:rsidRPr="00C41E7C">
        <w:rPr>
          <w:rFonts w:ascii="Arial" w:hAnsi="Arial"/>
          <w:iCs/>
          <w:color w:val="auto"/>
          <w:sz w:val="22"/>
          <w:szCs w:val="22"/>
        </w:rPr>
        <w:t xml:space="preserve">no longer appear as a diagonal watermark on the </w:t>
      </w:r>
      <w:r w:rsidR="00656225">
        <w:rPr>
          <w:rFonts w:ascii="Arial" w:hAnsi="Arial"/>
          <w:iCs/>
          <w:color w:val="auto"/>
          <w:sz w:val="22"/>
          <w:szCs w:val="22"/>
        </w:rPr>
        <w:t>p</w:t>
      </w:r>
      <w:r w:rsidR="00656225" w:rsidRPr="00C41E7C">
        <w:rPr>
          <w:rFonts w:ascii="Arial" w:hAnsi="Arial"/>
          <w:iCs/>
          <w:color w:val="auto"/>
          <w:sz w:val="22"/>
          <w:szCs w:val="22"/>
        </w:rPr>
        <w:t xml:space="preserve">aper instruments.  </w:t>
      </w:r>
    </w:p>
    <w:p w14:paraId="0AC183CD" w14:textId="77777777" w:rsidR="00656225" w:rsidRPr="004D5D1E" w:rsidRDefault="00656225" w:rsidP="00656225">
      <w:pPr>
        <w:pStyle w:val="Heading2"/>
        <w:numPr>
          <w:ilvl w:val="0"/>
          <w:numId w:val="0"/>
        </w:numPr>
        <w:rPr>
          <w:rFonts w:cstheme="minorHAnsi"/>
          <w:szCs w:val="22"/>
        </w:rPr>
      </w:pPr>
      <w:r w:rsidRPr="004D5D1E">
        <w:rPr>
          <w:rFonts w:cstheme="minorHAnsi"/>
          <w:szCs w:val="22"/>
        </w:rPr>
        <w:t>Support</w:t>
      </w:r>
    </w:p>
    <w:p w14:paraId="3CE9F576" w14:textId="77777777" w:rsidR="00656225" w:rsidRPr="005232D1" w:rsidRDefault="00656225" w:rsidP="00656225">
      <w:pPr>
        <w:rPr>
          <w:rStyle w:val="normaltextrun"/>
          <w:rFonts w:ascii="Arial" w:hAnsi="Arial"/>
          <w:color w:val="auto"/>
          <w:sz w:val="22"/>
          <w:szCs w:val="22"/>
        </w:rPr>
      </w:pPr>
      <w:r w:rsidRPr="005232D1">
        <w:rPr>
          <w:rFonts w:ascii="Arial" w:hAnsi="Arial"/>
          <w:color w:val="auto"/>
          <w:sz w:val="22"/>
          <w:szCs w:val="22"/>
        </w:rPr>
        <w:t xml:space="preserve">Any queries regarding the generic residual document should be directed to Land Registry Services </w:t>
      </w:r>
      <w:r w:rsidRPr="005232D1">
        <w:rPr>
          <w:rStyle w:val="normaltextrun"/>
          <w:rFonts w:ascii="Arial" w:hAnsi="Arial"/>
          <w:color w:val="auto"/>
          <w:sz w:val="22"/>
          <w:szCs w:val="22"/>
        </w:rPr>
        <w:t xml:space="preserve">Customer Call Centre </w:t>
      </w:r>
      <w:r w:rsidRPr="005232D1">
        <w:rPr>
          <w:rFonts w:ascii="Arial" w:hAnsi="Arial"/>
          <w:color w:val="auto"/>
          <w:sz w:val="22"/>
          <w:szCs w:val="22"/>
        </w:rPr>
        <w:t xml:space="preserve">on </w:t>
      </w:r>
      <w:r w:rsidRPr="005232D1">
        <w:rPr>
          <w:rStyle w:val="normaltextrun"/>
          <w:rFonts w:ascii="Arial" w:hAnsi="Arial"/>
          <w:color w:val="auto"/>
          <w:sz w:val="22"/>
          <w:szCs w:val="22"/>
        </w:rPr>
        <w:t>9102 0401.</w:t>
      </w:r>
    </w:p>
    <w:p w14:paraId="767A8D3A" w14:textId="77777777" w:rsidR="00656225" w:rsidRPr="005232D1" w:rsidRDefault="00656225" w:rsidP="00656225">
      <w:pPr>
        <w:rPr>
          <w:rStyle w:val="normaltextrun"/>
          <w:rFonts w:ascii="Arial" w:hAnsi="Arial"/>
          <w:b/>
          <w:bCs/>
          <w:iCs/>
          <w:color w:val="auto"/>
          <w:kern w:val="20"/>
          <w:sz w:val="22"/>
          <w:szCs w:val="22"/>
        </w:rPr>
      </w:pPr>
    </w:p>
    <w:p w14:paraId="59ADBDEC" w14:textId="48A8C17F" w:rsidR="00656225" w:rsidRDefault="00656225" w:rsidP="00656225">
      <w:pPr>
        <w:rPr>
          <w:rFonts w:ascii="Arial" w:hAnsi="Arial"/>
          <w:iCs/>
          <w:color w:val="auto"/>
          <w:sz w:val="22"/>
          <w:szCs w:val="22"/>
        </w:rPr>
      </w:pPr>
      <w:r w:rsidRPr="005232D1">
        <w:rPr>
          <w:rFonts w:ascii="Arial" w:hAnsi="Arial"/>
          <w:color w:val="auto"/>
          <w:sz w:val="22"/>
          <w:szCs w:val="22"/>
        </w:rPr>
        <w:t>Please contact PEXA on 1300 084 515 if you have any questions on how to create a generic residual document.</w:t>
      </w:r>
    </w:p>
    <w:p w14:paraId="795BED88" w14:textId="77777777" w:rsidR="00656225" w:rsidRPr="000F3F79" w:rsidRDefault="00656225" w:rsidP="00656225">
      <w:pPr>
        <w:pStyle w:val="Heading1"/>
        <w:rPr>
          <w:rStyle w:val="Emphasis"/>
          <w:i w:val="0"/>
          <w:iCs w:val="0"/>
          <w:sz w:val="28"/>
          <w:szCs w:val="28"/>
        </w:rPr>
      </w:pPr>
      <w:r w:rsidRPr="00EE7E60">
        <w:rPr>
          <w:rStyle w:val="Emphasis"/>
          <w:i w:val="0"/>
          <w:iCs w:val="0"/>
          <w:sz w:val="28"/>
          <w:szCs w:val="28"/>
        </w:rPr>
        <w:t>Requirements for attached PDF documents supporting all residual documents</w:t>
      </w:r>
    </w:p>
    <w:p w14:paraId="56B482B3" w14:textId="31F421E1" w:rsidR="00656225" w:rsidRPr="004A1371" w:rsidRDefault="00656225" w:rsidP="00656225">
      <w:pPr>
        <w:autoSpaceDE w:val="0"/>
        <w:autoSpaceDN w:val="0"/>
        <w:adjustRightInd w:val="0"/>
        <w:spacing w:line="240" w:lineRule="auto"/>
        <w:rPr>
          <w:rFonts w:ascii="Arial" w:hAnsi="Arial"/>
          <w:color w:val="auto"/>
          <w:sz w:val="22"/>
          <w:szCs w:val="22"/>
        </w:rPr>
      </w:pPr>
      <w:r w:rsidRPr="004A1371">
        <w:rPr>
          <w:rFonts w:ascii="Arial" w:hAnsi="Arial"/>
          <w:color w:val="auto"/>
          <w:sz w:val="22"/>
          <w:szCs w:val="22"/>
        </w:rPr>
        <w:t xml:space="preserve">Subscribers are responsible for ensuring that they provide appropriate documents for the intended audience and purpose. </w:t>
      </w:r>
      <w:r w:rsidR="000F39E7">
        <w:rPr>
          <w:rFonts w:ascii="Arial" w:hAnsi="Arial"/>
          <w:color w:val="auto"/>
          <w:sz w:val="22"/>
          <w:szCs w:val="22"/>
        </w:rPr>
        <w:t xml:space="preserve"> </w:t>
      </w:r>
      <w:r w:rsidRPr="004A1371">
        <w:rPr>
          <w:rFonts w:ascii="Arial" w:hAnsi="Arial"/>
          <w:color w:val="auto"/>
          <w:sz w:val="22"/>
          <w:szCs w:val="22"/>
        </w:rPr>
        <w:t>Failure to create files that meet the guidelines below could result in a residual document (including the generic residual document</w:t>
      </w:r>
      <w:r w:rsidR="00A20380">
        <w:rPr>
          <w:rFonts w:ascii="Arial" w:hAnsi="Arial"/>
          <w:color w:val="auto"/>
          <w:sz w:val="22"/>
          <w:szCs w:val="22"/>
        </w:rPr>
        <w:t>)</w:t>
      </w:r>
      <w:r w:rsidRPr="004A1371">
        <w:rPr>
          <w:rFonts w:ascii="Arial" w:hAnsi="Arial"/>
          <w:color w:val="auto"/>
          <w:sz w:val="22"/>
          <w:szCs w:val="22"/>
        </w:rPr>
        <w:t xml:space="preserve"> being refused or requisitioned if Land Use Victoria is not satisfied with the quality or presentation of the documents.</w:t>
      </w:r>
    </w:p>
    <w:p w14:paraId="6606F673" w14:textId="77777777" w:rsidR="00656225" w:rsidRPr="004A1371" w:rsidRDefault="00656225" w:rsidP="00656225">
      <w:pPr>
        <w:autoSpaceDE w:val="0"/>
        <w:autoSpaceDN w:val="0"/>
        <w:adjustRightInd w:val="0"/>
        <w:spacing w:line="240" w:lineRule="auto"/>
        <w:rPr>
          <w:rFonts w:ascii="Arial" w:eastAsiaTheme="minorHAnsi" w:hAnsi="Arial"/>
          <w:color w:val="auto"/>
          <w:sz w:val="22"/>
          <w:szCs w:val="22"/>
          <w:lang w:eastAsia="en-US"/>
        </w:rPr>
      </w:pPr>
    </w:p>
    <w:p w14:paraId="442AD284" w14:textId="30962DBE" w:rsidR="00BC1ACF" w:rsidRDefault="00656225" w:rsidP="00656225">
      <w:pPr>
        <w:rPr>
          <w:rFonts w:ascii="Arial" w:eastAsiaTheme="minorHAnsi" w:hAnsi="Arial"/>
          <w:color w:val="auto"/>
          <w:sz w:val="22"/>
          <w:szCs w:val="22"/>
          <w:lang w:eastAsia="en-US"/>
        </w:rPr>
      </w:pPr>
      <w:r w:rsidRPr="004A1371">
        <w:rPr>
          <w:rFonts w:ascii="Arial" w:eastAsiaTheme="minorHAnsi" w:hAnsi="Arial"/>
          <w:color w:val="auto"/>
          <w:sz w:val="22"/>
          <w:szCs w:val="22"/>
          <w:lang w:eastAsia="en-US"/>
        </w:rPr>
        <w:t xml:space="preserve">Security settings, </w:t>
      </w:r>
      <w:r w:rsidR="00B17F11">
        <w:rPr>
          <w:rFonts w:ascii="Arial" w:eastAsiaTheme="minorHAnsi" w:hAnsi="Arial"/>
          <w:color w:val="auto"/>
          <w:sz w:val="22"/>
          <w:szCs w:val="22"/>
          <w:lang w:eastAsia="en-US"/>
        </w:rPr>
        <w:t>such as</w:t>
      </w:r>
      <w:r w:rsidRPr="004A1371">
        <w:rPr>
          <w:rFonts w:ascii="Arial" w:eastAsiaTheme="minorHAnsi" w:hAnsi="Arial"/>
          <w:color w:val="auto"/>
          <w:sz w:val="22"/>
          <w:szCs w:val="22"/>
          <w:lang w:eastAsia="en-US"/>
        </w:rPr>
        <w:t xml:space="preserve"> password protection, must not be applied to PDF documents lodged in electronic lodgment networks. </w:t>
      </w:r>
    </w:p>
    <w:p w14:paraId="589AACA2" w14:textId="77777777" w:rsidR="00BC1ACF" w:rsidRDefault="00BC1ACF" w:rsidP="00656225">
      <w:pPr>
        <w:rPr>
          <w:rFonts w:ascii="Arial" w:eastAsiaTheme="minorHAnsi" w:hAnsi="Arial"/>
          <w:color w:val="auto"/>
          <w:sz w:val="22"/>
          <w:szCs w:val="22"/>
          <w:lang w:eastAsia="en-US"/>
        </w:rPr>
      </w:pPr>
    </w:p>
    <w:p w14:paraId="3429896C" w14:textId="3E79901E" w:rsidR="00656225" w:rsidRPr="00A20380" w:rsidRDefault="00656225" w:rsidP="00656225">
      <w:pPr>
        <w:rPr>
          <w:rFonts w:ascii="Arial" w:hAnsi="Arial"/>
          <w:color w:val="auto"/>
          <w:sz w:val="22"/>
          <w:szCs w:val="22"/>
          <w:shd w:val="clear" w:color="auto" w:fill="FFFFFF"/>
        </w:rPr>
      </w:pPr>
      <w:r w:rsidRPr="00A20380">
        <w:rPr>
          <w:rFonts w:ascii="Arial" w:hAnsi="Arial"/>
          <w:color w:val="auto"/>
          <w:sz w:val="22"/>
          <w:szCs w:val="22"/>
          <w:shd w:val="clear" w:color="auto" w:fill="FFFFFF"/>
        </w:rPr>
        <w:t xml:space="preserve">The image quality of attached paper instruments is critical.  Instruments of poor image quality will not be accepted.  Please ensure that when attaching an image, it is not upside down or sideways. </w:t>
      </w:r>
    </w:p>
    <w:p w14:paraId="3889C070" w14:textId="77777777" w:rsidR="00656225" w:rsidRPr="00A20380" w:rsidRDefault="00656225" w:rsidP="00656225">
      <w:pPr>
        <w:rPr>
          <w:rFonts w:ascii="Arial" w:hAnsi="Arial"/>
          <w:color w:val="auto"/>
          <w:sz w:val="22"/>
          <w:szCs w:val="22"/>
          <w:shd w:val="clear" w:color="auto" w:fill="FFFFFF"/>
        </w:rPr>
      </w:pPr>
    </w:p>
    <w:p w14:paraId="17A8581D" w14:textId="77777777" w:rsidR="00656225" w:rsidRPr="00A20380" w:rsidRDefault="00656225" w:rsidP="00656225">
      <w:pPr>
        <w:rPr>
          <w:rFonts w:ascii="Arial" w:hAnsi="Arial"/>
          <w:color w:val="auto"/>
          <w:sz w:val="22"/>
          <w:szCs w:val="22"/>
          <w:shd w:val="clear" w:color="auto" w:fill="FFFFFF"/>
        </w:rPr>
      </w:pPr>
      <w:r w:rsidRPr="00A20380">
        <w:rPr>
          <w:rFonts w:ascii="Arial" w:hAnsi="Arial"/>
          <w:color w:val="auto"/>
          <w:sz w:val="22"/>
          <w:szCs w:val="22"/>
          <w:shd w:val="clear" w:color="auto" w:fill="FFFFFF"/>
        </w:rPr>
        <w:t>Image quality check list</w:t>
      </w:r>
    </w:p>
    <w:p w14:paraId="304918B1" w14:textId="77777777" w:rsidR="00656225" w:rsidRPr="00A20380" w:rsidRDefault="00656225" w:rsidP="00656225">
      <w:pPr>
        <w:pStyle w:val="ListParagraph"/>
        <w:numPr>
          <w:ilvl w:val="0"/>
          <w:numId w:val="44"/>
        </w:numPr>
        <w:autoSpaceDE w:val="0"/>
        <w:autoSpaceDN w:val="0"/>
        <w:spacing w:before="40" w:after="40" w:line="240" w:lineRule="auto"/>
        <w:rPr>
          <w:rFonts w:ascii="Arial" w:hAnsi="Arial"/>
          <w:color w:val="auto"/>
          <w:sz w:val="22"/>
          <w:szCs w:val="22"/>
        </w:rPr>
      </w:pPr>
      <w:r w:rsidRPr="004A1371">
        <w:rPr>
          <w:rFonts w:ascii="Arial" w:hAnsi="Arial"/>
          <w:color w:val="auto"/>
          <w:sz w:val="22"/>
          <w:szCs w:val="22"/>
        </w:rPr>
        <w:t xml:space="preserve">Resolution must be set to a minimum of 300 dpi for satisfactory image quality. </w:t>
      </w:r>
    </w:p>
    <w:p w14:paraId="7F451510" w14:textId="579F4B52" w:rsidR="00656225" w:rsidRPr="00A20380" w:rsidRDefault="00656225" w:rsidP="00656225">
      <w:pPr>
        <w:pStyle w:val="ListParagraph"/>
        <w:numPr>
          <w:ilvl w:val="0"/>
          <w:numId w:val="44"/>
        </w:numPr>
        <w:autoSpaceDE w:val="0"/>
        <w:autoSpaceDN w:val="0"/>
        <w:spacing w:before="40" w:after="40" w:line="240" w:lineRule="auto"/>
        <w:rPr>
          <w:rFonts w:ascii="Arial" w:hAnsi="Arial"/>
          <w:color w:val="auto"/>
          <w:sz w:val="22"/>
          <w:szCs w:val="22"/>
        </w:rPr>
      </w:pPr>
      <w:r w:rsidRPr="004A1371">
        <w:rPr>
          <w:rFonts w:ascii="Arial" w:hAnsi="Arial"/>
          <w:color w:val="auto"/>
          <w:sz w:val="22"/>
          <w:szCs w:val="22"/>
        </w:rPr>
        <w:t>All PDF documents, including plan and survey documents, must be produced in black and white in accordance with current practice.</w:t>
      </w:r>
      <w:r w:rsidR="000F39E7">
        <w:rPr>
          <w:rFonts w:ascii="Arial" w:hAnsi="Arial"/>
          <w:color w:val="auto"/>
          <w:sz w:val="22"/>
          <w:szCs w:val="22"/>
        </w:rPr>
        <w:t xml:space="preserve"> </w:t>
      </w:r>
      <w:r w:rsidRPr="004A1371">
        <w:rPr>
          <w:rFonts w:ascii="Arial" w:hAnsi="Arial"/>
          <w:color w:val="auto"/>
          <w:sz w:val="22"/>
          <w:szCs w:val="22"/>
        </w:rPr>
        <w:t xml:space="preserve"> Colour and greyscale are not acceptable. </w:t>
      </w:r>
    </w:p>
    <w:p w14:paraId="1846140E" w14:textId="0C658CB2" w:rsidR="00656225" w:rsidRPr="00A20380" w:rsidRDefault="00656225" w:rsidP="00656225">
      <w:pPr>
        <w:pStyle w:val="ListParagraph"/>
        <w:numPr>
          <w:ilvl w:val="0"/>
          <w:numId w:val="44"/>
        </w:numPr>
        <w:autoSpaceDE w:val="0"/>
        <w:autoSpaceDN w:val="0"/>
        <w:spacing w:before="40" w:after="40" w:line="240" w:lineRule="auto"/>
        <w:rPr>
          <w:rFonts w:ascii="Arial" w:hAnsi="Arial"/>
          <w:color w:val="auto"/>
          <w:sz w:val="22"/>
          <w:szCs w:val="22"/>
        </w:rPr>
      </w:pPr>
      <w:r w:rsidRPr="00A20380">
        <w:rPr>
          <w:rFonts w:ascii="Arial" w:hAnsi="Arial"/>
          <w:color w:val="auto"/>
          <w:sz w:val="22"/>
          <w:szCs w:val="22"/>
        </w:rPr>
        <w:t xml:space="preserve">All pages of the </w:t>
      </w:r>
      <w:r w:rsidR="002D48A7">
        <w:rPr>
          <w:rFonts w:ascii="Arial" w:hAnsi="Arial"/>
          <w:color w:val="auto"/>
          <w:sz w:val="22"/>
          <w:szCs w:val="22"/>
        </w:rPr>
        <w:t>PDF</w:t>
      </w:r>
      <w:r w:rsidRPr="00A20380">
        <w:rPr>
          <w:rFonts w:ascii="Arial" w:hAnsi="Arial"/>
          <w:color w:val="auto"/>
          <w:sz w:val="22"/>
          <w:szCs w:val="22"/>
        </w:rPr>
        <w:t xml:space="preserve"> file must be orientated to appear upright when viewed on screen. </w:t>
      </w:r>
    </w:p>
    <w:p w14:paraId="537C1FB2" w14:textId="77777777" w:rsidR="00656225" w:rsidRPr="004A1371" w:rsidRDefault="00656225" w:rsidP="00656225">
      <w:pPr>
        <w:pStyle w:val="ListParagraph"/>
        <w:ind w:left="927"/>
        <w:rPr>
          <w:rFonts w:ascii="Arial" w:hAnsi="Arial"/>
          <w:color w:val="auto"/>
        </w:rPr>
      </w:pPr>
      <w:r w:rsidRPr="004A1371">
        <w:rPr>
          <w:rFonts w:ascii="Arial" w:hAnsi="Arial"/>
          <w:color w:val="auto"/>
        </w:rPr>
        <w:t xml:space="preserve">  </w:t>
      </w:r>
    </w:p>
    <w:p w14:paraId="5BD8DBDC" w14:textId="4D03E217" w:rsidR="00656225" w:rsidRPr="00C016D5" w:rsidRDefault="00656225" w:rsidP="00656225">
      <w:pPr>
        <w:pStyle w:val="Heading1"/>
      </w:pPr>
      <w:r>
        <w:t>S</w:t>
      </w:r>
      <w:r w:rsidRPr="00C016D5">
        <w:t xml:space="preserve">PEAR Electronic Lodgment </w:t>
      </w:r>
      <w:r w:rsidRPr="00EE7E60">
        <w:t>Network</w:t>
      </w:r>
      <w:r w:rsidR="006D63F7" w:rsidRPr="00EE7E60">
        <w:t xml:space="preserve"> (ELN)</w:t>
      </w:r>
      <w:r>
        <w:t xml:space="preserve"> </w:t>
      </w:r>
      <w:r w:rsidRPr="00C016D5">
        <w:t>reminder</w:t>
      </w:r>
    </w:p>
    <w:p w14:paraId="29776BDA" w14:textId="219FA0DA" w:rsidR="00656225" w:rsidRDefault="00656225" w:rsidP="00656225">
      <w:pPr>
        <w:rPr>
          <w:rStyle w:val="Hyperlink"/>
          <w:rFonts w:ascii="Arial" w:hAnsi="Arial"/>
          <w:sz w:val="22"/>
          <w:szCs w:val="22"/>
        </w:rPr>
      </w:pPr>
      <w:r w:rsidRPr="005232D1">
        <w:rPr>
          <w:rFonts w:ascii="Arial" w:hAnsi="Arial"/>
          <w:color w:val="auto"/>
          <w:sz w:val="22"/>
          <w:szCs w:val="22"/>
        </w:rPr>
        <w:t>SPEAR electronic lodgment is the preferred method for lodging all instruments eligible to be lodged using SPEAR.</w:t>
      </w:r>
      <w:r w:rsidR="000F39E7">
        <w:rPr>
          <w:rFonts w:ascii="Arial" w:hAnsi="Arial"/>
          <w:color w:val="auto"/>
          <w:sz w:val="22"/>
          <w:szCs w:val="22"/>
        </w:rPr>
        <w:t xml:space="preserve"> </w:t>
      </w:r>
      <w:r w:rsidRPr="005232D1">
        <w:rPr>
          <w:rFonts w:ascii="Arial" w:hAnsi="Arial"/>
          <w:color w:val="auto"/>
          <w:sz w:val="22"/>
          <w:szCs w:val="22"/>
        </w:rPr>
        <w:t xml:space="preserve"> Information about how to register to become a SPEAR ELN Subscriber is on the SPEAR website: </w:t>
      </w:r>
      <w:hyperlink r:id="rId22" w:history="1">
        <w:r w:rsidRPr="005232D1">
          <w:rPr>
            <w:rStyle w:val="Hyperlink"/>
            <w:rFonts w:ascii="Arial" w:hAnsi="Arial"/>
            <w:sz w:val="22"/>
            <w:szCs w:val="22"/>
          </w:rPr>
          <w:t>https://www.spear.land.vic.gov.au/spear/pages/lodging-parties/about-lodging.shtml</w:t>
        </w:r>
      </w:hyperlink>
    </w:p>
    <w:p w14:paraId="4831B4CC" w14:textId="2DE98594" w:rsidR="00656225" w:rsidRPr="00C41E7C" w:rsidRDefault="00656225" w:rsidP="004A1371">
      <w:pPr>
        <w:pStyle w:val="BoldHeading"/>
      </w:pPr>
      <w:r w:rsidRPr="004D5D1E">
        <w:rPr>
          <w:rStyle w:val="BodyTextChar"/>
          <w:rFonts w:ascii="Arial" w:hAnsi="Arial"/>
          <w:b w:val="0"/>
          <w:color w:val="auto"/>
          <w:sz w:val="22"/>
          <w:szCs w:val="22"/>
        </w:rPr>
        <w:lastRenderedPageBreak/>
        <w:t>For instrument types available in SPEAR see</w:t>
      </w:r>
      <w:r w:rsidRPr="004D5D1E">
        <w:rPr>
          <w:rStyle w:val="BodyTextChar"/>
          <w:rFonts w:ascii="Arial" w:hAnsi="Arial"/>
          <w:color w:val="auto"/>
          <w:sz w:val="22"/>
          <w:szCs w:val="22"/>
        </w:rPr>
        <w:t>:</w:t>
      </w:r>
      <w:r w:rsidRPr="004D5D1E">
        <w:rPr>
          <w:rStyle w:val="BodyTextChar"/>
          <w:rFonts w:ascii="Arial" w:hAnsi="Arial"/>
          <w:b w:val="0"/>
          <w:color w:val="auto"/>
          <w:sz w:val="22"/>
          <w:szCs w:val="22"/>
        </w:rPr>
        <w:t xml:space="preserve"> </w:t>
      </w:r>
      <w:hyperlink r:id="rId23" w:history="1">
        <w:r w:rsidRPr="004D5D1E">
          <w:rPr>
            <w:rStyle w:val="Hyperlink"/>
            <w:rFonts w:ascii="Arial" w:hAnsi="Arial"/>
            <w:b w:val="0"/>
            <w:sz w:val="22"/>
            <w:szCs w:val="22"/>
          </w:rPr>
          <w:t>https://www.spear.land.vic.gov.au/spear/pages/about/what-is-spear/spear-dealing-types.shtml</w:t>
        </w:r>
      </w:hyperlink>
    </w:p>
    <w:p w14:paraId="19954583" w14:textId="7A0193E0" w:rsidR="00656225" w:rsidRDefault="00B17F11" w:rsidP="00656225">
      <w:pPr>
        <w:pStyle w:val="Heading1"/>
      </w:pPr>
      <w:r>
        <w:t>C</w:t>
      </w:r>
      <w:r w:rsidR="00656225">
        <w:t>aveats a</w:t>
      </w:r>
      <w:r>
        <w:t>nd parts of land</w:t>
      </w:r>
      <w:r w:rsidR="00656225">
        <w:t xml:space="preserve"> </w:t>
      </w:r>
    </w:p>
    <w:p w14:paraId="19274306" w14:textId="4F8E8B71" w:rsidR="00656225" w:rsidRPr="004A1371" w:rsidRDefault="00656225" w:rsidP="002D48A7">
      <w:pPr>
        <w:rPr>
          <w:rFonts w:ascii="Arial" w:hAnsi="Arial"/>
          <w:color w:val="auto"/>
          <w:sz w:val="22"/>
          <w:szCs w:val="22"/>
        </w:rPr>
      </w:pPr>
      <w:r w:rsidRPr="004A1371">
        <w:rPr>
          <w:rFonts w:ascii="Arial" w:hAnsi="Arial"/>
          <w:color w:val="auto"/>
          <w:sz w:val="22"/>
          <w:szCs w:val="22"/>
        </w:rPr>
        <w:t xml:space="preserve">A caveat that relates to only part of the land in a folio cannot be lodged in an </w:t>
      </w:r>
      <w:r w:rsidR="00205DC5">
        <w:rPr>
          <w:rFonts w:ascii="Arial" w:hAnsi="Arial"/>
          <w:color w:val="auto"/>
          <w:sz w:val="22"/>
          <w:szCs w:val="22"/>
        </w:rPr>
        <w:t>Electronic Lodgment Network</w:t>
      </w:r>
      <w:r w:rsidR="00543945">
        <w:rPr>
          <w:rFonts w:ascii="Arial" w:hAnsi="Arial"/>
          <w:color w:val="auto"/>
          <w:sz w:val="22"/>
          <w:szCs w:val="22"/>
        </w:rPr>
        <w:t xml:space="preserve"> (ELN)</w:t>
      </w:r>
      <w:r w:rsidRPr="004A1371">
        <w:rPr>
          <w:rFonts w:ascii="Arial" w:hAnsi="Arial"/>
          <w:color w:val="auto"/>
          <w:sz w:val="22"/>
          <w:szCs w:val="22"/>
        </w:rPr>
        <w:t xml:space="preserve">.  This type of caveat can be lodged </w:t>
      </w:r>
      <w:r w:rsidR="000F39E7">
        <w:rPr>
          <w:rFonts w:ascii="Arial" w:hAnsi="Arial"/>
          <w:color w:val="auto"/>
          <w:sz w:val="22"/>
          <w:szCs w:val="22"/>
        </w:rPr>
        <w:t>i</w:t>
      </w:r>
      <w:r w:rsidRPr="004A1371">
        <w:rPr>
          <w:rFonts w:ascii="Arial" w:hAnsi="Arial"/>
          <w:color w:val="auto"/>
          <w:sz w:val="22"/>
          <w:szCs w:val="22"/>
        </w:rPr>
        <w:t>n paper</w:t>
      </w:r>
      <w:r w:rsidR="005318DE">
        <w:rPr>
          <w:rFonts w:ascii="Arial" w:hAnsi="Arial"/>
          <w:color w:val="auto"/>
          <w:sz w:val="22"/>
          <w:szCs w:val="22"/>
        </w:rPr>
        <w:t>,</w:t>
      </w:r>
      <w:r w:rsidRPr="004A1371">
        <w:rPr>
          <w:rFonts w:ascii="Arial" w:hAnsi="Arial"/>
          <w:color w:val="auto"/>
          <w:sz w:val="22"/>
          <w:szCs w:val="22"/>
        </w:rPr>
        <w:t xml:space="preserve"> using the generic residual document ‘Record – Notice -Transfer of Land Act – Section 104</w:t>
      </w:r>
      <w:r w:rsidR="002D48A7">
        <w:rPr>
          <w:rFonts w:ascii="Arial" w:hAnsi="Arial"/>
          <w:color w:val="auto"/>
          <w:sz w:val="22"/>
          <w:szCs w:val="22"/>
        </w:rPr>
        <w:t>.</w:t>
      </w:r>
    </w:p>
    <w:p w14:paraId="4AEECBB8" w14:textId="77777777" w:rsidR="002D48A7" w:rsidRPr="002D48A7" w:rsidRDefault="002D48A7" w:rsidP="002D48A7">
      <w:pPr>
        <w:rPr>
          <w:rFonts w:ascii="Arial" w:hAnsi="Arial"/>
          <w:color w:val="auto"/>
          <w:sz w:val="22"/>
          <w:szCs w:val="22"/>
        </w:rPr>
      </w:pPr>
    </w:p>
    <w:p w14:paraId="12430125" w14:textId="1DB5BBF2" w:rsidR="00656225" w:rsidRPr="002D48A7" w:rsidRDefault="00656225" w:rsidP="002D48A7">
      <w:pPr>
        <w:rPr>
          <w:rFonts w:ascii="Arial" w:hAnsi="Arial"/>
          <w:color w:val="auto"/>
          <w:sz w:val="22"/>
          <w:szCs w:val="22"/>
        </w:rPr>
      </w:pPr>
      <w:r w:rsidRPr="002D48A7">
        <w:rPr>
          <w:rFonts w:ascii="Arial" w:hAnsi="Arial"/>
          <w:color w:val="auto"/>
          <w:sz w:val="22"/>
          <w:szCs w:val="22"/>
        </w:rPr>
        <w:t xml:space="preserve">If the caveat relates to a lot on a pending plan of </w:t>
      </w:r>
      <w:r w:rsidR="009C0F80" w:rsidRPr="002D48A7">
        <w:rPr>
          <w:rFonts w:ascii="Arial" w:hAnsi="Arial"/>
          <w:color w:val="auto"/>
          <w:sz w:val="22"/>
          <w:szCs w:val="22"/>
        </w:rPr>
        <w:t>subdivision, the</w:t>
      </w:r>
      <w:r w:rsidRPr="002D48A7">
        <w:rPr>
          <w:rFonts w:ascii="Arial" w:hAnsi="Arial"/>
          <w:color w:val="auto"/>
          <w:sz w:val="22"/>
          <w:szCs w:val="22"/>
        </w:rPr>
        <w:t xml:space="preserve"> caveat can be lodged </w:t>
      </w:r>
      <w:r w:rsidR="002D48A7">
        <w:rPr>
          <w:rFonts w:ascii="Arial" w:hAnsi="Arial"/>
          <w:color w:val="auto"/>
          <w:sz w:val="22"/>
          <w:szCs w:val="22"/>
        </w:rPr>
        <w:t xml:space="preserve">in an ELN </w:t>
      </w:r>
      <w:r w:rsidRPr="002D48A7">
        <w:rPr>
          <w:rFonts w:ascii="Arial" w:hAnsi="Arial"/>
          <w:color w:val="auto"/>
          <w:sz w:val="22"/>
          <w:szCs w:val="22"/>
        </w:rPr>
        <w:t xml:space="preserve">over the lot after the plan has been registered </w:t>
      </w:r>
      <w:r w:rsidR="002D48A7">
        <w:rPr>
          <w:rFonts w:ascii="Arial" w:hAnsi="Arial"/>
          <w:color w:val="auto"/>
          <w:sz w:val="22"/>
          <w:szCs w:val="22"/>
        </w:rPr>
        <w:t xml:space="preserve">and </w:t>
      </w:r>
      <w:r w:rsidRPr="002D48A7">
        <w:rPr>
          <w:rFonts w:ascii="Arial" w:hAnsi="Arial"/>
          <w:color w:val="auto"/>
          <w:sz w:val="22"/>
          <w:szCs w:val="22"/>
        </w:rPr>
        <w:t>the new folio</w:t>
      </w:r>
      <w:r w:rsidR="002D48A7">
        <w:rPr>
          <w:rFonts w:ascii="Arial" w:hAnsi="Arial"/>
          <w:color w:val="auto"/>
          <w:sz w:val="22"/>
          <w:szCs w:val="22"/>
        </w:rPr>
        <w:t>s are created</w:t>
      </w:r>
      <w:r w:rsidRPr="002D48A7">
        <w:rPr>
          <w:rFonts w:ascii="Arial" w:hAnsi="Arial"/>
          <w:color w:val="auto"/>
          <w:sz w:val="22"/>
          <w:szCs w:val="22"/>
        </w:rPr>
        <w:t xml:space="preserve">.   </w:t>
      </w:r>
    </w:p>
    <w:p w14:paraId="31EA88BA" w14:textId="77777777" w:rsidR="00656225" w:rsidRPr="00BB179A" w:rsidRDefault="00656225" w:rsidP="00656225">
      <w:pPr>
        <w:pStyle w:val="Heading1"/>
        <w:numPr>
          <w:ilvl w:val="0"/>
          <w:numId w:val="0"/>
        </w:numPr>
        <w:rPr>
          <w:lang w:eastAsia="en-US"/>
        </w:rPr>
      </w:pPr>
      <w:r>
        <w:rPr>
          <w:lang w:eastAsia="en-US"/>
        </w:rPr>
        <w:t>Abbreviated names of companies and incorporated associations in the Register</w:t>
      </w:r>
    </w:p>
    <w:p w14:paraId="0D8C1B7E" w14:textId="25014696" w:rsidR="00656225" w:rsidRPr="002A36F0" w:rsidRDefault="00656225" w:rsidP="00656225">
      <w:pPr>
        <w:pStyle w:val="BodyText"/>
        <w:rPr>
          <w:rFonts w:ascii="Arial" w:eastAsiaTheme="minorHAnsi" w:hAnsi="Arial" w:cs="Arial"/>
          <w:color w:val="auto"/>
          <w:sz w:val="22"/>
          <w:szCs w:val="22"/>
        </w:rPr>
      </w:pPr>
      <w:r w:rsidRPr="002A36F0">
        <w:rPr>
          <w:rFonts w:ascii="Arial" w:hAnsi="Arial" w:cs="Arial"/>
          <w:color w:val="auto"/>
          <w:sz w:val="22"/>
          <w:szCs w:val="22"/>
          <w:shd w:val="clear" w:color="auto" w:fill="FFFFFF"/>
        </w:rPr>
        <w:t>A reminder to all customers when lodging documents with L</w:t>
      </w:r>
      <w:r w:rsidR="005318DE">
        <w:rPr>
          <w:rFonts w:ascii="Arial" w:hAnsi="Arial" w:cs="Arial"/>
          <w:color w:val="auto"/>
          <w:sz w:val="22"/>
          <w:szCs w:val="22"/>
          <w:shd w:val="clear" w:color="auto" w:fill="FFFFFF"/>
        </w:rPr>
        <w:t xml:space="preserve">and </w:t>
      </w:r>
      <w:r w:rsidRPr="002A36F0">
        <w:rPr>
          <w:rFonts w:ascii="Arial" w:hAnsi="Arial" w:cs="Arial"/>
          <w:color w:val="auto"/>
          <w:sz w:val="22"/>
          <w:szCs w:val="22"/>
          <w:shd w:val="clear" w:color="auto" w:fill="FFFFFF"/>
        </w:rPr>
        <w:t>U</w:t>
      </w:r>
      <w:r w:rsidR="005318DE">
        <w:rPr>
          <w:rFonts w:ascii="Arial" w:hAnsi="Arial" w:cs="Arial"/>
          <w:color w:val="auto"/>
          <w:sz w:val="22"/>
          <w:szCs w:val="22"/>
          <w:shd w:val="clear" w:color="auto" w:fill="FFFFFF"/>
        </w:rPr>
        <w:t xml:space="preserve">se </w:t>
      </w:r>
      <w:r w:rsidRPr="002A36F0">
        <w:rPr>
          <w:rFonts w:ascii="Arial" w:hAnsi="Arial" w:cs="Arial"/>
          <w:color w:val="auto"/>
          <w:sz w:val="22"/>
          <w:szCs w:val="22"/>
          <w:shd w:val="clear" w:color="auto" w:fill="FFFFFF"/>
        </w:rPr>
        <w:t>V</w:t>
      </w:r>
      <w:r w:rsidR="005318DE">
        <w:rPr>
          <w:rFonts w:ascii="Arial" w:hAnsi="Arial" w:cs="Arial"/>
          <w:color w:val="auto"/>
          <w:sz w:val="22"/>
          <w:szCs w:val="22"/>
          <w:shd w:val="clear" w:color="auto" w:fill="FFFFFF"/>
        </w:rPr>
        <w:t>ictoria (LUV)</w:t>
      </w:r>
      <w:r w:rsidRPr="002A36F0">
        <w:rPr>
          <w:rFonts w:ascii="Arial" w:hAnsi="Arial" w:cs="Arial"/>
          <w:color w:val="auto"/>
          <w:sz w:val="22"/>
          <w:szCs w:val="22"/>
          <w:shd w:val="clear" w:color="auto" w:fill="FFFFFF"/>
        </w:rPr>
        <w:t xml:space="preserve"> that incoming proprietor company names must use the abbreviated form, </w:t>
      </w:r>
      <w:r w:rsidRPr="002A36F0">
        <w:rPr>
          <w:rFonts w:ascii="Arial" w:eastAsiaTheme="minorHAnsi" w:hAnsi="Arial" w:cs="Arial"/>
          <w:color w:val="auto"/>
          <w:sz w:val="22"/>
          <w:szCs w:val="22"/>
        </w:rPr>
        <w:t>‘Pty’ and ‘Ltd’.</w:t>
      </w:r>
    </w:p>
    <w:p w14:paraId="53077508" w14:textId="63F466F7" w:rsidR="00656225" w:rsidRPr="002A36F0" w:rsidRDefault="00656225" w:rsidP="00656225">
      <w:pPr>
        <w:autoSpaceDE w:val="0"/>
        <w:autoSpaceDN w:val="0"/>
        <w:adjustRightInd w:val="0"/>
        <w:spacing w:line="240" w:lineRule="auto"/>
        <w:rPr>
          <w:rFonts w:ascii="Arial" w:eastAsiaTheme="minorHAnsi" w:hAnsi="Arial"/>
          <w:color w:val="auto"/>
          <w:sz w:val="22"/>
          <w:szCs w:val="22"/>
          <w:lang w:eastAsia="en-US"/>
        </w:rPr>
      </w:pPr>
      <w:r w:rsidRPr="002A36F0">
        <w:rPr>
          <w:rFonts w:ascii="Arial" w:eastAsiaTheme="minorHAnsi" w:hAnsi="Arial"/>
          <w:color w:val="auto"/>
          <w:sz w:val="22"/>
          <w:szCs w:val="22"/>
          <w:lang w:eastAsia="en-US"/>
        </w:rPr>
        <w:t xml:space="preserve">The </w:t>
      </w:r>
      <w:r w:rsidRPr="002A36F0">
        <w:rPr>
          <w:rFonts w:ascii="Arial" w:eastAsiaTheme="minorHAnsi" w:hAnsi="Arial"/>
          <w:i/>
          <w:iCs/>
          <w:color w:val="auto"/>
          <w:sz w:val="22"/>
          <w:szCs w:val="22"/>
          <w:lang w:eastAsia="en-US"/>
        </w:rPr>
        <w:t xml:space="preserve">Corporations Act 2001 </w:t>
      </w:r>
      <w:r w:rsidRPr="002A36F0">
        <w:rPr>
          <w:rFonts w:ascii="Arial" w:eastAsiaTheme="minorHAnsi" w:hAnsi="Arial"/>
          <w:color w:val="auto"/>
          <w:sz w:val="22"/>
          <w:szCs w:val="22"/>
          <w:lang w:eastAsia="en-US"/>
        </w:rPr>
        <w:t xml:space="preserve">permits the abbreviations ‘Pty’ and ‘Ltd’ to be used instead of the words ‘Proprietary’ and ‘Limited’ respectively in any document. </w:t>
      </w:r>
      <w:r w:rsidR="000F39E7">
        <w:rPr>
          <w:rFonts w:ascii="Arial" w:eastAsiaTheme="minorHAnsi" w:hAnsi="Arial"/>
          <w:color w:val="auto"/>
          <w:sz w:val="22"/>
          <w:szCs w:val="22"/>
          <w:lang w:eastAsia="en-US"/>
        </w:rPr>
        <w:t xml:space="preserve"> </w:t>
      </w:r>
      <w:r w:rsidRPr="002A36F0">
        <w:rPr>
          <w:rFonts w:ascii="Arial" w:eastAsiaTheme="minorHAnsi" w:hAnsi="Arial"/>
          <w:color w:val="auto"/>
          <w:sz w:val="22"/>
          <w:szCs w:val="22"/>
          <w:lang w:eastAsia="en-US"/>
        </w:rPr>
        <w:t xml:space="preserve">‘Ltd’ and ‘Pty Ltd’ are legally acceptable abbreviations and their use is an accurate reflection of a corporation’s name in any document. </w:t>
      </w:r>
    </w:p>
    <w:p w14:paraId="60219FF4" w14:textId="77777777" w:rsidR="00656225" w:rsidRPr="002A36F0" w:rsidRDefault="00656225" w:rsidP="00656225">
      <w:pPr>
        <w:autoSpaceDE w:val="0"/>
        <w:autoSpaceDN w:val="0"/>
        <w:adjustRightInd w:val="0"/>
        <w:spacing w:line="240" w:lineRule="auto"/>
        <w:rPr>
          <w:rFonts w:ascii="Arial" w:eastAsiaTheme="minorHAnsi" w:hAnsi="Arial"/>
          <w:color w:val="auto"/>
          <w:sz w:val="22"/>
          <w:szCs w:val="22"/>
          <w:lang w:eastAsia="en-US"/>
        </w:rPr>
      </w:pPr>
    </w:p>
    <w:p w14:paraId="05022AA3" w14:textId="33D657CC" w:rsidR="00656225" w:rsidRPr="002A36F0" w:rsidRDefault="005318DE" w:rsidP="00656225">
      <w:pPr>
        <w:autoSpaceDE w:val="0"/>
        <w:autoSpaceDN w:val="0"/>
        <w:adjustRightInd w:val="0"/>
        <w:spacing w:line="240" w:lineRule="auto"/>
        <w:rPr>
          <w:rFonts w:ascii="Arial" w:eastAsiaTheme="minorHAnsi" w:hAnsi="Arial"/>
          <w:color w:val="auto"/>
          <w:sz w:val="22"/>
          <w:szCs w:val="22"/>
          <w:lang w:eastAsia="en-US"/>
        </w:rPr>
      </w:pPr>
      <w:r>
        <w:rPr>
          <w:rFonts w:ascii="Arial" w:eastAsiaTheme="minorHAnsi" w:hAnsi="Arial"/>
          <w:color w:val="auto"/>
          <w:sz w:val="22"/>
          <w:szCs w:val="22"/>
          <w:lang w:eastAsia="en-US"/>
        </w:rPr>
        <w:t>LUV</w:t>
      </w:r>
      <w:r w:rsidR="00656225" w:rsidRPr="002A36F0">
        <w:rPr>
          <w:rFonts w:ascii="Arial" w:eastAsiaTheme="minorHAnsi" w:hAnsi="Arial"/>
          <w:color w:val="auto"/>
          <w:sz w:val="22"/>
          <w:szCs w:val="22"/>
          <w:lang w:eastAsia="en-US"/>
        </w:rPr>
        <w:t xml:space="preserve">, in processing any </w:t>
      </w:r>
      <w:r w:rsidR="002D48A7">
        <w:rPr>
          <w:rFonts w:ascii="Arial" w:eastAsiaTheme="minorHAnsi" w:hAnsi="Arial"/>
          <w:color w:val="auto"/>
          <w:sz w:val="22"/>
          <w:szCs w:val="22"/>
          <w:lang w:eastAsia="en-US"/>
        </w:rPr>
        <w:t>instrument</w:t>
      </w:r>
      <w:r w:rsidR="00656225" w:rsidRPr="002A36F0">
        <w:rPr>
          <w:rFonts w:ascii="Arial" w:eastAsiaTheme="minorHAnsi" w:hAnsi="Arial"/>
          <w:color w:val="auto"/>
          <w:sz w:val="22"/>
          <w:szCs w:val="22"/>
          <w:lang w:eastAsia="en-US"/>
        </w:rPr>
        <w:t xml:space="preserve"> in which a company’s name is to be recorded, now uses the abbreviations ‘Pty’ and ‘Ltd’ whenever it is necessary to capture the words ‘Proprietary’ and ‘Limited’ respectively as part of a company name. </w:t>
      </w:r>
    </w:p>
    <w:p w14:paraId="3F2A5E45" w14:textId="77777777" w:rsidR="00656225" w:rsidRPr="002A36F0" w:rsidRDefault="00656225" w:rsidP="00656225">
      <w:pPr>
        <w:autoSpaceDE w:val="0"/>
        <w:autoSpaceDN w:val="0"/>
        <w:adjustRightInd w:val="0"/>
        <w:spacing w:line="240" w:lineRule="auto"/>
        <w:rPr>
          <w:rFonts w:ascii="Arial" w:eastAsiaTheme="minorHAnsi" w:hAnsi="Arial"/>
          <w:color w:val="auto"/>
          <w:sz w:val="22"/>
          <w:szCs w:val="22"/>
          <w:lang w:eastAsia="en-US"/>
        </w:rPr>
      </w:pPr>
    </w:p>
    <w:p w14:paraId="576F599A" w14:textId="77777777" w:rsidR="00656225" w:rsidRPr="002A36F0" w:rsidRDefault="00656225" w:rsidP="00656225">
      <w:pPr>
        <w:autoSpaceDE w:val="0"/>
        <w:autoSpaceDN w:val="0"/>
        <w:adjustRightInd w:val="0"/>
        <w:spacing w:line="240" w:lineRule="auto"/>
        <w:rPr>
          <w:rFonts w:ascii="Arial" w:eastAsiaTheme="minorHAnsi" w:hAnsi="Arial"/>
          <w:color w:val="auto"/>
          <w:sz w:val="22"/>
          <w:szCs w:val="22"/>
          <w:lang w:eastAsia="en-US"/>
        </w:rPr>
      </w:pPr>
      <w:r w:rsidRPr="002A36F0">
        <w:rPr>
          <w:rFonts w:ascii="Arial" w:eastAsiaTheme="minorHAnsi" w:hAnsi="Arial"/>
          <w:color w:val="auto"/>
          <w:sz w:val="22"/>
          <w:szCs w:val="22"/>
          <w:lang w:eastAsia="en-US"/>
        </w:rPr>
        <w:t xml:space="preserve">In addition, all existing recordings of company names in the Register are being amended to show the abbreviations ‘Pty’ and ‘Ltd’ (as appropriate). </w:t>
      </w:r>
    </w:p>
    <w:p w14:paraId="65CD4F4C" w14:textId="77777777" w:rsidR="00656225" w:rsidRPr="002A36F0" w:rsidRDefault="00656225" w:rsidP="00656225">
      <w:pPr>
        <w:autoSpaceDE w:val="0"/>
        <w:autoSpaceDN w:val="0"/>
        <w:adjustRightInd w:val="0"/>
        <w:spacing w:line="240" w:lineRule="auto"/>
        <w:rPr>
          <w:rFonts w:ascii="Arial" w:eastAsiaTheme="minorHAnsi" w:hAnsi="Arial"/>
          <w:color w:val="auto"/>
          <w:sz w:val="22"/>
          <w:szCs w:val="22"/>
          <w:lang w:eastAsia="en-US"/>
        </w:rPr>
      </w:pPr>
    </w:p>
    <w:p w14:paraId="1067F519" w14:textId="40F30526" w:rsidR="00656225" w:rsidRPr="002A36F0" w:rsidRDefault="00656225" w:rsidP="00656225">
      <w:pPr>
        <w:autoSpaceDE w:val="0"/>
        <w:autoSpaceDN w:val="0"/>
        <w:adjustRightInd w:val="0"/>
        <w:spacing w:line="240" w:lineRule="auto"/>
        <w:rPr>
          <w:rFonts w:ascii="Arial" w:eastAsiaTheme="minorHAnsi" w:hAnsi="Arial"/>
          <w:color w:val="auto"/>
          <w:sz w:val="22"/>
          <w:szCs w:val="22"/>
          <w:lang w:eastAsia="en-US"/>
        </w:rPr>
      </w:pPr>
      <w:r w:rsidRPr="002A36F0">
        <w:rPr>
          <w:rFonts w:ascii="Arial" w:eastAsiaTheme="minorHAnsi" w:hAnsi="Arial"/>
          <w:color w:val="auto"/>
          <w:sz w:val="22"/>
          <w:szCs w:val="22"/>
          <w:lang w:eastAsia="en-US"/>
        </w:rPr>
        <w:t>When transacting through an ELN it is a subscriber’s responsibility to use the abbreviations ‘Pty’ and ‘Ltd’ in the workspace and when completing State Revenue Office Duties Online documents</w:t>
      </w:r>
      <w:r w:rsidR="000B4D3F">
        <w:rPr>
          <w:rFonts w:ascii="Arial" w:eastAsiaTheme="minorHAnsi" w:hAnsi="Arial"/>
          <w:color w:val="auto"/>
          <w:sz w:val="22"/>
          <w:szCs w:val="22"/>
          <w:lang w:eastAsia="en-US"/>
        </w:rPr>
        <w:t xml:space="preserve"> (Digital Duties Form)</w:t>
      </w:r>
      <w:r w:rsidRPr="002A36F0">
        <w:rPr>
          <w:rFonts w:ascii="Arial" w:eastAsiaTheme="minorHAnsi" w:hAnsi="Arial"/>
          <w:color w:val="auto"/>
          <w:sz w:val="22"/>
          <w:szCs w:val="22"/>
          <w:lang w:eastAsia="en-US"/>
        </w:rPr>
        <w:t xml:space="preserve">. Failure to do so may prevent the successful lodgment of your </w:t>
      </w:r>
      <w:r w:rsidR="002D48A7">
        <w:rPr>
          <w:rFonts w:ascii="Arial" w:eastAsiaTheme="minorHAnsi" w:hAnsi="Arial"/>
          <w:color w:val="auto"/>
          <w:sz w:val="22"/>
          <w:szCs w:val="22"/>
          <w:lang w:eastAsia="en-US"/>
        </w:rPr>
        <w:t>instrument</w:t>
      </w:r>
      <w:r w:rsidRPr="002A36F0">
        <w:rPr>
          <w:rFonts w:ascii="Arial" w:eastAsiaTheme="minorHAnsi" w:hAnsi="Arial"/>
          <w:color w:val="auto"/>
          <w:sz w:val="22"/>
          <w:szCs w:val="22"/>
          <w:lang w:eastAsia="en-US"/>
        </w:rPr>
        <w:t xml:space="preserve">.  </w:t>
      </w:r>
    </w:p>
    <w:p w14:paraId="7F32756D" w14:textId="77777777" w:rsidR="00656225" w:rsidRPr="002A36F0" w:rsidRDefault="00656225" w:rsidP="00656225">
      <w:pPr>
        <w:autoSpaceDE w:val="0"/>
        <w:autoSpaceDN w:val="0"/>
        <w:adjustRightInd w:val="0"/>
        <w:spacing w:line="240" w:lineRule="auto"/>
        <w:rPr>
          <w:rFonts w:ascii="Arial" w:eastAsiaTheme="minorHAnsi" w:hAnsi="Arial"/>
          <w:color w:val="auto"/>
          <w:sz w:val="22"/>
          <w:szCs w:val="22"/>
          <w:lang w:eastAsia="en-US"/>
        </w:rPr>
      </w:pPr>
    </w:p>
    <w:p w14:paraId="3B53327E" w14:textId="089BECC8" w:rsidR="00656225" w:rsidRDefault="00656225" w:rsidP="004A1371">
      <w:pPr>
        <w:autoSpaceDE w:val="0"/>
        <w:autoSpaceDN w:val="0"/>
        <w:adjustRightInd w:val="0"/>
        <w:spacing w:line="240" w:lineRule="auto"/>
      </w:pPr>
      <w:r w:rsidRPr="002A36F0">
        <w:rPr>
          <w:rFonts w:ascii="Arial" w:eastAsiaTheme="minorHAnsi" w:hAnsi="Arial"/>
          <w:color w:val="auto"/>
          <w:sz w:val="22"/>
          <w:szCs w:val="22"/>
          <w:lang w:eastAsia="en-US"/>
        </w:rPr>
        <w:t xml:space="preserve">Similarly, the </w:t>
      </w:r>
      <w:r w:rsidRPr="002A36F0">
        <w:rPr>
          <w:rFonts w:ascii="Arial" w:eastAsiaTheme="minorHAnsi" w:hAnsi="Arial"/>
          <w:i/>
          <w:iCs/>
          <w:color w:val="auto"/>
          <w:sz w:val="22"/>
          <w:szCs w:val="22"/>
          <w:lang w:eastAsia="en-US"/>
        </w:rPr>
        <w:t>Associations Incorporation</w:t>
      </w:r>
      <w:r w:rsidRPr="002A36F0">
        <w:rPr>
          <w:rFonts w:ascii="Arial" w:eastAsiaTheme="minorHAnsi" w:hAnsi="Arial"/>
          <w:color w:val="auto"/>
          <w:sz w:val="22"/>
          <w:szCs w:val="22"/>
          <w:lang w:eastAsia="en-US"/>
        </w:rPr>
        <w:t xml:space="preserve"> </w:t>
      </w:r>
      <w:r w:rsidRPr="002A36F0">
        <w:rPr>
          <w:rFonts w:ascii="Arial" w:eastAsiaTheme="minorHAnsi" w:hAnsi="Arial"/>
          <w:i/>
          <w:iCs/>
          <w:color w:val="auto"/>
          <w:sz w:val="22"/>
          <w:szCs w:val="22"/>
          <w:lang w:eastAsia="en-US"/>
        </w:rPr>
        <w:t xml:space="preserve">Reform Act 2012 </w:t>
      </w:r>
      <w:r w:rsidRPr="002A36F0">
        <w:rPr>
          <w:rFonts w:ascii="Arial" w:eastAsiaTheme="minorHAnsi" w:hAnsi="Arial"/>
          <w:color w:val="auto"/>
          <w:sz w:val="22"/>
          <w:szCs w:val="22"/>
          <w:lang w:eastAsia="en-US"/>
        </w:rPr>
        <w:t xml:space="preserve">permits the abbreviation ‘Inc’ to be used instead of the word ‘Incorporated’ in documents. </w:t>
      </w:r>
      <w:r w:rsidR="000F39E7">
        <w:rPr>
          <w:rFonts w:ascii="Arial" w:eastAsiaTheme="minorHAnsi" w:hAnsi="Arial"/>
          <w:color w:val="auto"/>
          <w:sz w:val="22"/>
          <w:szCs w:val="22"/>
          <w:lang w:eastAsia="en-US"/>
        </w:rPr>
        <w:t xml:space="preserve"> </w:t>
      </w:r>
      <w:r w:rsidRPr="002A36F0">
        <w:rPr>
          <w:rFonts w:ascii="Arial" w:eastAsiaTheme="minorHAnsi" w:hAnsi="Arial"/>
          <w:color w:val="auto"/>
          <w:sz w:val="22"/>
          <w:szCs w:val="22"/>
          <w:lang w:eastAsia="en-US"/>
        </w:rPr>
        <w:t>All existing recordings in the Register are being amended to show the abbreviation ‘Inc’ and all future recordings will use the abbreviation.</w:t>
      </w:r>
    </w:p>
    <w:p w14:paraId="37CA5E70" w14:textId="77777777" w:rsidR="00656225" w:rsidRDefault="00656225" w:rsidP="00656225">
      <w:pPr>
        <w:pStyle w:val="Heading1"/>
        <w:numPr>
          <w:ilvl w:val="0"/>
          <w:numId w:val="0"/>
        </w:numPr>
        <w:spacing w:after="240"/>
      </w:pPr>
      <w:r>
        <w:t>Subscribe</w:t>
      </w:r>
    </w:p>
    <w:p w14:paraId="6995C993" w14:textId="77777777" w:rsidR="00656225" w:rsidRPr="00957F04" w:rsidRDefault="00656225" w:rsidP="00656225">
      <w:pPr>
        <w:pStyle w:val="BodyText"/>
        <w:rPr>
          <w:rFonts w:eastAsia="Calibri"/>
          <w:color w:val="auto"/>
        </w:rPr>
      </w:pPr>
      <w:r w:rsidRPr="00957F04">
        <w:rPr>
          <w:rFonts w:eastAsia="Calibri"/>
          <w:color w:val="auto"/>
        </w:rPr>
        <w:t xml:space="preserve">To receive notification when a </w:t>
      </w:r>
      <w:r w:rsidRPr="00957F04">
        <w:rPr>
          <w:rFonts w:eastAsia="Calibri"/>
          <w:i/>
          <w:color w:val="auto"/>
        </w:rPr>
        <w:t>Customer Information Bulletin</w:t>
      </w:r>
      <w:r w:rsidRPr="00957F04">
        <w:rPr>
          <w:rFonts w:eastAsia="Calibri"/>
          <w:color w:val="auto"/>
        </w:rPr>
        <w:t xml:space="preserve"> is published, please send an email to lv.cib@delwp.vic.gov.au with SUBSCRIBE in the subject line – include your name and email address in the body of the email.   </w:t>
      </w:r>
    </w:p>
    <w:p w14:paraId="3262F2E8" w14:textId="77777777" w:rsidR="00656225" w:rsidRPr="00FF4809" w:rsidRDefault="00656225" w:rsidP="00656225">
      <w:pPr>
        <w:pStyle w:val="Heading1"/>
        <w:numPr>
          <w:ilvl w:val="0"/>
          <w:numId w:val="0"/>
        </w:numPr>
        <w:spacing w:after="240"/>
      </w:pPr>
      <w:r w:rsidRPr="00FF4809">
        <w:t>Contact us</w:t>
      </w:r>
    </w:p>
    <w:p w14:paraId="56F4BC7A" w14:textId="190D7458" w:rsidR="00656225" w:rsidRPr="002A36F0" w:rsidRDefault="00656225" w:rsidP="00656225">
      <w:pPr>
        <w:pStyle w:val="BodyText"/>
        <w:rPr>
          <w:rFonts w:ascii="Arial" w:hAnsi="Arial" w:cs="Arial"/>
          <w:sz w:val="22"/>
          <w:szCs w:val="22"/>
        </w:rPr>
      </w:pPr>
      <w:r w:rsidRPr="002D2E1A">
        <w:rPr>
          <w:rFonts w:ascii="Arial" w:eastAsiaTheme="minorHAnsi" w:hAnsi="Arial"/>
          <w:color w:val="000000"/>
          <w:szCs w:val="22"/>
        </w:rPr>
        <w:t xml:space="preserve">For </w:t>
      </w:r>
      <w:hyperlink r:id="rId24" w:history="1">
        <w:r w:rsidRPr="002D2E1A">
          <w:rPr>
            <w:rStyle w:val="Hyperlink"/>
            <w:rFonts w:ascii="Arial" w:eastAsiaTheme="minorHAnsi" w:hAnsi="Arial"/>
            <w:color w:val="000000"/>
            <w:szCs w:val="22"/>
          </w:rPr>
          <w:t>location and contact details</w:t>
        </w:r>
      </w:hyperlink>
      <w:r w:rsidRPr="002D2E1A">
        <w:rPr>
          <w:rFonts w:ascii="Arial" w:eastAsiaTheme="minorHAnsi" w:hAnsi="Arial"/>
          <w:color w:val="000000"/>
          <w:szCs w:val="22"/>
        </w:rPr>
        <w:t xml:space="preserve">, go to </w:t>
      </w:r>
      <w:hyperlink r:id="rId25" w:history="1">
        <w:r w:rsidRPr="002D2E1A">
          <w:rPr>
            <w:rStyle w:val="Hyperlink"/>
            <w:rFonts w:ascii="Arial" w:eastAsiaTheme="minorHAnsi" w:hAnsi="Arial"/>
            <w:color w:val="000000"/>
            <w:szCs w:val="22"/>
          </w:rPr>
          <w:t>www.propertyandlandtitles.vic.gov.au/contact-us</w:t>
        </w:r>
      </w:hyperlink>
    </w:p>
    <w:p w14:paraId="105C7000" w14:textId="25FF5838" w:rsidR="00254A01" w:rsidRPr="00050253" w:rsidRDefault="00254A01" w:rsidP="00254A01">
      <w:pPr>
        <w:pStyle w:val="BodyText"/>
      </w:pPr>
    </w:p>
    <w:tbl>
      <w:tblPr>
        <w:tblpPr w:leftFromText="181" w:rightFromText="181" w:topFromText="113" w:vertAnchor="page" w:horzAnchor="margin" w:tblpY="1063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81F0A" w14:paraId="1BB9B7EF" w14:textId="77777777" w:rsidTr="004A1371">
        <w:trPr>
          <w:trHeight w:val="2608"/>
        </w:trPr>
        <w:tc>
          <w:tcPr>
            <w:tcW w:w="5216" w:type="dxa"/>
            <w:shd w:val="clear" w:color="auto" w:fill="auto"/>
          </w:tcPr>
          <w:p w14:paraId="1EFCA5D8" w14:textId="046AFBF2" w:rsidR="009C0F80" w:rsidRDefault="009C0F80" w:rsidP="009C0F80">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F14969">
              <w:rPr>
                <w:noProof/>
              </w:rPr>
              <w:t>2020</w:t>
            </w:r>
            <w:r>
              <w:fldChar w:fldCharType="end"/>
            </w:r>
          </w:p>
          <w:p w14:paraId="5D73166D" w14:textId="77777777" w:rsidR="009C0F80" w:rsidRDefault="009C0F80" w:rsidP="009C0F80">
            <w:pPr>
              <w:pStyle w:val="SmallBodyText"/>
            </w:pPr>
            <w:r>
              <w:rPr>
                <w:noProof/>
              </w:rPr>
              <w:drawing>
                <wp:anchor distT="0" distB="0" distL="114300" distR="36195" simplePos="0" relativeHeight="251661312" behindDoc="0" locked="1" layoutInCell="1" allowOverlap="1" wp14:anchorId="22B0CF0C" wp14:editId="7403D034">
                  <wp:simplePos x="0" y="0"/>
                  <wp:positionH relativeFrom="column">
                    <wp:posOffset>0</wp:posOffset>
                  </wp:positionH>
                  <wp:positionV relativeFrom="paragraph">
                    <wp:posOffset>28575</wp:posOffset>
                  </wp:positionV>
                  <wp:extent cx="658800" cy="237600"/>
                  <wp:effectExtent l="0" t="0" r="8255" b="0"/>
                  <wp:wrapSquare wrapText="bothSides"/>
                  <wp:docPr id="14" name="Picture 1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3302DF7" w14:textId="77777777" w:rsidR="009C0F80" w:rsidRPr="008F559C" w:rsidRDefault="009C0F80" w:rsidP="009C0F80">
            <w:pPr>
              <w:pStyle w:val="SmallHeading"/>
            </w:pPr>
            <w:r w:rsidRPr="00C255C2">
              <w:t>Disclaimer</w:t>
            </w:r>
          </w:p>
          <w:p w14:paraId="556D0A22" w14:textId="0A601275" w:rsidR="00081F0A" w:rsidRDefault="009C0F80" w:rsidP="009C0F80">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A8A0794" w14:textId="77777777" w:rsidR="009C0F80" w:rsidRPr="00E97294" w:rsidRDefault="009C0F80" w:rsidP="009C0F80">
            <w:pPr>
              <w:pStyle w:val="xAccessibilityHeading"/>
            </w:pPr>
            <w:r w:rsidRPr="00E97294">
              <w:t>Accessibility</w:t>
            </w:r>
          </w:p>
          <w:p w14:paraId="6C51760E" w14:textId="77777777" w:rsidR="009C0F80" w:rsidRDefault="009C0F80" w:rsidP="009C0F80">
            <w:pPr>
              <w:pStyle w:val="xAccessibilityText"/>
            </w:pPr>
            <w:r>
              <w:t>If you would like to receive this publication in an alternative format, please telephone the DELWP Customer Service Centre on 136186, email </w:t>
            </w:r>
            <w:hyperlink r:id="rId27" w:history="1">
              <w:r w:rsidRPr="003C5C56">
                <w:t>customer.service@delwp.vic.gov.au</w:t>
              </w:r>
            </w:hyperlink>
            <w:r>
              <w:t xml:space="preserve">, or via the National Relay Service on 133 677 </w:t>
            </w:r>
            <w:hyperlink r:id="rId28" w:history="1">
              <w:r w:rsidRPr="00AE3298">
                <w:t>www.relayservice.com.au</w:t>
              </w:r>
            </w:hyperlink>
            <w:r>
              <w:t xml:space="preserve">. This document is also available on the internet at </w:t>
            </w:r>
            <w:hyperlink r:id="rId29" w:history="1">
              <w:r w:rsidRPr="00AE3298">
                <w:t>www.delwp.vic.gov.au</w:t>
              </w:r>
            </w:hyperlink>
            <w:r>
              <w:t xml:space="preserve">. </w:t>
            </w:r>
          </w:p>
          <w:p w14:paraId="44AC2950" w14:textId="77777777" w:rsidR="00081F0A" w:rsidRDefault="00081F0A" w:rsidP="00081F0A">
            <w:pPr>
              <w:pStyle w:val="SmallBodyText"/>
            </w:pPr>
          </w:p>
        </w:tc>
      </w:tr>
    </w:tbl>
    <w:p w14:paraId="556275A6" w14:textId="77777777" w:rsidR="00254A01" w:rsidRDefault="00254A01" w:rsidP="00254A01">
      <w:pPr>
        <w:pStyle w:val="BodyText"/>
      </w:pPr>
    </w:p>
    <w:p w14:paraId="14615CEF" w14:textId="77777777" w:rsidR="006E1C8D" w:rsidRDefault="006E1C8D" w:rsidP="005D0B1C">
      <w:pPr>
        <w:pStyle w:val="BodyText"/>
      </w:pPr>
    </w:p>
    <w:sectPr w:rsidR="006E1C8D" w:rsidSect="0065622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35B0E" w14:textId="77777777" w:rsidR="007115B9" w:rsidRDefault="007115B9">
      <w:r>
        <w:separator/>
      </w:r>
    </w:p>
    <w:p w14:paraId="2188ED3F" w14:textId="77777777" w:rsidR="007115B9" w:rsidRDefault="007115B9"/>
    <w:p w14:paraId="1D025677" w14:textId="77777777" w:rsidR="007115B9" w:rsidRDefault="007115B9"/>
  </w:endnote>
  <w:endnote w:type="continuationSeparator" w:id="0">
    <w:p w14:paraId="2B6BF544" w14:textId="77777777" w:rsidR="007115B9" w:rsidRDefault="007115B9">
      <w:r>
        <w:continuationSeparator/>
      </w:r>
    </w:p>
    <w:p w14:paraId="67AD0A57" w14:textId="77777777" w:rsidR="007115B9" w:rsidRDefault="007115B9"/>
    <w:p w14:paraId="7472A73C" w14:textId="77777777" w:rsidR="007115B9" w:rsidRDefault="00711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64064"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5C24EE58" wp14:editId="0FD8855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4CBC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4EE58"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1E04CBC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C0B62"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0080B04E" wp14:editId="63F8554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FD0E"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0B04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3719FD0E"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6AC1C"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0820353A" wp14:editId="56A6A339">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51D0A18A" wp14:editId="4BD2112F">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54EA210C" wp14:editId="3502B58F">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81573"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A210C"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5C481573"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43FBED84" wp14:editId="32D3AE21">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FE537" w14:textId="77777777" w:rsidR="007115B9" w:rsidRPr="008F5280" w:rsidRDefault="007115B9" w:rsidP="008F5280">
      <w:pPr>
        <w:pStyle w:val="FootnoteSeparator"/>
      </w:pPr>
    </w:p>
    <w:p w14:paraId="02A93890" w14:textId="77777777" w:rsidR="007115B9" w:rsidRDefault="007115B9"/>
  </w:footnote>
  <w:footnote w:type="continuationSeparator" w:id="0">
    <w:p w14:paraId="5C80017C" w14:textId="77777777" w:rsidR="007115B9" w:rsidRDefault="007115B9" w:rsidP="008F5280">
      <w:pPr>
        <w:pStyle w:val="FootnoteSeparator"/>
      </w:pPr>
    </w:p>
    <w:p w14:paraId="35C5D2B5" w14:textId="77777777" w:rsidR="007115B9" w:rsidRDefault="007115B9"/>
    <w:p w14:paraId="0131295F" w14:textId="77777777" w:rsidR="007115B9" w:rsidRDefault="007115B9"/>
  </w:footnote>
  <w:footnote w:type="continuationNotice" w:id="1">
    <w:p w14:paraId="468D117D" w14:textId="77777777" w:rsidR="007115B9" w:rsidRDefault="007115B9" w:rsidP="00D55628"/>
    <w:p w14:paraId="2CE4B211" w14:textId="77777777" w:rsidR="007115B9" w:rsidRDefault="007115B9"/>
    <w:p w14:paraId="5C8FFEDB" w14:textId="77777777" w:rsidR="007115B9" w:rsidRDefault="00711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CD8F539" w14:textId="77777777" w:rsidTr="00B40C2E">
      <w:trPr>
        <w:trHeight w:hRule="exact" w:val="1418"/>
      </w:trPr>
      <w:tc>
        <w:tcPr>
          <w:tcW w:w="7761" w:type="dxa"/>
          <w:vAlign w:val="center"/>
        </w:tcPr>
        <w:p w14:paraId="0F37DAFE" w14:textId="26F2C7DC"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F14969">
            <w:rPr>
              <w:noProof/>
            </w:rPr>
            <w:t>May 2020</w:t>
          </w:r>
          <w:r>
            <w:rPr>
              <w:noProof/>
            </w:rPr>
            <w:fldChar w:fldCharType="end"/>
          </w:r>
        </w:p>
      </w:tc>
    </w:tr>
  </w:tbl>
  <w:p w14:paraId="5A447953"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4A52F93C" wp14:editId="6C30629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78E25"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174314FF" wp14:editId="038941E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1B602"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43B1BE11" wp14:editId="14D55DC8">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D67E66"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0FEF5B78"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7B0F3B0" w14:textId="77777777" w:rsidTr="00B40C2E">
      <w:trPr>
        <w:trHeight w:hRule="exact" w:val="1418"/>
      </w:trPr>
      <w:tc>
        <w:tcPr>
          <w:tcW w:w="7761" w:type="dxa"/>
          <w:vAlign w:val="center"/>
        </w:tcPr>
        <w:p w14:paraId="2035B6C2" w14:textId="10A0AA8F"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F14969">
            <w:rPr>
              <w:noProof/>
            </w:rPr>
            <w:t>May 2020</w:t>
          </w:r>
          <w:r>
            <w:rPr>
              <w:noProof/>
            </w:rPr>
            <w:fldChar w:fldCharType="end"/>
          </w:r>
        </w:p>
      </w:tc>
    </w:tr>
  </w:tbl>
  <w:p w14:paraId="6A817E27"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587B7FB2" wp14:editId="14DEB8CB">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618D9"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3F63F127" wp14:editId="782741DA">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8EA7F"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15163C7D" wp14:editId="111B374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85C387"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4D1887F"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D2A1"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48EDA1A6" wp14:editId="5F5F3C76">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639F6EEE" wp14:editId="766F8829">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2FC775B8" wp14:editId="11FBF22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1E01F"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09869C7D" wp14:editId="0C2E2FB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F441"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62E9642F" wp14:editId="2EB53DB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E6503"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A0D3266" wp14:editId="6753779A">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678D02"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211714D"/>
    <w:multiLevelType w:val="hybridMultilevel"/>
    <w:tmpl w:val="95AC6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1569D6"/>
    <w:multiLevelType w:val="hybridMultilevel"/>
    <w:tmpl w:val="1AB0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A0F8C6B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1A058F4"/>
    <w:multiLevelType w:val="hybridMultilevel"/>
    <w:tmpl w:val="0FE29B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29"/>
  </w:num>
  <w:num w:numId="3">
    <w:abstractNumId w:val="26"/>
  </w:num>
  <w:num w:numId="4">
    <w:abstractNumId w:val="34"/>
  </w:num>
  <w:num w:numId="5">
    <w:abstractNumId w:val="15"/>
  </w:num>
  <w:num w:numId="6">
    <w:abstractNumId w:val="12"/>
  </w:num>
  <w:num w:numId="7">
    <w:abstractNumId w:val="11"/>
  </w:num>
  <w:num w:numId="8">
    <w:abstractNumId w:val="10"/>
  </w:num>
  <w:num w:numId="9">
    <w:abstractNumId w:val="30"/>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1"/>
  </w:num>
  <w:num w:numId="30">
    <w:abstractNumId w:val="32"/>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6"/>
  </w:num>
  <w:num w:numId="44">
    <w:abstractNumId w:val="18"/>
  </w:num>
  <w:num w:numId="4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65622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4FB5"/>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1F0A"/>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4D3F"/>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9E7"/>
    <w:rsid w:val="000F3F79"/>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14"/>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5DC5"/>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51"/>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8A7"/>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5A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C3E"/>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64B"/>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371"/>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8DE"/>
    <w:rsid w:val="005319CA"/>
    <w:rsid w:val="00531A3D"/>
    <w:rsid w:val="00531DE9"/>
    <w:rsid w:val="00531F4B"/>
    <w:rsid w:val="0053272A"/>
    <w:rsid w:val="00532F53"/>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0C1D"/>
    <w:rsid w:val="005414E2"/>
    <w:rsid w:val="0054160D"/>
    <w:rsid w:val="005416A2"/>
    <w:rsid w:val="00541EB7"/>
    <w:rsid w:val="00542945"/>
    <w:rsid w:val="00542AD5"/>
    <w:rsid w:val="00542EDE"/>
    <w:rsid w:val="0054341E"/>
    <w:rsid w:val="0054384C"/>
    <w:rsid w:val="00543945"/>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6E3C"/>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5A0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225"/>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AED"/>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3F7"/>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369"/>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5B9"/>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66"/>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832"/>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584"/>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A2"/>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5D0"/>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620"/>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44E"/>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A7E98"/>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0F80"/>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380"/>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6F9"/>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4F72"/>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40"/>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17F11"/>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7F8"/>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ACF"/>
    <w:rsid w:val="00BC1BF9"/>
    <w:rsid w:val="00BC1F14"/>
    <w:rsid w:val="00BC2134"/>
    <w:rsid w:val="00BC2C8D"/>
    <w:rsid w:val="00BC3F46"/>
    <w:rsid w:val="00BC4020"/>
    <w:rsid w:val="00BC49CD"/>
    <w:rsid w:val="00BC5478"/>
    <w:rsid w:val="00BC54EF"/>
    <w:rsid w:val="00BC5557"/>
    <w:rsid w:val="00BC559A"/>
    <w:rsid w:val="00BC5780"/>
    <w:rsid w:val="00BC57B7"/>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80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B2C"/>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FCB"/>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9DC"/>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467"/>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5B1"/>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FD0"/>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E7E60"/>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496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842"/>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3C88D47E"/>
  <w15:docId w15:val="{CA68B060-3713-4507-81DE-4B9BAE52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5622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
    <w:name w:val="normaltextrun"/>
    <w:basedOn w:val="DefaultParagraphFont"/>
    <w:rsid w:val="00656225"/>
  </w:style>
  <w:style w:type="character" w:styleId="Strong">
    <w:name w:val="Strong"/>
    <w:basedOn w:val="DefaultParagraphFont"/>
    <w:uiPriority w:val="22"/>
    <w:qFormat/>
    <w:rsid w:val="00656225"/>
    <w:rPr>
      <w:b/>
      <w:bCs/>
    </w:rPr>
  </w:style>
  <w:style w:type="character" w:styleId="SubtleEmphasis">
    <w:name w:val="Subtle Emphasis"/>
    <w:basedOn w:val="DefaultParagraphFont"/>
    <w:uiPriority w:val="19"/>
    <w:qFormat/>
    <w:rsid w:val="00656225"/>
    <w:rPr>
      <w:i/>
      <w:iCs/>
      <w:color w:val="696765" w:themeColor="text1" w:themeTint="BF"/>
    </w:rPr>
  </w:style>
  <w:style w:type="character" w:styleId="Emphasis">
    <w:name w:val="Emphasis"/>
    <w:basedOn w:val="DefaultParagraphFont"/>
    <w:uiPriority w:val="20"/>
    <w:qFormat/>
    <w:rsid w:val="00656225"/>
    <w:rPr>
      <w:i/>
      <w:iCs/>
    </w:rPr>
  </w:style>
  <w:style w:type="character" w:styleId="UnresolvedMention">
    <w:name w:val="Unresolved Mention"/>
    <w:basedOn w:val="DefaultParagraphFont"/>
    <w:uiPriority w:val="99"/>
    <w:semiHidden/>
    <w:unhideWhenUsed/>
    <w:rsid w:val="008C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propertyandlandtitles.vic.gov.au/customer-information-bulletins"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mailto:advice.enquiries@victorianlrs.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ropertyandlandtitles.vic.gov.au/forms-guides-and-fees/overview" TargetMode="External"/><Relationship Id="rId25" Type="http://schemas.openxmlformats.org/officeDocument/2006/relationships/hyperlink" Target="http://www.propertyandlandtitles.vic.gov.au/contact-us" TargetMode="External"/><Relationship Id="rId2" Type="http://schemas.openxmlformats.org/officeDocument/2006/relationships/numbering" Target="numbering.xml"/><Relationship Id="rId16" Type="http://schemas.openxmlformats.org/officeDocument/2006/relationships/hyperlink" Target="https://www.propertyandlandtitles.vic.gov.au/__data/assets/pdf_file/0027/64575/Lodging-summary-form.pdf" TargetMode="External"/><Relationship Id="rId20" Type="http://schemas.openxmlformats.org/officeDocument/2006/relationships/hyperlink" Target="https://www.propertyandlandtitles.vic.gov.au/forms-guides-and-fees/title-management" TargetMode="External"/><Relationship Id="rId29"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tpli.vic.gov.au/property-and-land-titles/contact-us" TargetMode="External"/><Relationship Id="rId5" Type="http://schemas.openxmlformats.org/officeDocument/2006/relationships/webSettings" Target="webSettings.xml"/><Relationship Id="rId15" Type="http://schemas.openxmlformats.org/officeDocument/2006/relationships/hyperlink" Target="https://www.victorianlrs.com.au/victorian-land-registry-services-news-updates/" TargetMode="External"/><Relationship Id="rId23" Type="http://schemas.openxmlformats.org/officeDocument/2006/relationships/hyperlink" Target="https://www.spear.land.vic.gov.au/spear/pages/about/what-is-spear/spear-dealing-types.shtml" TargetMode="External"/><Relationship Id="rId28" Type="http://schemas.openxmlformats.org/officeDocument/2006/relationships/hyperlink" Target="http://www.relayservice.com.au" TargetMode="External"/><Relationship Id="rId10" Type="http://schemas.openxmlformats.org/officeDocument/2006/relationships/footer" Target="footer1.xml"/><Relationship Id="rId19" Type="http://schemas.openxmlformats.org/officeDocument/2006/relationships/hyperlink" Target="https://www.spear.land.vic.gov.au/spear/pages/about/what-is-spear/spear-dealing-types.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opertyandlandtitles.vic.gov.au/forms-guides-and-fees/fees" TargetMode="External"/><Relationship Id="rId22" Type="http://schemas.openxmlformats.org/officeDocument/2006/relationships/hyperlink" Target="https://www.spear.land.vic.gov.au/spear/pages/lodging-parties/about-lodging.shtml" TargetMode="External"/><Relationship Id="rId27" Type="http://schemas.openxmlformats.org/officeDocument/2006/relationships/hyperlink" Target="mailto:customer.service@delwp.vic.gov.au"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7A96-197D-4635-B54F-CC11BA40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10631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Ally C Hobbs (DELWP)</cp:lastModifiedBy>
  <cp:revision>2</cp:revision>
  <cp:lastPrinted>2016-09-08T07:20:00Z</cp:lastPrinted>
  <dcterms:created xsi:type="dcterms:W3CDTF">2020-05-28T01:07:00Z</dcterms:created>
  <dcterms:modified xsi:type="dcterms:W3CDTF">2020-05-28T01:07:00Z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