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115118" w:rsidRDefault="00BC0B9F" w:rsidP="00115118">
            <w:pPr>
              <w:pStyle w:val="CertHBWhite"/>
              <w:rPr>
                <w:sz w:val="64"/>
                <w:szCs w:val="64"/>
              </w:rPr>
            </w:pPr>
            <w:r w:rsidRPr="00115118">
              <w:rPr>
                <w:noProof/>
                <w:sz w:val="64"/>
                <w:szCs w:val="64"/>
                <w:lang w:eastAsia="en-AU"/>
              </w:rPr>
              <mc:AlternateContent>
                <mc:Choice Requires="wps">
                  <w:drawing>
                    <wp:anchor distT="0" distB="0" distL="114300" distR="114300" simplePos="0" relativeHeight="251657728" behindDoc="0" locked="0" layoutInCell="1" allowOverlap="1" wp14:anchorId="2112B88C" wp14:editId="663E87D5">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ED7216" w:rsidRDefault="00115118" w:rsidP="00B87CF6">
                                  <w:pPr>
                                    <w:pStyle w:val="CertHDWhite"/>
                                    <w:rPr>
                                      <w:sz w:val="38"/>
                                      <w:szCs w:val="38"/>
                                    </w:rPr>
                                  </w:pPr>
                                  <w:r w:rsidRPr="00ED7216">
                                    <w:rPr>
                                      <w:sz w:val="38"/>
                                      <w:szCs w:val="38"/>
                                    </w:rPr>
                                    <w:t>For mortgagees, conveyancers and lawyers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ED7216" w:rsidRDefault="00115118" w:rsidP="00B87CF6">
                            <w:pPr>
                              <w:pStyle w:val="CertHDWhite"/>
                              <w:rPr>
                                <w:sz w:val="38"/>
                                <w:szCs w:val="38"/>
                              </w:rPr>
                            </w:pPr>
                            <w:r w:rsidRPr="00ED7216">
                              <w:rPr>
                                <w:sz w:val="38"/>
                                <w:szCs w:val="38"/>
                              </w:rPr>
                              <w:t>For mortgagees, conveyancers and lawyers</w:t>
                            </w:r>
                          </w:p>
                        </w:txbxContent>
                      </v:textbox>
                    </v:shape>
                  </w:pict>
                </mc:Fallback>
              </mc:AlternateContent>
            </w:r>
            <w:r w:rsidR="00115118" w:rsidRPr="00115118">
              <w:rPr>
                <w:sz w:val="64"/>
                <w:szCs w:val="64"/>
              </w:rPr>
              <w:t xml:space="preserve">Changes to lodging </w:t>
            </w:r>
            <w:r w:rsidR="0040350E">
              <w:rPr>
                <w:sz w:val="64"/>
                <w:szCs w:val="64"/>
              </w:rPr>
              <w:t xml:space="preserve">mortgages and </w:t>
            </w:r>
            <w:r w:rsidR="00115118" w:rsidRPr="00115118">
              <w:rPr>
                <w:sz w:val="64"/>
                <w:szCs w:val="64"/>
              </w:rPr>
              <w:t>discharges of mortgage</w:t>
            </w:r>
          </w:p>
        </w:tc>
      </w:tr>
    </w:tbl>
    <w:p w:rsidR="00E661F8" w:rsidRDefault="00115118" w:rsidP="00115118">
      <w:pPr>
        <w:pStyle w:val="Pullout"/>
      </w:pPr>
      <w:bookmarkStart w:id="0" w:name="Here"/>
      <w:bookmarkEnd w:id="0"/>
      <w:r>
        <w:t>This guide assist</w:t>
      </w:r>
      <w:r w:rsidR="003330EF">
        <w:t>s</w:t>
      </w:r>
      <w:r>
        <w:t xml:space="preserve"> mortgagees, their conveyancer</w:t>
      </w:r>
      <w:r w:rsidR="003330EF">
        <w:t>s</w:t>
      </w:r>
      <w:r>
        <w:t>, lawyer</w:t>
      </w:r>
      <w:r w:rsidR="003330EF">
        <w:t>s</w:t>
      </w:r>
      <w:r>
        <w:t xml:space="preserve"> </w:t>
      </w:r>
      <w:r w:rsidR="003330EF">
        <w:t xml:space="preserve">and </w:t>
      </w:r>
      <w:r>
        <w:t>lodging agent</w:t>
      </w:r>
      <w:r w:rsidR="003330EF">
        <w:t>s</w:t>
      </w:r>
      <w:r>
        <w:t xml:space="preserve"> understand </w:t>
      </w:r>
      <w:r w:rsidR="003330EF">
        <w:t xml:space="preserve">Land Victoria’s </w:t>
      </w:r>
      <w:r>
        <w:t xml:space="preserve">changes to lodging requirements for </w:t>
      </w:r>
      <w:r w:rsidR="0040350E">
        <w:t xml:space="preserve">mortgages and </w:t>
      </w:r>
      <w:r>
        <w:t xml:space="preserve">discharges of mortgage </w:t>
      </w:r>
      <w:r w:rsidR="003330EF">
        <w:t>d</w:t>
      </w:r>
      <w:r w:rsidR="003330EF" w:rsidRPr="004164BD">
        <w:t>ocuments</w:t>
      </w:r>
      <w:r w:rsidR="003330EF">
        <w:t>.</w:t>
      </w:r>
    </w:p>
    <w:p w:rsidR="00115118" w:rsidRDefault="00115118" w:rsidP="00115118">
      <w:pPr>
        <w:pStyle w:val="HA"/>
      </w:pPr>
      <w:r>
        <w:t>Introduction</w:t>
      </w:r>
    </w:p>
    <w:p w:rsidR="00115118" w:rsidRPr="00115118" w:rsidRDefault="00115118" w:rsidP="00115118">
      <w:pPr>
        <w:pStyle w:val="Body"/>
      </w:pPr>
      <w:r w:rsidRPr="00115118">
        <w:t xml:space="preserve">The Registrar of Titles (the Registrar) has determined requirements 6 and 7 of the Registrar’s Requirements to facilitate changes for lodging </w:t>
      </w:r>
      <w:r w:rsidR="00E34F07">
        <w:t xml:space="preserve">mortgages and </w:t>
      </w:r>
      <w:r w:rsidRPr="00115118">
        <w:t>discharges of mortgage. These requirements particularly affect mortgagees, their conveyancers, lawyers and lodging agents.</w:t>
      </w:r>
    </w:p>
    <w:p w:rsidR="00115118" w:rsidRDefault="00115118" w:rsidP="00115118">
      <w:pPr>
        <w:pStyle w:val="HA"/>
      </w:pPr>
      <w:r>
        <w:t>What is changing?</w:t>
      </w:r>
    </w:p>
    <w:p w:rsidR="00115118" w:rsidRDefault="00115118" w:rsidP="00115118">
      <w:pPr>
        <w:pStyle w:val="Body"/>
      </w:pPr>
      <w:r>
        <w:t xml:space="preserve">A discharge of mortgage signed on or after 1 March 2016 must be lodged by or on behalf of the mortgagee. The practice of providing a discharge of mortgage to the registered proprietor(s) </w:t>
      </w:r>
      <w:r w:rsidR="003330EF">
        <w:t xml:space="preserve">to </w:t>
      </w:r>
      <w:r>
        <w:t>lodge at Land Victoria is no longer permitted. The only exception is whe</w:t>
      </w:r>
      <w:r w:rsidR="003330EF">
        <w:t>n</w:t>
      </w:r>
      <w:r>
        <w:t xml:space="preserve"> the discharge of mortgage is lodged with a transfer of land and/or a mortgage affecting the same folio(s) of the Register.  </w:t>
      </w:r>
    </w:p>
    <w:p w:rsidR="00115118" w:rsidRPr="003330EF" w:rsidRDefault="003330EF" w:rsidP="00115118">
      <w:pPr>
        <w:pStyle w:val="Body"/>
      </w:pPr>
      <w:r>
        <w:t>When</w:t>
      </w:r>
      <w:r w:rsidR="00115118">
        <w:t xml:space="preserve"> the mortgagee is an Australian deposit-taking institution (ADI) under the </w:t>
      </w:r>
      <w:r w:rsidR="00115118" w:rsidRPr="003330EF">
        <w:rPr>
          <w:i/>
        </w:rPr>
        <w:t>Banking Act 1959</w:t>
      </w:r>
      <w:r>
        <w:t>:</w:t>
      </w:r>
    </w:p>
    <w:p w:rsidR="00115118" w:rsidRDefault="003330EF" w:rsidP="00115118">
      <w:pPr>
        <w:pStyle w:val="Bullet"/>
      </w:pPr>
      <w:r>
        <w:t>a</w:t>
      </w:r>
      <w:r w:rsidR="00115118">
        <w:t xml:space="preserve"> discharge of mortgage signed on or after 1 August 2016 must be lodged using an electronic lodging network </w:t>
      </w:r>
      <w:r>
        <w:t>(</w:t>
      </w:r>
      <w:r w:rsidR="00115118">
        <w:t>ELN</w:t>
      </w:r>
      <w:r>
        <w:t>)</w:t>
      </w:r>
      <w:r w:rsidR="00115118">
        <w:t>, except whe</w:t>
      </w:r>
      <w:r>
        <w:t>n</w:t>
      </w:r>
      <w:r w:rsidR="00115118">
        <w:t xml:space="preserve"> the discharge of mortgage is lodged with any transfer of land or mortgage for the same folio(s) of the Register</w:t>
      </w:r>
    </w:p>
    <w:p w:rsidR="00115118" w:rsidRDefault="003330EF" w:rsidP="00115118">
      <w:pPr>
        <w:pStyle w:val="Bullet"/>
      </w:pPr>
      <w:r>
        <w:t>a</w:t>
      </w:r>
      <w:r w:rsidR="00115118">
        <w:t xml:space="preserve"> mortgage to which the National Credit Code applies signed on or after 1 August 2016 must be lodged using an ELN, except whe</w:t>
      </w:r>
      <w:r>
        <w:t>n</w:t>
      </w:r>
      <w:r w:rsidR="00115118">
        <w:t xml:space="preserve"> the mortgage is lodged with any discharge of mortgage or transfer of land for the same folio(s) of the Register. </w:t>
      </w:r>
    </w:p>
    <w:p w:rsidR="00115118" w:rsidRDefault="00115118" w:rsidP="00115118">
      <w:pPr>
        <w:pStyle w:val="Body"/>
      </w:pPr>
      <w:r>
        <w:t>This requirement does not apply if an ELN is not available and has not been available for one clear business day.</w:t>
      </w:r>
    </w:p>
    <w:p w:rsidR="00115118" w:rsidRDefault="00115118" w:rsidP="00115118">
      <w:pPr>
        <w:pStyle w:val="Body"/>
      </w:pPr>
      <w:r>
        <w:t>Currently, the only ELN is Property Exchange Australia (PEXA</w:t>
      </w:r>
      <w:r w:rsidR="003330EF">
        <w:t xml:space="preserve">). </w:t>
      </w:r>
      <w:r>
        <w:t>Land Victoria strongly recommends that all ADIs</w:t>
      </w:r>
      <w:r w:rsidR="003330EF">
        <w:t xml:space="preserve"> and</w:t>
      </w:r>
      <w:r>
        <w:t xml:space="preserve"> their conveyancers and lawyers apply as soon as possib</w:t>
      </w:r>
      <w:r w:rsidR="003330EF">
        <w:t xml:space="preserve">le to become </w:t>
      </w:r>
      <w:hyperlink r:id="rId9" w:history="1">
        <w:r w:rsidR="003330EF" w:rsidRPr="00080331">
          <w:rPr>
            <w:rStyle w:val="Hyperlink"/>
          </w:rPr>
          <w:t>PEXA subscribers</w:t>
        </w:r>
      </w:hyperlink>
      <w:r w:rsidR="003330EF">
        <w:t xml:space="preserve"> (at</w:t>
      </w:r>
      <w:r>
        <w:t xml:space="preserve"> </w:t>
      </w:r>
      <w:hyperlink r:id="rId10" w:history="1">
        <w:r w:rsidRPr="00080331">
          <w:rPr>
            <w:rStyle w:val="Hyperlink"/>
          </w:rPr>
          <w:t>pexa.com.au/register</w:t>
        </w:r>
      </w:hyperlink>
      <w:r w:rsidR="003330EF">
        <w:t>)</w:t>
      </w:r>
      <w:r>
        <w:t>.</w:t>
      </w:r>
    </w:p>
    <w:p w:rsidR="00115118" w:rsidRDefault="00115118" w:rsidP="00115118">
      <w:pPr>
        <w:pStyle w:val="HA"/>
      </w:pPr>
      <w:r>
        <w:t>Examples</w:t>
      </w:r>
    </w:p>
    <w:p w:rsidR="00CD0C63" w:rsidRDefault="00115118" w:rsidP="005F0AD3">
      <w:pPr>
        <w:pStyle w:val="Body"/>
        <w:rPr>
          <w:rFonts w:eastAsia="Calibri"/>
        </w:rPr>
      </w:pPr>
      <w:r>
        <w:t>The following matrix provides examples of transaction types and indicates whether or not they must be lodged electronically from 1 August 2016</w:t>
      </w:r>
      <w:r w:rsidR="000205AA">
        <w:t>.</w:t>
      </w: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842"/>
        <w:gridCol w:w="709"/>
        <w:gridCol w:w="709"/>
        <w:gridCol w:w="1134"/>
      </w:tblGrid>
      <w:tr w:rsidR="0040350E" w:rsidRPr="00EA2FE4" w:rsidTr="000419DF">
        <w:tc>
          <w:tcPr>
            <w:tcW w:w="534" w:type="dxa"/>
          </w:tcPr>
          <w:p w:rsidR="0040350E" w:rsidRPr="0040350E" w:rsidRDefault="0040350E" w:rsidP="000419DF">
            <w:pPr>
              <w:rPr>
                <w:b/>
                <w:sz w:val="15"/>
                <w:szCs w:val="15"/>
              </w:rPr>
            </w:pPr>
            <w:r w:rsidRPr="0040350E">
              <w:rPr>
                <w:b/>
                <w:sz w:val="15"/>
                <w:szCs w:val="15"/>
              </w:rPr>
              <w:t>No.</w:t>
            </w:r>
          </w:p>
        </w:tc>
        <w:tc>
          <w:tcPr>
            <w:tcW w:w="1842" w:type="dxa"/>
          </w:tcPr>
          <w:p w:rsidR="0040350E" w:rsidRPr="0040350E" w:rsidRDefault="0040350E" w:rsidP="000419DF">
            <w:pPr>
              <w:rPr>
                <w:b/>
                <w:sz w:val="15"/>
                <w:szCs w:val="15"/>
              </w:rPr>
            </w:pPr>
            <w:r w:rsidRPr="0040350E">
              <w:rPr>
                <w:b/>
                <w:sz w:val="15"/>
                <w:szCs w:val="15"/>
              </w:rPr>
              <w:t>Transaction type</w:t>
            </w:r>
          </w:p>
          <w:p w:rsidR="0040350E" w:rsidRPr="0040350E" w:rsidRDefault="0040350E" w:rsidP="000419DF">
            <w:pPr>
              <w:rPr>
                <w:b/>
                <w:sz w:val="15"/>
                <w:szCs w:val="15"/>
              </w:rPr>
            </w:pPr>
          </w:p>
        </w:tc>
        <w:tc>
          <w:tcPr>
            <w:tcW w:w="709" w:type="dxa"/>
          </w:tcPr>
          <w:p w:rsidR="0040350E" w:rsidRPr="00EA2FE4" w:rsidRDefault="0040350E" w:rsidP="000419DF">
            <w:pPr>
              <w:rPr>
                <w:b/>
                <w:sz w:val="16"/>
                <w:szCs w:val="16"/>
              </w:rPr>
            </w:pPr>
            <w:r w:rsidRPr="00EA2FE4">
              <w:rPr>
                <w:b/>
                <w:sz w:val="16"/>
                <w:szCs w:val="16"/>
              </w:rPr>
              <w:t>Folio 1</w:t>
            </w:r>
          </w:p>
        </w:tc>
        <w:tc>
          <w:tcPr>
            <w:tcW w:w="709" w:type="dxa"/>
          </w:tcPr>
          <w:p w:rsidR="0040350E" w:rsidRPr="00EA2FE4" w:rsidRDefault="0040350E" w:rsidP="000419DF">
            <w:pPr>
              <w:rPr>
                <w:b/>
                <w:sz w:val="16"/>
                <w:szCs w:val="16"/>
              </w:rPr>
            </w:pPr>
            <w:r w:rsidRPr="00EA2FE4">
              <w:rPr>
                <w:b/>
                <w:sz w:val="16"/>
                <w:szCs w:val="16"/>
              </w:rPr>
              <w:t>Folio 2</w:t>
            </w:r>
          </w:p>
        </w:tc>
        <w:tc>
          <w:tcPr>
            <w:tcW w:w="1134" w:type="dxa"/>
          </w:tcPr>
          <w:p w:rsidR="0040350E" w:rsidRPr="00EA2FE4" w:rsidRDefault="0040350E" w:rsidP="000419DF">
            <w:pPr>
              <w:rPr>
                <w:b/>
                <w:sz w:val="16"/>
                <w:szCs w:val="16"/>
              </w:rPr>
            </w:pPr>
            <w:r w:rsidRPr="00EA2FE4">
              <w:rPr>
                <w:b/>
                <w:sz w:val="16"/>
                <w:szCs w:val="16"/>
              </w:rPr>
              <w:t>Lodge electronically</w:t>
            </w:r>
          </w:p>
        </w:tc>
      </w:tr>
      <w:tr w:rsidR="0040350E" w:rsidRPr="00EA2FE4" w:rsidTr="000419DF">
        <w:tc>
          <w:tcPr>
            <w:tcW w:w="534" w:type="dxa"/>
          </w:tcPr>
          <w:p w:rsidR="0040350E" w:rsidRPr="0040350E" w:rsidRDefault="0040350E" w:rsidP="000419DF">
            <w:pPr>
              <w:rPr>
                <w:sz w:val="15"/>
                <w:szCs w:val="15"/>
              </w:rPr>
            </w:pPr>
            <w:r w:rsidRPr="0040350E">
              <w:rPr>
                <w:sz w:val="15"/>
                <w:szCs w:val="15"/>
              </w:rPr>
              <w:t>1</w:t>
            </w:r>
          </w:p>
        </w:tc>
        <w:tc>
          <w:tcPr>
            <w:tcW w:w="1842" w:type="dxa"/>
          </w:tcPr>
          <w:p w:rsidR="0040350E" w:rsidRPr="0040350E" w:rsidRDefault="0040350E" w:rsidP="000419DF">
            <w:pPr>
              <w:rPr>
                <w:sz w:val="15"/>
                <w:szCs w:val="15"/>
              </w:rPr>
            </w:pPr>
            <w:r w:rsidRPr="0040350E">
              <w:rPr>
                <w:sz w:val="15"/>
                <w:szCs w:val="15"/>
              </w:rPr>
              <w:t>Discharge of mortgage</w:t>
            </w:r>
          </w:p>
          <w:p w:rsidR="0040350E" w:rsidRPr="0040350E" w:rsidRDefault="0040350E" w:rsidP="000419DF">
            <w:pPr>
              <w:rPr>
                <w:sz w:val="15"/>
                <w:szCs w:val="15"/>
              </w:rPr>
            </w:pPr>
          </w:p>
        </w:tc>
        <w:tc>
          <w:tcPr>
            <w:tcW w:w="709" w:type="dxa"/>
          </w:tcPr>
          <w:p w:rsidR="0040350E" w:rsidRPr="00EA2FE4" w:rsidRDefault="0040350E" w:rsidP="000419DF">
            <w:pPr>
              <w:rPr>
                <w:sz w:val="16"/>
                <w:szCs w:val="16"/>
              </w:rPr>
            </w:pPr>
            <w:r w:rsidRPr="00EA2FE4">
              <w:rPr>
                <w:sz w:val="16"/>
                <w:szCs w:val="16"/>
              </w:rPr>
              <w:sym w:font="Wingdings" w:char="F0FC"/>
            </w:r>
          </w:p>
        </w:tc>
        <w:tc>
          <w:tcPr>
            <w:tcW w:w="709" w:type="dxa"/>
          </w:tcPr>
          <w:p w:rsidR="0040350E" w:rsidRPr="00EA2FE4" w:rsidRDefault="0040350E" w:rsidP="000419DF">
            <w:pPr>
              <w:rPr>
                <w:sz w:val="16"/>
                <w:szCs w:val="16"/>
              </w:rPr>
            </w:pPr>
          </w:p>
        </w:tc>
        <w:tc>
          <w:tcPr>
            <w:tcW w:w="1134" w:type="dxa"/>
          </w:tcPr>
          <w:p w:rsidR="0040350E" w:rsidRPr="00EA2FE4" w:rsidRDefault="0040350E" w:rsidP="000419DF">
            <w:pPr>
              <w:rPr>
                <w:sz w:val="16"/>
                <w:szCs w:val="16"/>
              </w:rPr>
            </w:pPr>
            <w:r w:rsidRPr="00EA2FE4">
              <w:rPr>
                <w:sz w:val="16"/>
                <w:szCs w:val="16"/>
              </w:rPr>
              <w:sym w:font="Wingdings" w:char="F0FC"/>
            </w:r>
          </w:p>
        </w:tc>
      </w:tr>
      <w:tr w:rsidR="0040350E" w:rsidRPr="00EA2FE4" w:rsidTr="000419DF">
        <w:tc>
          <w:tcPr>
            <w:tcW w:w="534" w:type="dxa"/>
          </w:tcPr>
          <w:p w:rsidR="0040350E" w:rsidRPr="0040350E" w:rsidRDefault="0040350E" w:rsidP="000419DF">
            <w:pPr>
              <w:rPr>
                <w:sz w:val="15"/>
                <w:szCs w:val="15"/>
              </w:rPr>
            </w:pPr>
            <w:r w:rsidRPr="0040350E">
              <w:rPr>
                <w:sz w:val="15"/>
                <w:szCs w:val="15"/>
              </w:rPr>
              <w:t>2</w:t>
            </w:r>
          </w:p>
        </w:tc>
        <w:tc>
          <w:tcPr>
            <w:tcW w:w="1842" w:type="dxa"/>
          </w:tcPr>
          <w:p w:rsidR="0040350E" w:rsidRPr="0040350E" w:rsidRDefault="0040350E" w:rsidP="000419DF">
            <w:pPr>
              <w:rPr>
                <w:sz w:val="15"/>
                <w:szCs w:val="15"/>
              </w:rPr>
            </w:pPr>
            <w:r w:rsidRPr="0040350E">
              <w:rPr>
                <w:sz w:val="15"/>
                <w:szCs w:val="15"/>
              </w:rPr>
              <w:t>Mortgage</w:t>
            </w:r>
          </w:p>
          <w:p w:rsidR="0040350E" w:rsidRPr="0040350E" w:rsidRDefault="0040350E" w:rsidP="000419DF">
            <w:pPr>
              <w:rPr>
                <w:sz w:val="15"/>
                <w:szCs w:val="15"/>
              </w:rPr>
            </w:pPr>
          </w:p>
        </w:tc>
        <w:tc>
          <w:tcPr>
            <w:tcW w:w="709" w:type="dxa"/>
          </w:tcPr>
          <w:p w:rsidR="0040350E" w:rsidRPr="00EA2FE4" w:rsidRDefault="0040350E" w:rsidP="000419DF">
            <w:pPr>
              <w:rPr>
                <w:sz w:val="16"/>
                <w:szCs w:val="16"/>
              </w:rPr>
            </w:pPr>
            <w:r w:rsidRPr="00EA2FE4">
              <w:rPr>
                <w:sz w:val="16"/>
                <w:szCs w:val="16"/>
              </w:rPr>
              <w:sym w:font="Wingdings" w:char="F0FC"/>
            </w:r>
          </w:p>
        </w:tc>
        <w:tc>
          <w:tcPr>
            <w:tcW w:w="709" w:type="dxa"/>
          </w:tcPr>
          <w:p w:rsidR="0040350E" w:rsidRPr="00EA2FE4" w:rsidRDefault="0040350E" w:rsidP="000419DF">
            <w:pPr>
              <w:rPr>
                <w:sz w:val="16"/>
                <w:szCs w:val="16"/>
              </w:rPr>
            </w:pPr>
          </w:p>
        </w:tc>
        <w:tc>
          <w:tcPr>
            <w:tcW w:w="1134" w:type="dxa"/>
          </w:tcPr>
          <w:p w:rsidR="0040350E" w:rsidRPr="00EA2FE4" w:rsidRDefault="0040350E" w:rsidP="000419DF">
            <w:pPr>
              <w:rPr>
                <w:sz w:val="16"/>
                <w:szCs w:val="16"/>
              </w:rPr>
            </w:pPr>
            <w:r w:rsidRPr="00EA2FE4">
              <w:rPr>
                <w:sz w:val="16"/>
                <w:szCs w:val="16"/>
              </w:rPr>
              <w:sym w:font="Wingdings" w:char="F0FC"/>
            </w:r>
          </w:p>
        </w:tc>
      </w:tr>
      <w:tr w:rsidR="0040350E" w:rsidRPr="00EA2FE4" w:rsidTr="000419DF">
        <w:tc>
          <w:tcPr>
            <w:tcW w:w="534" w:type="dxa"/>
          </w:tcPr>
          <w:p w:rsidR="0040350E" w:rsidRPr="0040350E" w:rsidRDefault="0040350E" w:rsidP="000419DF">
            <w:pPr>
              <w:rPr>
                <w:sz w:val="15"/>
                <w:szCs w:val="15"/>
              </w:rPr>
            </w:pPr>
            <w:r w:rsidRPr="0040350E">
              <w:rPr>
                <w:sz w:val="15"/>
                <w:szCs w:val="15"/>
              </w:rPr>
              <w:t>3</w:t>
            </w:r>
          </w:p>
        </w:tc>
        <w:tc>
          <w:tcPr>
            <w:tcW w:w="1842" w:type="dxa"/>
          </w:tcPr>
          <w:p w:rsidR="0040350E" w:rsidRPr="0040350E" w:rsidRDefault="0040350E" w:rsidP="000419DF">
            <w:pPr>
              <w:rPr>
                <w:sz w:val="15"/>
                <w:szCs w:val="15"/>
              </w:rPr>
            </w:pPr>
            <w:r w:rsidRPr="0040350E">
              <w:rPr>
                <w:sz w:val="15"/>
                <w:szCs w:val="15"/>
              </w:rPr>
              <w:t>Discharge of mortgage,</w:t>
            </w:r>
          </w:p>
          <w:p w:rsidR="0040350E" w:rsidRPr="0040350E" w:rsidRDefault="0040350E" w:rsidP="000419DF">
            <w:pPr>
              <w:rPr>
                <w:sz w:val="15"/>
                <w:szCs w:val="15"/>
              </w:rPr>
            </w:pPr>
            <w:r w:rsidRPr="0040350E">
              <w:rPr>
                <w:sz w:val="15"/>
                <w:szCs w:val="15"/>
              </w:rPr>
              <w:t>Mortgage</w:t>
            </w:r>
          </w:p>
          <w:p w:rsidR="0040350E" w:rsidRPr="0040350E" w:rsidRDefault="0040350E" w:rsidP="000419DF">
            <w:pPr>
              <w:rPr>
                <w:sz w:val="15"/>
                <w:szCs w:val="15"/>
              </w:rPr>
            </w:pPr>
          </w:p>
        </w:tc>
        <w:tc>
          <w:tcPr>
            <w:tcW w:w="709" w:type="dxa"/>
          </w:tcPr>
          <w:p w:rsidR="0040350E" w:rsidRPr="00EA2FE4" w:rsidRDefault="0040350E" w:rsidP="000419DF">
            <w:pPr>
              <w:rPr>
                <w:sz w:val="16"/>
                <w:szCs w:val="16"/>
              </w:rPr>
            </w:pPr>
            <w:r w:rsidRPr="00EA2FE4">
              <w:rPr>
                <w:sz w:val="16"/>
                <w:szCs w:val="16"/>
              </w:rPr>
              <w:sym w:font="Wingdings" w:char="F0FC"/>
            </w:r>
          </w:p>
          <w:p w:rsidR="0040350E" w:rsidRPr="00EA2FE4" w:rsidRDefault="0040350E" w:rsidP="000419DF">
            <w:pPr>
              <w:rPr>
                <w:sz w:val="16"/>
                <w:szCs w:val="16"/>
              </w:rPr>
            </w:pPr>
            <w:r w:rsidRPr="00EA2FE4">
              <w:rPr>
                <w:sz w:val="16"/>
                <w:szCs w:val="16"/>
              </w:rPr>
              <w:sym w:font="Wingdings" w:char="F0FC"/>
            </w:r>
          </w:p>
        </w:tc>
        <w:tc>
          <w:tcPr>
            <w:tcW w:w="709" w:type="dxa"/>
          </w:tcPr>
          <w:p w:rsidR="0040350E" w:rsidRPr="00EA2FE4" w:rsidRDefault="0040350E" w:rsidP="000419DF">
            <w:pPr>
              <w:rPr>
                <w:sz w:val="16"/>
                <w:szCs w:val="16"/>
              </w:rPr>
            </w:pPr>
          </w:p>
          <w:p w:rsidR="0040350E" w:rsidRPr="00EA2FE4" w:rsidRDefault="0040350E" w:rsidP="000419DF">
            <w:pPr>
              <w:rPr>
                <w:sz w:val="16"/>
                <w:szCs w:val="16"/>
              </w:rPr>
            </w:pPr>
          </w:p>
          <w:p w:rsidR="0040350E" w:rsidRPr="00EA2FE4" w:rsidRDefault="0040350E" w:rsidP="000419DF">
            <w:pPr>
              <w:rPr>
                <w:sz w:val="16"/>
                <w:szCs w:val="16"/>
              </w:rPr>
            </w:pPr>
          </w:p>
        </w:tc>
        <w:tc>
          <w:tcPr>
            <w:tcW w:w="1134" w:type="dxa"/>
          </w:tcPr>
          <w:p w:rsidR="0040350E" w:rsidRPr="00EA2FE4" w:rsidRDefault="0040350E" w:rsidP="000419DF">
            <w:pPr>
              <w:rPr>
                <w:sz w:val="16"/>
                <w:szCs w:val="16"/>
              </w:rPr>
            </w:pPr>
            <w:r w:rsidRPr="00EA2FE4">
              <w:rPr>
                <w:sz w:val="16"/>
                <w:szCs w:val="16"/>
              </w:rPr>
              <w:t>X</w:t>
            </w:r>
          </w:p>
        </w:tc>
      </w:tr>
      <w:tr w:rsidR="0040350E" w:rsidRPr="00EA2FE4" w:rsidTr="000419DF">
        <w:tc>
          <w:tcPr>
            <w:tcW w:w="534" w:type="dxa"/>
          </w:tcPr>
          <w:p w:rsidR="0040350E" w:rsidRPr="0040350E" w:rsidRDefault="0040350E" w:rsidP="000419DF">
            <w:pPr>
              <w:rPr>
                <w:sz w:val="15"/>
                <w:szCs w:val="15"/>
              </w:rPr>
            </w:pPr>
            <w:r w:rsidRPr="0040350E">
              <w:rPr>
                <w:sz w:val="15"/>
                <w:szCs w:val="15"/>
              </w:rPr>
              <w:t>4</w:t>
            </w:r>
          </w:p>
        </w:tc>
        <w:tc>
          <w:tcPr>
            <w:tcW w:w="1842" w:type="dxa"/>
          </w:tcPr>
          <w:p w:rsidR="0040350E" w:rsidRPr="0040350E" w:rsidRDefault="0040350E" w:rsidP="000419DF">
            <w:pPr>
              <w:rPr>
                <w:sz w:val="15"/>
                <w:szCs w:val="15"/>
              </w:rPr>
            </w:pPr>
            <w:r w:rsidRPr="0040350E">
              <w:rPr>
                <w:sz w:val="15"/>
                <w:szCs w:val="15"/>
              </w:rPr>
              <w:t>Discharge of mortgage,</w:t>
            </w:r>
          </w:p>
          <w:p w:rsidR="0040350E" w:rsidRPr="0040350E" w:rsidRDefault="0040350E" w:rsidP="000419DF">
            <w:pPr>
              <w:rPr>
                <w:sz w:val="15"/>
                <w:szCs w:val="15"/>
              </w:rPr>
            </w:pPr>
            <w:r w:rsidRPr="0040350E">
              <w:rPr>
                <w:sz w:val="15"/>
                <w:szCs w:val="15"/>
              </w:rPr>
              <w:t>Transfer of land</w:t>
            </w:r>
          </w:p>
          <w:p w:rsidR="0040350E" w:rsidRPr="0040350E" w:rsidRDefault="0040350E" w:rsidP="000419DF">
            <w:pPr>
              <w:rPr>
                <w:sz w:val="15"/>
                <w:szCs w:val="15"/>
              </w:rPr>
            </w:pPr>
          </w:p>
        </w:tc>
        <w:tc>
          <w:tcPr>
            <w:tcW w:w="709" w:type="dxa"/>
          </w:tcPr>
          <w:p w:rsidR="0040350E" w:rsidRPr="00EA2FE4" w:rsidRDefault="0040350E" w:rsidP="000419DF">
            <w:pPr>
              <w:rPr>
                <w:sz w:val="16"/>
                <w:szCs w:val="16"/>
              </w:rPr>
            </w:pPr>
            <w:r w:rsidRPr="00EA2FE4">
              <w:rPr>
                <w:sz w:val="16"/>
                <w:szCs w:val="16"/>
              </w:rPr>
              <w:sym w:font="Wingdings" w:char="F0FC"/>
            </w:r>
          </w:p>
          <w:p w:rsidR="0040350E" w:rsidRPr="00EA2FE4" w:rsidRDefault="0040350E" w:rsidP="000419DF">
            <w:pPr>
              <w:rPr>
                <w:sz w:val="16"/>
                <w:szCs w:val="16"/>
              </w:rPr>
            </w:pPr>
            <w:r w:rsidRPr="00EA2FE4">
              <w:rPr>
                <w:sz w:val="16"/>
                <w:szCs w:val="16"/>
              </w:rPr>
              <w:sym w:font="Wingdings" w:char="F0FC"/>
            </w:r>
          </w:p>
        </w:tc>
        <w:tc>
          <w:tcPr>
            <w:tcW w:w="709" w:type="dxa"/>
          </w:tcPr>
          <w:p w:rsidR="0040350E" w:rsidRPr="00EA2FE4" w:rsidRDefault="0040350E" w:rsidP="000419DF">
            <w:pPr>
              <w:rPr>
                <w:sz w:val="16"/>
                <w:szCs w:val="16"/>
              </w:rPr>
            </w:pPr>
          </w:p>
        </w:tc>
        <w:tc>
          <w:tcPr>
            <w:tcW w:w="1134" w:type="dxa"/>
          </w:tcPr>
          <w:p w:rsidR="0040350E" w:rsidRPr="00EA2FE4" w:rsidRDefault="0040350E" w:rsidP="000419DF">
            <w:pPr>
              <w:rPr>
                <w:sz w:val="16"/>
                <w:szCs w:val="16"/>
              </w:rPr>
            </w:pPr>
            <w:r w:rsidRPr="00EA2FE4">
              <w:rPr>
                <w:sz w:val="16"/>
                <w:szCs w:val="16"/>
              </w:rPr>
              <w:t>X</w:t>
            </w:r>
          </w:p>
        </w:tc>
      </w:tr>
      <w:tr w:rsidR="0040350E" w:rsidRPr="00EA2FE4" w:rsidTr="000419DF">
        <w:tc>
          <w:tcPr>
            <w:tcW w:w="534" w:type="dxa"/>
          </w:tcPr>
          <w:p w:rsidR="0040350E" w:rsidRPr="0040350E" w:rsidRDefault="0040350E" w:rsidP="000419DF">
            <w:pPr>
              <w:rPr>
                <w:sz w:val="15"/>
                <w:szCs w:val="15"/>
              </w:rPr>
            </w:pPr>
            <w:r w:rsidRPr="0040350E">
              <w:rPr>
                <w:sz w:val="15"/>
                <w:szCs w:val="15"/>
              </w:rPr>
              <w:t>5</w:t>
            </w:r>
          </w:p>
        </w:tc>
        <w:tc>
          <w:tcPr>
            <w:tcW w:w="1842" w:type="dxa"/>
          </w:tcPr>
          <w:p w:rsidR="0040350E" w:rsidRPr="0040350E" w:rsidRDefault="0040350E" w:rsidP="000419DF">
            <w:pPr>
              <w:rPr>
                <w:sz w:val="15"/>
                <w:szCs w:val="15"/>
              </w:rPr>
            </w:pPr>
            <w:r w:rsidRPr="0040350E">
              <w:rPr>
                <w:sz w:val="15"/>
                <w:szCs w:val="15"/>
              </w:rPr>
              <w:t>Transfer of land,</w:t>
            </w:r>
          </w:p>
          <w:p w:rsidR="0040350E" w:rsidRPr="0040350E" w:rsidRDefault="0040350E" w:rsidP="000419DF">
            <w:pPr>
              <w:rPr>
                <w:sz w:val="15"/>
                <w:szCs w:val="15"/>
              </w:rPr>
            </w:pPr>
            <w:r w:rsidRPr="0040350E">
              <w:rPr>
                <w:sz w:val="15"/>
                <w:szCs w:val="15"/>
              </w:rPr>
              <w:t>Mortgage</w:t>
            </w:r>
          </w:p>
          <w:p w:rsidR="0040350E" w:rsidRPr="0040350E" w:rsidRDefault="0040350E" w:rsidP="000419DF">
            <w:pPr>
              <w:rPr>
                <w:sz w:val="15"/>
                <w:szCs w:val="15"/>
              </w:rPr>
            </w:pPr>
          </w:p>
        </w:tc>
        <w:tc>
          <w:tcPr>
            <w:tcW w:w="709" w:type="dxa"/>
          </w:tcPr>
          <w:p w:rsidR="0040350E" w:rsidRPr="00EA2FE4" w:rsidRDefault="0040350E" w:rsidP="000419DF">
            <w:pPr>
              <w:rPr>
                <w:sz w:val="16"/>
                <w:szCs w:val="16"/>
              </w:rPr>
            </w:pPr>
            <w:r w:rsidRPr="00EA2FE4">
              <w:rPr>
                <w:sz w:val="16"/>
                <w:szCs w:val="16"/>
              </w:rPr>
              <w:sym w:font="Wingdings" w:char="F0FC"/>
            </w:r>
          </w:p>
          <w:p w:rsidR="0040350E" w:rsidRPr="00EA2FE4" w:rsidRDefault="0040350E" w:rsidP="000419DF">
            <w:pPr>
              <w:rPr>
                <w:sz w:val="16"/>
                <w:szCs w:val="16"/>
              </w:rPr>
            </w:pPr>
            <w:r w:rsidRPr="00EA2FE4">
              <w:rPr>
                <w:sz w:val="16"/>
                <w:szCs w:val="16"/>
              </w:rPr>
              <w:sym w:font="Wingdings" w:char="F0FC"/>
            </w:r>
          </w:p>
        </w:tc>
        <w:tc>
          <w:tcPr>
            <w:tcW w:w="709" w:type="dxa"/>
          </w:tcPr>
          <w:p w:rsidR="0040350E" w:rsidRPr="00EA2FE4" w:rsidRDefault="0040350E" w:rsidP="000419DF">
            <w:pPr>
              <w:rPr>
                <w:sz w:val="16"/>
                <w:szCs w:val="16"/>
              </w:rPr>
            </w:pPr>
          </w:p>
          <w:p w:rsidR="0040350E" w:rsidRPr="00EA2FE4" w:rsidRDefault="0040350E" w:rsidP="000419DF">
            <w:pPr>
              <w:rPr>
                <w:sz w:val="16"/>
                <w:szCs w:val="16"/>
              </w:rPr>
            </w:pPr>
          </w:p>
        </w:tc>
        <w:tc>
          <w:tcPr>
            <w:tcW w:w="1134" w:type="dxa"/>
          </w:tcPr>
          <w:p w:rsidR="0040350E" w:rsidRPr="00EA2FE4" w:rsidRDefault="0040350E" w:rsidP="000419DF">
            <w:pPr>
              <w:rPr>
                <w:sz w:val="16"/>
                <w:szCs w:val="16"/>
              </w:rPr>
            </w:pPr>
            <w:r w:rsidRPr="00EA2FE4">
              <w:rPr>
                <w:sz w:val="16"/>
                <w:szCs w:val="16"/>
              </w:rPr>
              <w:t>X</w:t>
            </w:r>
          </w:p>
        </w:tc>
      </w:tr>
      <w:tr w:rsidR="0040350E" w:rsidRPr="00EA2FE4" w:rsidTr="000419DF">
        <w:tc>
          <w:tcPr>
            <w:tcW w:w="534" w:type="dxa"/>
          </w:tcPr>
          <w:p w:rsidR="0040350E" w:rsidRPr="0040350E" w:rsidRDefault="0040350E" w:rsidP="000419DF">
            <w:pPr>
              <w:rPr>
                <w:sz w:val="15"/>
                <w:szCs w:val="15"/>
              </w:rPr>
            </w:pPr>
            <w:r w:rsidRPr="0040350E">
              <w:rPr>
                <w:sz w:val="15"/>
                <w:szCs w:val="15"/>
              </w:rPr>
              <w:t>6</w:t>
            </w:r>
          </w:p>
        </w:tc>
        <w:tc>
          <w:tcPr>
            <w:tcW w:w="1842" w:type="dxa"/>
          </w:tcPr>
          <w:p w:rsidR="0040350E" w:rsidRPr="0040350E" w:rsidRDefault="0040350E" w:rsidP="000419DF">
            <w:pPr>
              <w:rPr>
                <w:sz w:val="15"/>
                <w:szCs w:val="15"/>
              </w:rPr>
            </w:pPr>
            <w:r w:rsidRPr="0040350E">
              <w:rPr>
                <w:sz w:val="15"/>
                <w:szCs w:val="15"/>
              </w:rPr>
              <w:t>Discharge of mortgage</w:t>
            </w:r>
          </w:p>
          <w:p w:rsidR="0040350E" w:rsidRPr="0040350E" w:rsidRDefault="0040350E" w:rsidP="000419DF">
            <w:pPr>
              <w:rPr>
                <w:sz w:val="15"/>
                <w:szCs w:val="15"/>
              </w:rPr>
            </w:pPr>
            <w:r w:rsidRPr="0040350E">
              <w:rPr>
                <w:sz w:val="15"/>
                <w:szCs w:val="15"/>
              </w:rPr>
              <w:t>Transfer of Land</w:t>
            </w:r>
          </w:p>
          <w:p w:rsidR="0040350E" w:rsidRPr="0040350E" w:rsidRDefault="0040350E" w:rsidP="000419DF">
            <w:pPr>
              <w:rPr>
                <w:sz w:val="15"/>
                <w:szCs w:val="15"/>
              </w:rPr>
            </w:pPr>
            <w:r w:rsidRPr="0040350E">
              <w:rPr>
                <w:sz w:val="15"/>
                <w:szCs w:val="15"/>
              </w:rPr>
              <w:t>Mortgage</w:t>
            </w:r>
          </w:p>
          <w:p w:rsidR="0040350E" w:rsidRPr="0040350E" w:rsidRDefault="0040350E" w:rsidP="000419DF">
            <w:pPr>
              <w:rPr>
                <w:sz w:val="15"/>
                <w:szCs w:val="15"/>
              </w:rPr>
            </w:pPr>
          </w:p>
        </w:tc>
        <w:tc>
          <w:tcPr>
            <w:tcW w:w="709" w:type="dxa"/>
          </w:tcPr>
          <w:p w:rsidR="0040350E" w:rsidRPr="00EA2FE4" w:rsidRDefault="0040350E" w:rsidP="000419DF">
            <w:pPr>
              <w:rPr>
                <w:sz w:val="16"/>
                <w:szCs w:val="16"/>
              </w:rPr>
            </w:pPr>
            <w:r w:rsidRPr="00EA2FE4">
              <w:rPr>
                <w:sz w:val="16"/>
                <w:szCs w:val="16"/>
              </w:rPr>
              <w:sym w:font="Wingdings" w:char="F0FC"/>
            </w:r>
          </w:p>
          <w:p w:rsidR="0040350E" w:rsidRPr="00EA2FE4" w:rsidRDefault="0040350E" w:rsidP="000419DF">
            <w:pPr>
              <w:rPr>
                <w:sz w:val="16"/>
                <w:szCs w:val="16"/>
              </w:rPr>
            </w:pPr>
            <w:r w:rsidRPr="00EA2FE4">
              <w:rPr>
                <w:sz w:val="16"/>
                <w:szCs w:val="16"/>
              </w:rPr>
              <w:sym w:font="Wingdings" w:char="F0FC"/>
            </w:r>
          </w:p>
          <w:p w:rsidR="0040350E" w:rsidRPr="00EA2FE4" w:rsidRDefault="0040350E" w:rsidP="000419DF">
            <w:pPr>
              <w:rPr>
                <w:sz w:val="16"/>
                <w:szCs w:val="16"/>
              </w:rPr>
            </w:pPr>
            <w:r w:rsidRPr="00EA2FE4">
              <w:rPr>
                <w:sz w:val="16"/>
                <w:szCs w:val="16"/>
              </w:rPr>
              <w:sym w:font="Wingdings" w:char="F0FC"/>
            </w:r>
          </w:p>
        </w:tc>
        <w:tc>
          <w:tcPr>
            <w:tcW w:w="709" w:type="dxa"/>
          </w:tcPr>
          <w:p w:rsidR="0040350E" w:rsidRPr="00EA2FE4" w:rsidRDefault="0040350E" w:rsidP="000419DF">
            <w:pPr>
              <w:rPr>
                <w:sz w:val="16"/>
                <w:szCs w:val="16"/>
              </w:rPr>
            </w:pPr>
          </w:p>
          <w:p w:rsidR="0040350E" w:rsidRPr="00EA2FE4" w:rsidRDefault="0040350E" w:rsidP="000419DF">
            <w:pPr>
              <w:rPr>
                <w:sz w:val="16"/>
                <w:szCs w:val="16"/>
              </w:rPr>
            </w:pPr>
          </w:p>
        </w:tc>
        <w:tc>
          <w:tcPr>
            <w:tcW w:w="1134" w:type="dxa"/>
          </w:tcPr>
          <w:p w:rsidR="0040350E" w:rsidRPr="00EA2FE4" w:rsidRDefault="0040350E" w:rsidP="000419DF">
            <w:pPr>
              <w:rPr>
                <w:sz w:val="16"/>
                <w:szCs w:val="16"/>
              </w:rPr>
            </w:pPr>
            <w:r w:rsidRPr="00EA2FE4">
              <w:rPr>
                <w:sz w:val="16"/>
                <w:szCs w:val="16"/>
              </w:rPr>
              <w:t>X</w:t>
            </w:r>
          </w:p>
        </w:tc>
      </w:tr>
      <w:tr w:rsidR="0040350E" w:rsidRPr="00EA2FE4" w:rsidTr="000419DF">
        <w:tc>
          <w:tcPr>
            <w:tcW w:w="534" w:type="dxa"/>
          </w:tcPr>
          <w:p w:rsidR="0040350E" w:rsidRPr="0040350E" w:rsidRDefault="0040350E" w:rsidP="000419DF">
            <w:pPr>
              <w:rPr>
                <w:sz w:val="15"/>
                <w:szCs w:val="15"/>
              </w:rPr>
            </w:pPr>
            <w:r w:rsidRPr="0040350E">
              <w:rPr>
                <w:sz w:val="15"/>
                <w:szCs w:val="15"/>
              </w:rPr>
              <w:t>7</w:t>
            </w:r>
          </w:p>
        </w:tc>
        <w:tc>
          <w:tcPr>
            <w:tcW w:w="1842" w:type="dxa"/>
          </w:tcPr>
          <w:p w:rsidR="0040350E" w:rsidRPr="0040350E" w:rsidRDefault="0040350E" w:rsidP="000419DF">
            <w:pPr>
              <w:rPr>
                <w:sz w:val="15"/>
                <w:szCs w:val="15"/>
              </w:rPr>
            </w:pPr>
            <w:r w:rsidRPr="0040350E">
              <w:rPr>
                <w:sz w:val="15"/>
                <w:szCs w:val="15"/>
              </w:rPr>
              <w:t>Discharge of mortgage,</w:t>
            </w:r>
          </w:p>
          <w:p w:rsidR="0040350E" w:rsidRPr="0040350E" w:rsidRDefault="0040350E" w:rsidP="000419DF">
            <w:pPr>
              <w:rPr>
                <w:sz w:val="15"/>
                <w:szCs w:val="15"/>
              </w:rPr>
            </w:pPr>
            <w:r w:rsidRPr="0040350E">
              <w:rPr>
                <w:sz w:val="15"/>
                <w:szCs w:val="15"/>
              </w:rPr>
              <w:t>Discharge of mortgage</w:t>
            </w:r>
          </w:p>
          <w:p w:rsidR="0040350E" w:rsidRPr="0040350E" w:rsidRDefault="0040350E" w:rsidP="000419DF">
            <w:pPr>
              <w:rPr>
                <w:sz w:val="15"/>
                <w:szCs w:val="15"/>
              </w:rPr>
            </w:pPr>
          </w:p>
        </w:tc>
        <w:tc>
          <w:tcPr>
            <w:tcW w:w="709" w:type="dxa"/>
          </w:tcPr>
          <w:p w:rsidR="0040350E" w:rsidRPr="00EA2FE4" w:rsidRDefault="0040350E" w:rsidP="000419DF">
            <w:pPr>
              <w:rPr>
                <w:sz w:val="16"/>
                <w:szCs w:val="16"/>
              </w:rPr>
            </w:pPr>
          </w:p>
        </w:tc>
        <w:tc>
          <w:tcPr>
            <w:tcW w:w="709" w:type="dxa"/>
          </w:tcPr>
          <w:p w:rsidR="0040350E" w:rsidRPr="00EA2FE4" w:rsidRDefault="0040350E" w:rsidP="000419DF">
            <w:pPr>
              <w:rPr>
                <w:sz w:val="16"/>
                <w:szCs w:val="16"/>
              </w:rPr>
            </w:pPr>
            <w:r w:rsidRPr="00EA2FE4">
              <w:rPr>
                <w:sz w:val="16"/>
                <w:szCs w:val="16"/>
              </w:rPr>
              <w:sym w:font="Wingdings" w:char="F0FC"/>
            </w:r>
          </w:p>
          <w:p w:rsidR="0040350E" w:rsidRPr="00EA2FE4" w:rsidRDefault="0040350E" w:rsidP="000419DF">
            <w:pPr>
              <w:rPr>
                <w:sz w:val="16"/>
                <w:szCs w:val="16"/>
              </w:rPr>
            </w:pPr>
            <w:r w:rsidRPr="00EA2FE4">
              <w:rPr>
                <w:sz w:val="16"/>
                <w:szCs w:val="16"/>
              </w:rPr>
              <w:sym w:font="Wingdings" w:char="F0FC"/>
            </w:r>
          </w:p>
        </w:tc>
        <w:tc>
          <w:tcPr>
            <w:tcW w:w="1134" w:type="dxa"/>
          </w:tcPr>
          <w:p w:rsidR="0040350E" w:rsidRPr="00EA2FE4" w:rsidRDefault="0040350E" w:rsidP="000419DF">
            <w:pPr>
              <w:rPr>
                <w:sz w:val="16"/>
                <w:szCs w:val="16"/>
              </w:rPr>
            </w:pPr>
            <w:r w:rsidRPr="00EA2FE4">
              <w:rPr>
                <w:sz w:val="16"/>
                <w:szCs w:val="16"/>
              </w:rPr>
              <w:sym w:font="Wingdings" w:char="F0FC"/>
            </w:r>
          </w:p>
        </w:tc>
      </w:tr>
      <w:tr w:rsidR="0040350E" w:rsidRPr="00EA2FE4" w:rsidTr="000419DF">
        <w:tc>
          <w:tcPr>
            <w:tcW w:w="534" w:type="dxa"/>
          </w:tcPr>
          <w:p w:rsidR="0040350E" w:rsidRPr="0040350E" w:rsidRDefault="0040350E" w:rsidP="000419DF">
            <w:pPr>
              <w:rPr>
                <w:sz w:val="15"/>
                <w:szCs w:val="15"/>
              </w:rPr>
            </w:pPr>
            <w:r w:rsidRPr="0040350E">
              <w:rPr>
                <w:sz w:val="15"/>
                <w:szCs w:val="15"/>
              </w:rPr>
              <w:t>8</w:t>
            </w:r>
          </w:p>
        </w:tc>
        <w:tc>
          <w:tcPr>
            <w:tcW w:w="1842" w:type="dxa"/>
          </w:tcPr>
          <w:p w:rsidR="0040350E" w:rsidRPr="0040350E" w:rsidRDefault="0040350E" w:rsidP="000419DF">
            <w:pPr>
              <w:rPr>
                <w:sz w:val="15"/>
                <w:szCs w:val="15"/>
              </w:rPr>
            </w:pPr>
            <w:r w:rsidRPr="0040350E">
              <w:rPr>
                <w:sz w:val="15"/>
                <w:szCs w:val="15"/>
              </w:rPr>
              <w:t>Discharge of mortgage,</w:t>
            </w:r>
          </w:p>
          <w:p w:rsidR="0040350E" w:rsidRPr="0040350E" w:rsidRDefault="0040350E" w:rsidP="000419DF">
            <w:pPr>
              <w:rPr>
                <w:sz w:val="15"/>
                <w:szCs w:val="15"/>
              </w:rPr>
            </w:pPr>
            <w:r w:rsidRPr="0040350E">
              <w:rPr>
                <w:sz w:val="15"/>
                <w:szCs w:val="15"/>
              </w:rPr>
              <w:t>Survivorship application</w:t>
            </w:r>
          </w:p>
        </w:tc>
        <w:tc>
          <w:tcPr>
            <w:tcW w:w="709" w:type="dxa"/>
          </w:tcPr>
          <w:p w:rsidR="0040350E" w:rsidRPr="00EA2FE4" w:rsidRDefault="0040350E" w:rsidP="000419DF">
            <w:pPr>
              <w:rPr>
                <w:sz w:val="16"/>
                <w:szCs w:val="16"/>
              </w:rPr>
            </w:pPr>
            <w:r w:rsidRPr="00EA2FE4">
              <w:rPr>
                <w:sz w:val="16"/>
                <w:szCs w:val="16"/>
              </w:rPr>
              <w:sym w:font="Wingdings" w:char="F0FC"/>
            </w:r>
          </w:p>
          <w:p w:rsidR="0040350E" w:rsidRPr="00EA2FE4" w:rsidRDefault="0040350E" w:rsidP="000419DF">
            <w:pPr>
              <w:rPr>
                <w:sz w:val="16"/>
                <w:szCs w:val="16"/>
              </w:rPr>
            </w:pPr>
            <w:r w:rsidRPr="00EA2FE4">
              <w:rPr>
                <w:sz w:val="16"/>
                <w:szCs w:val="16"/>
              </w:rPr>
              <w:sym w:font="Wingdings" w:char="F0FC"/>
            </w:r>
          </w:p>
        </w:tc>
        <w:tc>
          <w:tcPr>
            <w:tcW w:w="709" w:type="dxa"/>
          </w:tcPr>
          <w:p w:rsidR="0040350E" w:rsidRPr="00EA2FE4" w:rsidRDefault="0040350E" w:rsidP="000419DF">
            <w:pPr>
              <w:rPr>
                <w:sz w:val="16"/>
                <w:szCs w:val="16"/>
              </w:rPr>
            </w:pPr>
          </w:p>
        </w:tc>
        <w:tc>
          <w:tcPr>
            <w:tcW w:w="1134" w:type="dxa"/>
          </w:tcPr>
          <w:p w:rsidR="0040350E" w:rsidRPr="00EA2FE4" w:rsidRDefault="0040350E" w:rsidP="000419DF">
            <w:pPr>
              <w:rPr>
                <w:sz w:val="16"/>
                <w:szCs w:val="16"/>
              </w:rPr>
            </w:pPr>
            <w:r w:rsidRPr="00EA2FE4">
              <w:rPr>
                <w:sz w:val="16"/>
                <w:szCs w:val="16"/>
              </w:rPr>
              <w:sym w:font="Wingdings" w:char="F0FC"/>
            </w:r>
          </w:p>
        </w:tc>
      </w:tr>
    </w:tbl>
    <w:p w:rsidR="00115118" w:rsidRDefault="00115118" w:rsidP="005644EE">
      <w:pPr>
        <w:pStyle w:val="HA"/>
      </w:pPr>
      <w:r>
        <w:lastRenderedPageBreak/>
        <w:t>Frequently asked questions</w:t>
      </w:r>
    </w:p>
    <w:p w:rsidR="00115118" w:rsidRPr="00115118" w:rsidRDefault="00115118" w:rsidP="00050C4E">
      <w:pPr>
        <w:pStyle w:val="Body"/>
        <w:ind w:left="426" w:hanging="426"/>
        <w:rPr>
          <w:b/>
        </w:rPr>
      </w:pPr>
      <w:r w:rsidRPr="00115118">
        <w:rPr>
          <w:b/>
        </w:rPr>
        <w:t>Q1</w:t>
      </w:r>
      <w:r w:rsidRPr="00115118">
        <w:rPr>
          <w:b/>
        </w:rPr>
        <w:tab/>
        <w:t>A mortgagor arranges to refinance a property with another financial institution to enable completion of major renovations</w:t>
      </w:r>
      <w:r w:rsidR="003330EF">
        <w:rPr>
          <w:b/>
        </w:rPr>
        <w:t xml:space="preserve">. </w:t>
      </w:r>
      <w:r w:rsidRPr="00115118">
        <w:rPr>
          <w:b/>
        </w:rPr>
        <w:t xml:space="preserve">Will this </w:t>
      </w:r>
      <w:r w:rsidR="003330EF">
        <w:rPr>
          <w:b/>
        </w:rPr>
        <w:t xml:space="preserve">need </w:t>
      </w:r>
      <w:r w:rsidRPr="00115118">
        <w:rPr>
          <w:b/>
        </w:rPr>
        <w:t xml:space="preserve">to be lodged electronically? </w:t>
      </w:r>
    </w:p>
    <w:p w:rsidR="00115118" w:rsidRDefault="00115118" w:rsidP="00050C4E">
      <w:pPr>
        <w:pStyle w:val="Body"/>
        <w:ind w:left="426" w:hanging="426"/>
      </w:pPr>
      <w:r w:rsidRPr="00050C4E">
        <w:rPr>
          <w:b/>
        </w:rPr>
        <w:t>A1</w:t>
      </w:r>
      <w:r>
        <w:tab/>
        <w:t xml:space="preserve">If lodged separately, the documents in this transaction </w:t>
      </w:r>
      <w:r w:rsidR="003330EF">
        <w:t xml:space="preserve">must be lodged in PEXA. </w:t>
      </w:r>
      <w:r>
        <w:t>If lodged together, this transaction can be lodged</w:t>
      </w:r>
      <w:r w:rsidR="003330EF" w:rsidRPr="003330EF">
        <w:t xml:space="preserve"> </w:t>
      </w:r>
      <w:r w:rsidR="003330EF">
        <w:t>either in PEXA or o</w:t>
      </w:r>
      <w:r>
        <w:t xml:space="preserve">n paper. </w:t>
      </w:r>
    </w:p>
    <w:p w:rsidR="00115118" w:rsidRPr="00115118" w:rsidRDefault="00115118" w:rsidP="00050C4E">
      <w:pPr>
        <w:pStyle w:val="Body"/>
        <w:ind w:left="426" w:hanging="426"/>
        <w:rPr>
          <w:b/>
        </w:rPr>
      </w:pPr>
      <w:r w:rsidRPr="00115118">
        <w:rPr>
          <w:b/>
        </w:rPr>
        <w:t>Q2</w:t>
      </w:r>
      <w:r w:rsidRPr="00115118">
        <w:rPr>
          <w:b/>
        </w:rPr>
        <w:tab/>
        <w:t>A transferee arranges mortgage finance to complete the purc</w:t>
      </w:r>
      <w:r w:rsidR="00050C4E">
        <w:rPr>
          <w:b/>
        </w:rPr>
        <w:t>hase of unencumbered property. Does this need</w:t>
      </w:r>
      <w:r w:rsidRPr="00115118">
        <w:rPr>
          <w:b/>
        </w:rPr>
        <w:t xml:space="preserve"> to be lodged electronically?</w:t>
      </w:r>
    </w:p>
    <w:p w:rsidR="00115118" w:rsidRPr="00115118" w:rsidRDefault="00115118" w:rsidP="00050C4E">
      <w:pPr>
        <w:pStyle w:val="Body"/>
        <w:ind w:left="426" w:hanging="426"/>
      </w:pPr>
      <w:r w:rsidRPr="00050C4E">
        <w:rPr>
          <w:b/>
        </w:rPr>
        <w:t>A2</w:t>
      </w:r>
      <w:r w:rsidRPr="00115118">
        <w:tab/>
      </w:r>
      <w:r w:rsidR="00050C4E">
        <w:t xml:space="preserve">When </w:t>
      </w:r>
      <w:r w:rsidRPr="00115118">
        <w:t>the mortgage is one to which the National Credit Code applies:</w:t>
      </w:r>
    </w:p>
    <w:p w:rsidR="00115118" w:rsidRDefault="00050C4E" w:rsidP="00050C4E">
      <w:pPr>
        <w:pStyle w:val="Bullet"/>
        <w:tabs>
          <w:tab w:val="clear" w:pos="170"/>
          <w:tab w:val="left" w:pos="426"/>
        </w:tabs>
        <w:ind w:left="426" w:hanging="426"/>
      </w:pPr>
      <w:r>
        <w:t>i</w:t>
      </w:r>
      <w:r w:rsidR="00115118">
        <w:t xml:space="preserve">f lodged separately, the mortgage in this transaction must be lodged in PEXA – the transfer can be lodged either </w:t>
      </w:r>
      <w:r>
        <w:t>in PEXA or o</w:t>
      </w:r>
      <w:r w:rsidR="00115118">
        <w:t xml:space="preserve">n paper </w:t>
      </w:r>
    </w:p>
    <w:p w:rsidR="00115118" w:rsidRDefault="00050C4E" w:rsidP="00050C4E">
      <w:pPr>
        <w:pStyle w:val="Bullet"/>
        <w:tabs>
          <w:tab w:val="clear" w:pos="170"/>
          <w:tab w:val="left" w:pos="426"/>
        </w:tabs>
        <w:ind w:left="426" w:hanging="426"/>
      </w:pPr>
      <w:r>
        <w:t>i</w:t>
      </w:r>
      <w:r w:rsidR="00115118">
        <w:t>f lodged together, th</w:t>
      </w:r>
      <w:r>
        <w:t>e</w:t>
      </w:r>
      <w:r w:rsidR="00115118">
        <w:t xml:space="preserve"> transaction can be lodged </w:t>
      </w:r>
      <w:r>
        <w:t xml:space="preserve">either </w:t>
      </w:r>
      <w:r w:rsidR="005644EE">
        <w:t>in PEXA or o</w:t>
      </w:r>
      <w:r w:rsidR="00115118">
        <w:t>n paper.</w:t>
      </w:r>
    </w:p>
    <w:p w:rsidR="00115118" w:rsidRPr="00115118" w:rsidRDefault="00115118" w:rsidP="00050C4E">
      <w:pPr>
        <w:pStyle w:val="Body"/>
        <w:ind w:left="426" w:hanging="426"/>
        <w:rPr>
          <w:b/>
        </w:rPr>
      </w:pPr>
      <w:r w:rsidRPr="00115118">
        <w:rPr>
          <w:b/>
        </w:rPr>
        <w:t>Q3</w:t>
      </w:r>
      <w:r w:rsidRPr="00115118">
        <w:rPr>
          <w:b/>
        </w:rPr>
        <w:tab/>
        <w:t>A mortgagor owns two properties encumbered by mortgage</w:t>
      </w:r>
      <w:r w:rsidR="00050C4E">
        <w:rPr>
          <w:b/>
        </w:rPr>
        <w:t>s</w:t>
      </w:r>
      <w:r w:rsidRPr="00115118">
        <w:rPr>
          <w:b/>
        </w:rPr>
        <w:t xml:space="preserve"> to </w:t>
      </w:r>
      <w:r w:rsidR="00050C4E">
        <w:rPr>
          <w:b/>
        </w:rPr>
        <w:t xml:space="preserve">two different mortgagees. </w:t>
      </w:r>
      <w:r w:rsidRPr="00115118">
        <w:rPr>
          <w:b/>
        </w:rPr>
        <w:t xml:space="preserve">The mortgagor arranges to refinance with a single </w:t>
      </w:r>
      <w:r w:rsidR="00050C4E">
        <w:rPr>
          <w:b/>
        </w:rPr>
        <w:t xml:space="preserve">mortgage over both properties. Does this need </w:t>
      </w:r>
      <w:r w:rsidRPr="00115118">
        <w:rPr>
          <w:b/>
        </w:rPr>
        <w:t>to be lodged electronically?</w:t>
      </w:r>
    </w:p>
    <w:p w:rsidR="0050470E" w:rsidRDefault="0050470E" w:rsidP="0050470E">
      <w:pPr>
        <w:pStyle w:val="Body"/>
        <w:ind w:left="426" w:hanging="426"/>
      </w:pPr>
      <w:r w:rsidRPr="00050C4E">
        <w:rPr>
          <w:b/>
        </w:rPr>
        <w:t>A3</w:t>
      </w:r>
      <w:r>
        <w:tab/>
      </w:r>
      <w:r w:rsidR="00E34F07">
        <w:t>When</w:t>
      </w:r>
      <w:r>
        <w:t xml:space="preserve"> the mortgage is one to which the National Credit Code applies:</w:t>
      </w:r>
    </w:p>
    <w:p w:rsidR="0050470E" w:rsidRDefault="0050470E" w:rsidP="0050470E">
      <w:pPr>
        <w:pStyle w:val="Bullet"/>
        <w:tabs>
          <w:tab w:val="clear" w:pos="170"/>
          <w:tab w:val="left" w:pos="426"/>
        </w:tabs>
        <w:ind w:left="426" w:hanging="426"/>
      </w:pPr>
      <w:r>
        <w:t>if lodged separately, the documents in this transaction must be lodged in PEXA</w:t>
      </w:r>
    </w:p>
    <w:p w:rsidR="0050470E" w:rsidRDefault="0050470E" w:rsidP="0050470E">
      <w:pPr>
        <w:pStyle w:val="Bullet"/>
        <w:tabs>
          <w:tab w:val="clear" w:pos="170"/>
          <w:tab w:val="clear" w:pos="720"/>
          <w:tab w:val="left" w:pos="-8364"/>
        </w:tabs>
        <w:ind w:left="426" w:hanging="426"/>
      </w:pPr>
      <w:r>
        <w:rPr>
          <w:rFonts w:eastAsia="Calibri"/>
          <w:noProof/>
          <w:lang w:eastAsia="en-AU"/>
        </w:rPr>
        <mc:AlternateContent>
          <mc:Choice Requires="wps">
            <w:drawing>
              <wp:anchor distT="0" distB="0" distL="114300" distR="114300" simplePos="0" relativeHeight="251661824" behindDoc="0" locked="0" layoutInCell="1" allowOverlap="1" wp14:anchorId="420151FC" wp14:editId="47B308AA">
                <wp:simplePos x="0" y="0"/>
                <wp:positionH relativeFrom="column">
                  <wp:posOffset>-429895</wp:posOffset>
                </wp:positionH>
                <wp:positionV relativeFrom="paragraph">
                  <wp:posOffset>391151</wp:posOffset>
                </wp:positionV>
                <wp:extent cx="6682740" cy="1938271"/>
                <wp:effectExtent l="0" t="0" r="22860" b="24130"/>
                <wp:wrapNone/>
                <wp:docPr id="5" name="Text Box 5"/>
                <wp:cNvGraphicFramePr/>
                <a:graphic xmlns:a="http://schemas.openxmlformats.org/drawingml/2006/main">
                  <a:graphicData uri="http://schemas.microsoft.com/office/word/2010/wordprocessingShape">
                    <wps:wsp>
                      <wps:cNvSpPr txBox="1"/>
                      <wps:spPr>
                        <a:xfrm>
                          <a:off x="0" y="0"/>
                          <a:ext cx="6682740" cy="1938271"/>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8E30E4" w:rsidRDefault="00FA59C1" w:rsidP="008157DC">
                                  <w:pPr>
                                    <w:pStyle w:val="ImprintText"/>
                                    <w:rPr>
                                      <w:sz w:val="14"/>
                                    </w:rPr>
                                  </w:pPr>
                                  <w:r w:rsidRPr="008E30E4">
                                    <w:rPr>
                                      <w:sz w:val="14"/>
                                    </w:rPr>
                                    <w:t xml:space="preserve">© The State of Victoria Department of Environment, Land, Water and </w:t>
                                  </w:r>
                                  <w:r w:rsidRPr="008E30E4">
                                    <w:rPr>
                                      <w:sz w:val="14"/>
                                    </w:rPr>
                                    <w:br/>
                                    <w:t>Planning 2016</w:t>
                                  </w:r>
                                </w:p>
                                <w:p w:rsidR="00FA59C1" w:rsidRPr="0040350E" w:rsidRDefault="00FA59C1" w:rsidP="008157DC">
                                  <w:pPr>
                                    <w:pStyle w:val="ImprintText"/>
                                    <w:rPr>
                                      <w:sz w:val="14"/>
                                    </w:rPr>
                                  </w:pPr>
                                  <w:r w:rsidRPr="008E30E4">
                                    <w:rPr>
                                      <w:noProof/>
                                      <w:sz w:val="14"/>
                                      <w:lang w:eastAsia="en-AU"/>
                                    </w:rPr>
                                    <w:drawing>
                                      <wp:inline distT="0" distB="0" distL="0" distR="0" wp14:anchorId="2C54C6AA" wp14:editId="4B562666">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8E30E4">
                                    <w:rPr>
                                      <w:sz w:val="14"/>
                                    </w:rPr>
                                    <w:t xml:space="preserve">This work is licensed under a </w:t>
                                  </w:r>
                                  <w:hyperlink r:id="rId12" w:history="1">
                                    <w:r w:rsidRPr="008E30E4">
                                      <w:rPr>
                                        <w:rStyle w:val="Hyperlink"/>
                                        <w:color w:val="auto"/>
                                        <w:sz w:val="14"/>
                                        <w:u w:val="none"/>
                                      </w:rPr>
                                      <w:t>Creative Commons Attribution 4.0 International licence</w:t>
                                    </w:r>
                                  </w:hyperlink>
                                  <w:r w:rsidRPr="008E30E4">
                                    <w:rPr>
                                      <w:sz w:val="14"/>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3" w:history="1">
                                    <w:r w:rsidRPr="008E30E4">
                                      <w:rPr>
                                        <w:rStyle w:val="Hyperlink"/>
                                        <w:color w:val="auto"/>
                                        <w:sz w:val="14"/>
                                        <w:u w:val="none"/>
                                      </w:rPr>
                                      <w:t>http://creativecommons.org/licenses/by/4.0/</w:t>
                                    </w:r>
                                  </w:hyperlink>
                                  <w:r w:rsidR="0040350E">
                                    <w:rPr>
                                      <w:sz w:val="14"/>
                                    </w:rPr>
                                    <w:br/>
                                  </w:r>
                                  <w:r w:rsidRPr="008E30E4">
                                    <w:rPr>
                                      <w:b/>
                                      <w:bCs/>
                                      <w:sz w:val="14"/>
                                    </w:rPr>
                                    <w:t>Disclaimer</w:t>
                                  </w:r>
                                  <w:r w:rsidRPr="008E30E4">
                                    <w:rPr>
                                      <w:sz w:val="14"/>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Pr="008E30E4" w:rsidRDefault="00FA59C1" w:rsidP="008157DC">
                                  <w:pPr>
                                    <w:pStyle w:val="ImprintText"/>
                                    <w:rPr>
                                      <w:sz w:val="24"/>
                                      <w:szCs w:val="24"/>
                                    </w:rPr>
                                  </w:pPr>
                                  <w:r w:rsidRPr="008E30E4">
                                    <w:rPr>
                                      <w:b/>
                                      <w:bCs/>
                                      <w:sz w:val="24"/>
                                      <w:szCs w:val="24"/>
                                    </w:rPr>
                                    <w:t>Accessibility</w:t>
                                  </w:r>
                                </w:p>
                                <w:p w:rsidR="00FA59C1" w:rsidRPr="00BE2F5F" w:rsidRDefault="00A040AB" w:rsidP="00A040AB">
                                  <w:pPr>
                                    <w:pStyle w:val="ImprintText"/>
                                    <w:rPr>
                                      <w:sz w:val="28"/>
                                      <w:szCs w:val="28"/>
                                    </w:rPr>
                                  </w:pPr>
                                  <w:r w:rsidRPr="008E30E4">
                                    <w:rPr>
                                      <w:rFonts w:cs="Calibri"/>
                                      <w:color w:val="000000"/>
                                      <w:sz w:val="24"/>
                                      <w:szCs w:val="24"/>
                                      <w:lang w:eastAsia="en-AU"/>
                                    </w:rPr>
                                    <w:t xml:space="preserve">If you would like to receive this publication in an alternative format, please telephone DELWP Customer Service Centre on 136 186 or email </w:t>
                                  </w:r>
                                  <w:hyperlink r:id="rId14" w:history="1">
                                    <w:r w:rsidRPr="008E30E4">
                                      <w:rPr>
                                        <w:rFonts w:cs="Calibri"/>
                                        <w:color w:val="000000"/>
                                        <w:sz w:val="24"/>
                                        <w:szCs w:val="24"/>
                                        <w:lang w:eastAsia="en-AU"/>
                                      </w:rPr>
                                      <w:t>customer.service@delwp.vic.gov.au</w:t>
                                    </w:r>
                                  </w:hyperlink>
                                  <w:r w:rsidRPr="008E30E4">
                                    <w:rPr>
                                      <w:rFonts w:cs="Calibri"/>
                                      <w:color w:val="000000"/>
                                      <w:sz w:val="24"/>
                                      <w:szCs w:val="24"/>
                                      <w:lang w:eastAsia="en-AU"/>
                                    </w:rPr>
                                    <w:t>. Alternatively, telephone the National Relay Service on 133 677 (</w:t>
                                  </w:r>
                                  <w:hyperlink r:id="rId15" w:history="1">
                                    <w:r w:rsidRPr="008E30E4">
                                      <w:rPr>
                                        <w:rFonts w:cs="Calibri"/>
                                        <w:color w:val="000000"/>
                                        <w:sz w:val="24"/>
                                        <w:szCs w:val="24"/>
                                        <w:lang w:eastAsia="en-AU"/>
                                      </w:rPr>
                                      <w:t>www.relayservice.com.au)</w:t>
                                    </w:r>
                                  </w:hyperlink>
                                  <w:r w:rsidRPr="008E30E4">
                                    <w:rPr>
                                      <w:rFonts w:cs="Calibri"/>
                                      <w:color w:val="000000"/>
                                      <w:sz w:val="24"/>
                                      <w:szCs w:val="24"/>
                                      <w:lang w:eastAsia="en-AU"/>
                                    </w:rPr>
                                    <w:t xml:space="preserve">. This document is also available on the internet at </w:t>
                                  </w:r>
                                  <w:hyperlink r:id="rId16" w:history="1">
                                    <w:r w:rsidRPr="008E30E4">
                                      <w:rPr>
                                        <w:rFonts w:cs="Calibri"/>
                                        <w:color w:val="000000"/>
                                        <w:sz w:val="24"/>
                                        <w:szCs w:val="24"/>
                                        <w:lang w:eastAsia="en-AU"/>
                                      </w:rPr>
                                      <w:t>www.delwp.vic.gov.au</w:t>
                                    </w:r>
                                  </w:hyperlink>
                                  <w:r w:rsidRPr="008E30E4">
                                    <w:rPr>
                                      <w:rFonts w:ascii="Helv" w:hAnsi="Helv" w:cs="Helv"/>
                                      <w:color w:val="000000"/>
                                      <w:sz w:val="24"/>
                                      <w:szCs w:val="24"/>
                                      <w:lang w:eastAsia="en-AU"/>
                                    </w:rPr>
                                    <w:t>.</w:t>
                                  </w:r>
                                  <w:r w:rsidR="00FA59C1" w:rsidRPr="00BE2F5F">
                                    <w:rPr>
                                      <w:b/>
                                      <w:bCs/>
                                      <w:sz w:val="28"/>
                                      <w:szCs w:val="28"/>
                                    </w:rPr>
                                    <w:br/>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3.85pt;margin-top:30.8pt;width:526.2pt;height:15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8E30E4" w:rsidRDefault="00FA59C1" w:rsidP="008157DC">
                            <w:pPr>
                              <w:pStyle w:val="ImprintText"/>
                              <w:rPr>
                                <w:sz w:val="14"/>
                              </w:rPr>
                            </w:pPr>
                            <w:r w:rsidRPr="008E30E4">
                              <w:rPr>
                                <w:sz w:val="14"/>
                              </w:rPr>
                              <w:t xml:space="preserve">© The State of Victoria Department of Environment, Land, Water and </w:t>
                            </w:r>
                            <w:r w:rsidRPr="008E30E4">
                              <w:rPr>
                                <w:sz w:val="14"/>
                              </w:rPr>
                              <w:br/>
                              <w:t>Planning 2016</w:t>
                            </w:r>
                          </w:p>
                          <w:p w:rsidR="00FA59C1" w:rsidRPr="0040350E" w:rsidRDefault="00FA59C1" w:rsidP="008157DC">
                            <w:pPr>
                              <w:pStyle w:val="ImprintText"/>
                              <w:rPr>
                                <w:sz w:val="14"/>
                              </w:rPr>
                            </w:pPr>
                            <w:r w:rsidRPr="008E30E4">
                              <w:rPr>
                                <w:noProof/>
                                <w:sz w:val="14"/>
                                <w:lang w:eastAsia="en-AU"/>
                              </w:rPr>
                              <w:drawing>
                                <wp:inline distT="0" distB="0" distL="0" distR="0" wp14:anchorId="2C54C6AA" wp14:editId="4B562666">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8E30E4">
                              <w:rPr>
                                <w:sz w:val="14"/>
                              </w:rPr>
                              <w:t xml:space="preserve">This work is licensed under a </w:t>
                            </w:r>
                            <w:hyperlink r:id="rId17" w:history="1">
                              <w:r w:rsidRPr="008E30E4">
                                <w:rPr>
                                  <w:rStyle w:val="Hyperlink"/>
                                  <w:color w:val="auto"/>
                                  <w:sz w:val="14"/>
                                  <w:u w:val="none"/>
                                </w:rPr>
                                <w:t>Creative Commons Attribution 4.0 International licence</w:t>
                              </w:r>
                            </w:hyperlink>
                            <w:r w:rsidRPr="008E30E4">
                              <w:rPr>
                                <w:sz w:val="14"/>
                              </w:rPr>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Pr="008E30E4">
                                <w:rPr>
                                  <w:rStyle w:val="Hyperlink"/>
                                  <w:color w:val="auto"/>
                                  <w:sz w:val="14"/>
                                  <w:u w:val="none"/>
                                </w:rPr>
                                <w:t>http://creativecommons.org/licenses/by/4.0/</w:t>
                              </w:r>
                            </w:hyperlink>
                            <w:r w:rsidR="0040350E">
                              <w:rPr>
                                <w:sz w:val="14"/>
                              </w:rPr>
                              <w:br/>
                            </w:r>
                            <w:r w:rsidRPr="008E30E4">
                              <w:rPr>
                                <w:b/>
                                <w:bCs/>
                                <w:sz w:val="14"/>
                              </w:rPr>
                              <w:t>Disclaimer</w:t>
                            </w:r>
                            <w:r w:rsidRPr="008E30E4">
                              <w:rPr>
                                <w:sz w:val="14"/>
                              </w:rPr>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Pr="008E30E4" w:rsidRDefault="00FA59C1" w:rsidP="008157DC">
                            <w:pPr>
                              <w:pStyle w:val="ImprintText"/>
                              <w:rPr>
                                <w:sz w:val="24"/>
                                <w:szCs w:val="24"/>
                              </w:rPr>
                            </w:pPr>
                            <w:r w:rsidRPr="008E30E4">
                              <w:rPr>
                                <w:b/>
                                <w:bCs/>
                                <w:sz w:val="24"/>
                                <w:szCs w:val="24"/>
                              </w:rPr>
                              <w:t>Accessibility</w:t>
                            </w:r>
                          </w:p>
                          <w:p w:rsidR="00FA59C1" w:rsidRPr="00BE2F5F" w:rsidRDefault="00A040AB" w:rsidP="00A040AB">
                            <w:pPr>
                              <w:pStyle w:val="ImprintText"/>
                              <w:rPr>
                                <w:sz w:val="28"/>
                                <w:szCs w:val="28"/>
                              </w:rPr>
                            </w:pPr>
                            <w:r w:rsidRPr="008E30E4">
                              <w:rPr>
                                <w:rFonts w:cs="Calibri"/>
                                <w:color w:val="000000"/>
                                <w:sz w:val="24"/>
                                <w:szCs w:val="24"/>
                                <w:lang w:eastAsia="en-AU"/>
                              </w:rPr>
                              <w:t xml:space="preserve">If you would like to receive this publication in an alternative format, please telephone DELWP Customer Service Centre on 136 186 or email </w:t>
                            </w:r>
                            <w:hyperlink r:id="rId19" w:history="1">
                              <w:r w:rsidRPr="008E30E4">
                                <w:rPr>
                                  <w:rFonts w:cs="Calibri"/>
                                  <w:color w:val="000000"/>
                                  <w:sz w:val="24"/>
                                  <w:szCs w:val="24"/>
                                  <w:lang w:eastAsia="en-AU"/>
                                </w:rPr>
                                <w:t>customer.service@delwp.vic.gov.au</w:t>
                              </w:r>
                            </w:hyperlink>
                            <w:r w:rsidRPr="008E30E4">
                              <w:rPr>
                                <w:rFonts w:cs="Calibri"/>
                                <w:color w:val="000000"/>
                                <w:sz w:val="24"/>
                                <w:szCs w:val="24"/>
                                <w:lang w:eastAsia="en-AU"/>
                              </w:rPr>
                              <w:t>. Alternatively, telephone the National Relay Service on 133 677 (</w:t>
                            </w:r>
                            <w:hyperlink r:id="rId20" w:history="1">
                              <w:r w:rsidRPr="008E30E4">
                                <w:rPr>
                                  <w:rFonts w:cs="Calibri"/>
                                  <w:color w:val="000000"/>
                                  <w:sz w:val="24"/>
                                  <w:szCs w:val="24"/>
                                  <w:lang w:eastAsia="en-AU"/>
                                </w:rPr>
                                <w:t>www.relayservice.com.au)</w:t>
                              </w:r>
                            </w:hyperlink>
                            <w:r w:rsidRPr="008E30E4">
                              <w:rPr>
                                <w:rFonts w:cs="Calibri"/>
                                <w:color w:val="000000"/>
                                <w:sz w:val="24"/>
                                <w:szCs w:val="24"/>
                                <w:lang w:eastAsia="en-AU"/>
                              </w:rPr>
                              <w:t xml:space="preserve">. This document is also available on the internet at </w:t>
                            </w:r>
                            <w:hyperlink r:id="rId21" w:history="1">
                              <w:r w:rsidRPr="008E30E4">
                                <w:rPr>
                                  <w:rFonts w:cs="Calibri"/>
                                  <w:color w:val="000000"/>
                                  <w:sz w:val="24"/>
                                  <w:szCs w:val="24"/>
                                  <w:lang w:eastAsia="en-AU"/>
                                </w:rPr>
                                <w:t>www.delwp.vic.gov.au</w:t>
                              </w:r>
                            </w:hyperlink>
                            <w:r w:rsidRPr="008E30E4">
                              <w:rPr>
                                <w:rFonts w:ascii="Helv" w:hAnsi="Helv" w:cs="Helv"/>
                                <w:color w:val="000000"/>
                                <w:sz w:val="24"/>
                                <w:szCs w:val="24"/>
                                <w:lang w:eastAsia="en-AU"/>
                              </w:rPr>
                              <w:t>.</w:t>
                            </w:r>
                            <w:r w:rsidR="00FA59C1" w:rsidRPr="00BE2F5F">
                              <w:rPr>
                                <w:b/>
                                <w:bCs/>
                                <w:sz w:val="28"/>
                                <w:szCs w:val="28"/>
                              </w:rPr>
                              <w:br/>
                            </w:r>
                          </w:p>
                        </w:tc>
                      </w:tr>
                    </w:tbl>
                    <w:p w:rsidR="00FA59C1" w:rsidRDefault="00FA59C1" w:rsidP="00FA59C1"/>
                  </w:txbxContent>
                </v:textbox>
              </v:shape>
            </w:pict>
          </mc:Fallback>
        </mc:AlternateContent>
      </w:r>
      <w:r>
        <w:t xml:space="preserve">if lodged together, this transaction can be lodged either in PEXA or on paper. </w:t>
      </w:r>
    </w:p>
    <w:p w:rsidR="008E30E4" w:rsidRDefault="008E30E4" w:rsidP="00050C4E">
      <w:pPr>
        <w:pStyle w:val="Body"/>
        <w:ind w:left="426" w:hanging="426"/>
        <w:rPr>
          <w:b/>
        </w:rPr>
      </w:pPr>
    </w:p>
    <w:p w:rsidR="008E30E4" w:rsidRDefault="008E30E4" w:rsidP="00050C4E">
      <w:pPr>
        <w:pStyle w:val="Body"/>
        <w:ind w:left="426" w:hanging="426"/>
        <w:rPr>
          <w:b/>
        </w:rPr>
      </w:pPr>
    </w:p>
    <w:p w:rsidR="008E30E4" w:rsidRDefault="008E30E4" w:rsidP="00050C4E">
      <w:pPr>
        <w:pStyle w:val="Body"/>
        <w:ind w:left="426" w:hanging="426"/>
        <w:rPr>
          <w:b/>
        </w:rPr>
      </w:pPr>
    </w:p>
    <w:p w:rsidR="008E30E4" w:rsidRDefault="008E30E4" w:rsidP="00050C4E">
      <w:pPr>
        <w:pStyle w:val="Body"/>
        <w:ind w:left="426" w:hanging="426"/>
        <w:rPr>
          <w:b/>
        </w:rPr>
      </w:pPr>
    </w:p>
    <w:p w:rsidR="008E30E4" w:rsidRDefault="008E30E4" w:rsidP="00050C4E">
      <w:pPr>
        <w:pStyle w:val="Body"/>
        <w:ind w:left="426" w:hanging="426"/>
        <w:rPr>
          <w:b/>
        </w:rPr>
      </w:pPr>
    </w:p>
    <w:p w:rsidR="008E30E4" w:rsidRDefault="008E30E4" w:rsidP="00050C4E">
      <w:pPr>
        <w:pStyle w:val="Body"/>
        <w:ind w:left="426" w:hanging="426"/>
        <w:rPr>
          <w:b/>
        </w:rPr>
      </w:pPr>
    </w:p>
    <w:p w:rsidR="008E30E4" w:rsidRDefault="008E30E4" w:rsidP="00050C4E">
      <w:pPr>
        <w:pStyle w:val="Body"/>
        <w:ind w:left="426" w:hanging="426"/>
        <w:rPr>
          <w:b/>
        </w:rPr>
      </w:pPr>
    </w:p>
    <w:p w:rsidR="00115118" w:rsidRPr="00115118" w:rsidRDefault="00115118" w:rsidP="00115118">
      <w:pPr>
        <w:pStyle w:val="Body"/>
        <w:ind w:left="360" w:hanging="360"/>
        <w:rPr>
          <w:b/>
        </w:rPr>
      </w:pPr>
      <w:r w:rsidRPr="00115118">
        <w:rPr>
          <w:b/>
        </w:rPr>
        <w:lastRenderedPageBreak/>
        <w:t>Q4</w:t>
      </w:r>
      <w:r w:rsidRPr="00115118">
        <w:rPr>
          <w:b/>
        </w:rPr>
        <w:tab/>
        <w:t xml:space="preserve">A mortgagee is requested to provide a discharge of mortgage and </w:t>
      </w:r>
      <w:r w:rsidR="005644EE">
        <w:rPr>
          <w:b/>
        </w:rPr>
        <w:t>C</w:t>
      </w:r>
      <w:r w:rsidRPr="00115118">
        <w:rPr>
          <w:b/>
        </w:rPr>
        <w:t xml:space="preserve">ertificate of </w:t>
      </w:r>
      <w:r w:rsidR="005644EE">
        <w:rPr>
          <w:b/>
        </w:rPr>
        <w:t>T</w:t>
      </w:r>
      <w:r w:rsidRPr="00115118">
        <w:rPr>
          <w:b/>
        </w:rPr>
        <w:t>itle to the registered proprietor</w:t>
      </w:r>
      <w:r w:rsidR="005644EE">
        <w:rPr>
          <w:b/>
        </w:rPr>
        <w:t>,</w:t>
      </w:r>
      <w:r w:rsidRPr="00115118">
        <w:rPr>
          <w:b/>
        </w:rPr>
        <w:t xml:space="preserve"> who intends to lodge them with a survivorship application over the same folio</w:t>
      </w:r>
      <w:r w:rsidR="008E30E4">
        <w:rPr>
          <w:b/>
        </w:rPr>
        <w:t xml:space="preserve">. </w:t>
      </w:r>
      <w:r w:rsidRPr="00115118">
        <w:rPr>
          <w:b/>
        </w:rPr>
        <w:t>Can the mortgagee comply with this request?</w:t>
      </w:r>
    </w:p>
    <w:p w:rsidR="00115118" w:rsidRDefault="00115118" w:rsidP="00115118">
      <w:pPr>
        <w:pStyle w:val="Body"/>
        <w:ind w:left="360" w:hanging="360"/>
      </w:pPr>
      <w:r w:rsidRPr="00050C4E">
        <w:rPr>
          <w:b/>
        </w:rPr>
        <w:t>A4</w:t>
      </w:r>
      <w:r>
        <w:tab/>
        <w:t xml:space="preserve">The mortgagee cannot comply with this </w:t>
      </w:r>
      <w:r w:rsidR="005644EE">
        <w:t xml:space="preserve">request. </w:t>
      </w:r>
      <w:r>
        <w:t xml:space="preserve">The mortgagee must first discharge the mortgage then return the unencumbered </w:t>
      </w:r>
      <w:r w:rsidR="005644EE">
        <w:t>C</w:t>
      </w:r>
      <w:r>
        <w:t xml:space="preserve">ertificate of </w:t>
      </w:r>
      <w:r w:rsidR="005644EE">
        <w:t>T</w:t>
      </w:r>
      <w:r>
        <w:t>itle</w:t>
      </w:r>
      <w:r w:rsidR="008E30E4">
        <w:t xml:space="preserve"> to the registered proprietor. </w:t>
      </w:r>
      <w:r>
        <w:t xml:space="preserve">The survivorship application and supporting </w:t>
      </w:r>
      <w:r w:rsidR="005644EE">
        <w:t>C</w:t>
      </w:r>
      <w:r>
        <w:t xml:space="preserve">ertificate of </w:t>
      </w:r>
      <w:r w:rsidR="005644EE">
        <w:t>T</w:t>
      </w:r>
      <w:r>
        <w:t>itle can then be lodged by, or on behalf of, the registered proprietor.</w:t>
      </w:r>
    </w:p>
    <w:p w:rsidR="00115118" w:rsidRDefault="00115118" w:rsidP="00115118">
      <w:pPr>
        <w:pStyle w:val="HA"/>
      </w:pPr>
      <w:r>
        <w:t>Further information</w:t>
      </w:r>
    </w:p>
    <w:p w:rsidR="00115118" w:rsidRDefault="00843526" w:rsidP="00115118">
      <w:pPr>
        <w:pStyle w:val="Body"/>
      </w:pPr>
      <w:hyperlink r:id="rId22" w:history="1">
        <w:r w:rsidR="00115118" w:rsidRPr="005644EE">
          <w:rPr>
            <w:rStyle w:val="Hyperlink"/>
            <w:rFonts w:eastAsiaTheme="majorEastAsia"/>
          </w:rPr>
          <w:t xml:space="preserve">Registrar’s Requirements for </w:t>
        </w:r>
        <w:r w:rsidR="0050470E">
          <w:rPr>
            <w:rStyle w:val="Hyperlink"/>
            <w:rFonts w:eastAsiaTheme="majorEastAsia"/>
          </w:rPr>
          <w:t>P</w:t>
        </w:r>
        <w:r w:rsidR="00115118" w:rsidRPr="005644EE">
          <w:rPr>
            <w:rStyle w:val="Hyperlink"/>
            <w:rFonts w:eastAsiaTheme="majorEastAsia"/>
          </w:rPr>
          <w:t xml:space="preserve">aper </w:t>
        </w:r>
        <w:r w:rsidR="0050470E">
          <w:rPr>
            <w:rStyle w:val="Hyperlink"/>
            <w:rFonts w:eastAsiaTheme="majorEastAsia"/>
          </w:rPr>
          <w:t>C</w:t>
        </w:r>
        <w:r w:rsidR="00115118" w:rsidRPr="005644EE">
          <w:rPr>
            <w:rStyle w:val="Hyperlink"/>
            <w:rFonts w:eastAsiaTheme="majorEastAsia"/>
          </w:rPr>
          <w:t>onveyancing</w:t>
        </w:r>
      </w:hyperlink>
      <w:r w:rsidR="00115118" w:rsidRPr="00115118">
        <w:rPr>
          <w:rFonts w:eastAsiaTheme="majorEastAsia"/>
        </w:rPr>
        <w:t xml:space="preserve"> </w:t>
      </w:r>
      <w:r w:rsidR="00115118" w:rsidRPr="00115118">
        <w:t xml:space="preserve">at </w:t>
      </w:r>
      <w:hyperlink r:id="rId23" w:history="1">
        <w:r w:rsidR="0050470E" w:rsidRPr="00722D60">
          <w:rPr>
            <w:rStyle w:val="Hyperlink"/>
          </w:rPr>
          <w:t>www.delwp.vic.gov.au/publications</w:t>
        </w:r>
      </w:hyperlink>
      <w:r w:rsidR="00115118">
        <w:t>.</w:t>
      </w:r>
    </w:p>
    <w:p w:rsidR="0040350E" w:rsidRPr="00115118" w:rsidRDefault="00843526" w:rsidP="00115118">
      <w:pPr>
        <w:pStyle w:val="Body"/>
      </w:pPr>
      <w:hyperlink r:id="rId24" w:history="1">
        <w:r w:rsidR="0040350E" w:rsidRPr="0040350E">
          <w:rPr>
            <w:rStyle w:val="Hyperlink"/>
          </w:rPr>
          <w:t>Guide to mortgage</w:t>
        </w:r>
      </w:hyperlink>
      <w:r w:rsidR="0040350E" w:rsidRPr="0040350E">
        <w:t xml:space="preserve"> and </w:t>
      </w:r>
      <w:hyperlink r:id="rId25" w:history="1">
        <w:r w:rsidR="0040350E" w:rsidRPr="0040350E">
          <w:rPr>
            <w:rStyle w:val="Hyperlink"/>
          </w:rPr>
          <w:t>Guide to discharge o</w:t>
        </w:r>
        <w:r w:rsidR="00471D27">
          <w:rPr>
            <w:rStyle w:val="Hyperlink"/>
          </w:rPr>
          <w:t>f</w:t>
        </w:r>
        <w:r w:rsidR="0040350E" w:rsidRPr="0040350E">
          <w:rPr>
            <w:rStyle w:val="Hyperlink"/>
          </w:rPr>
          <w:t xml:space="preserve"> mortgage or charge</w:t>
        </w:r>
      </w:hyperlink>
      <w:r w:rsidR="0040350E">
        <w:t xml:space="preserve"> at </w:t>
      </w:r>
      <w:hyperlink r:id="rId26" w:history="1">
        <w:r w:rsidR="0040350E" w:rsidRPr="00722D60">
          <w:rPr>
            <w:rStyle w:val="Hyperlink"/>
          </w:rPr>
          <w:t>www.delwp.vic.gov.au/property-form</w:t>
        </w:r>
      </w:hyperlink>
      <w:r>
        <w:rPr>
          <w:rStyle w:val="Hyperlink"/>
        </w:rPr>
        <w:t>s</w:t>
      </w:r>
      <w:bookmarkStart w:id="1" w:name="_GoBack"/>
      <w:bookmarkEnd w:id="1"/>
      <w:r w:rsidR="0040350E">
        <w:t>&gt;Transfer of Land&gt;Mortgage.</w:t>
      </w:r>
    </w:p>
    <w:p w:rsidR="00115118" w:rsidRPr="00C95766" w:rsidRDefault="00115118" w:rsidP="00115118">
      <w:pPr>
        <w:pStyle w:val="HA"/>
        <w:rPr>
          <w:rFonts w:eastAsia="Calibri"/>
        </w:rPr>
      </w:pPr>
      <w:r w:rsidRPr="00C95766">
        <w:rPr>
          <w:rFonts w:eastAsia="Calibri"/>
        </w:rPr>
        <w:t>Contact us</w:t>
      </w:r>
    </w:p>
    <w:p w:rsidR="00115118" w:rsidRDefault="00115118" w:rsidP="00115118">
      <w:pPr>
        <w:pStyle w:val="Body"/>
        <w:rPr>
          <w:rFonts w:eastAsia="Calibri"/>
        </w:rPr>
      </w:pPr>
      <w:r w:rsidRPr="00C95766">
        <w:rPr>
          <w:rFonts w:eastAsia="Calibri"/>
        </w:rPr>
        <w:t xml:space="preserve">For </w:t>
      </w:r>
      <w:hyperlink r:id="rId27" w:history="1">
        <w:r w:rsidRPr="00C95766">
          <w:rPr>
            <w:rStyle w:val="Hyperlink"/>
            <w:rFonts w:eastAsia="Calibri"/>
          </w:rPr>
          <w:t>location and contact details</w:t>
        </w:r>
      </w:hyperlink>
      <w:r w:rsidRPr="00C95766">
        <w:rPr>
          <w:rFonts w:eastAsia="Calibri"/>
        </w:rPr>
        <w:t xml:space="preserve">, refer to </w:t>
      </w:r>
      <w:hyperlink r:id="rId28" w:history="1">
        <w:r>
          <w:rPr>
            <w:rStyle w:val="Hyperlink"/>
            <w:rFonts w:eastAsia="Calibri"/>
          </w:rPr>
          <w:t>www.delwp.vic.gov.au</w:t>
        </w:r>
        <w:r w:rsidRPr="00C95766">
          <w:rPr>
            <w:rStyle w:val="Hyperlink"/>
            <w:rFonts w:eastAsia="Calibri"/>
          </w:rPr>
          <w:t>/property</w:t>
        </w:r>
      </w:hyperlink>
      <w:r w:rsidRPr="00C95766">
        <w:rPr>
          <w:rFonts w:eastAsia="Calibri"/>
        </w:rPr>
        <w:t>&gt;Contact us.</w:t>
      </w:r>
    </w:p>
    <w:p w:rsidR="00CD0C63" w:rsidRDefault="00CD0C63" w:rsidP="005F0AD3">
      <w:pPr>
        <w:pStyle w:val="Body"/>
        <w:rPr>
          <w:rFonts w:eastAsia="Calibri"/>
        </w:rPr>
      </w:pPr>
    </w:p>
    <w:p w:rsidR="00CD0C63" w:rsidRDefault="00CD0C63"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sectPr w:rsidR="0010250D" w:rsidSect="00D32ADF">
      <w:headerReference w:type="default" r:id="rId29"/>
      <w:footerReference w:type="default" r:id="rId30"/>
      <w:headerReference w:type="first" r:id="rId31"/>
      <w:footerReference w:type="first" r:id="rId32"/>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E4" w:rsidRDefault="00F939E4" w:rsidP="00F939E4">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843526">
      <w:rPr>
        <w:b/>
        <w:noProof/>
        <w:sz w:val="16"/>
        <w:szCs w:val="16"/>
      </w:rPr>
      <w:t>2</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843526">
      <w:rPr>
        <w:b/>
        <w:noProof/>
        <w:sz w:val="16"/>
        <w:szCs w:val="16"/>
      </w:rPr>
      <w:t>2</w:t>
    </w:r>
    <w:r>
      <w:rPr>
        <w:b/>
        <w:sz w:val="16"/>
        <w:szCs w:val="16"/>
      </w:rPr>
      <w:fldChar w:fldCharType="end"/>
    </w: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1DC918FB" wp14:editId="46D01CAA">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76F0673E" wp14:editId="7FB5A4A3">
          <wp:simplePos x="0" y="0"/>
          <wp:positionH relativeFrom="column">
            <wp:posOffset>4522945</wp:posOffset>
          </wp:positionH>
          <wp:positionV relativeFrom="paragraph">
            <wp:posOffset>2446</wp:posOffset>
          </wp:positionV>
          <wp:extent cx="1647943" cy="481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33A7E205" wp14:editId="4A96BBE6">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FF1B15" w:rsidP="00875FE3">
          <w:pPr>
            <w:pStyle w:val="CertHDWhite"/>
            <w:tabs>
              <w:tab w:val="left" w:pos="7513"/>
            </w:tabs>
          </w:pPr>
          <w:r>
            <w:t>Changes to lodging discharges of mortgage</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65BC742F" wp14:editId="09C21D72">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5EF6CBC"/>
    <w:multiLevelType w:val="hybridMultilevel"/>
    <w:tmpl w:val="9362B8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72B60FA"/>
    <w:multiLevelType w:val="hybridMultilevel"/>
    <w:tmpl w:val="5A1425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EE2C62"/>
    <w:multiLevelType w:val="hybridMultilevel"/>
    <w:tmpl w:val="C896CC04"/>
    <w:lvl w:ilvl="0" w:tplc="0158EAF6">
      <w:start w:val="1"/>
      <w:numFmt w:val="bullet"/>
      <w:pStyle w:val="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BE23EF"/>
    <w:multiLevelType w:val="hybridMultilevel"/>
    <w:tmpl w:val="5F8E588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6CBC458E"/>
    <w:multiLevelType w:val="hybridMultilevel"/>
    <w:tmpl w:val="C3726A06"/>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D18740C"/>
    <w:multiLevelType w:val="hybridMultilevel"/>
    <w:tmpl w:val="A42E1C20"/>
    <w:lvl w:ilvl="0" w:tplc="A4F847C6">
      <w:start w:val="1"/>
      <w:numFmt w:val="bullet"/>
      <w:pStyle w:val="Style1"/>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3">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4"/>
  </w:num>
  <w:num w:numId="14">
    <w:abstractNumId w:val="16"/>
  </w:num>
  <w:num w:numId="15">
    <w:abstractNumId w:val="21"/>
  </w:num>
  <w:num w:numId="16">
    <w:abstractNumId w:val="11"/>
  </w:num>
  <w:num w:numId="17">
    <w:abstractNumId w:val="21"/>
  </w:num>
  <w:num w:numId="18">
    <w:abstractNumId w:val="21"/>
  </w:num>
  <w:num w:numId="19">
    <w:abstractNumId w:val="21"/>
  </w:num>
  <w:num w:numId="20">
    <w:abstractNumId w:val="10"/>
  </w:num>
  <w:num w:numId="21">
    <w:abstractNumId w:val="12"/>
  </w:num>
  <w:num w:numId="22">
    <w:abstractNumId w:val="17"/>
  </w:num>
  <w:num w:numId="23">
    <w:abstractNumId w:val="25"/>
  </w:num>
  <w:num w:numId="24">
    <w:abstractNumId w:val="23"/>
  </w:num>
  <w:num w:numId="25">
    <w:abstractNumId w:val="19"/>
  </w:num>
  <w:num w:numId="26">
    <w:abstractNumId w:val="22"/>
  </w:num>
  <w:num w:numId="27">
    <w:abstractNumId w:val="18"/>
  </w:num>
  <w:num w:numId="28">
    <w:abstractNumId w:val="15"/>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205AA"/>
    <w:rsid w:val="0003050C"/>
    <w:rsid w:val="00034D96"/>
    <w:rsid w:val="0003535F"/>
    <w:rsid w:val="0004692B"/>
    <w:rsid w:val="00050C4E"/>
    <w:rsid w:val="00055FEF"/>
    <w:rsid w:val="00063E31"/>
    <w:rsid w:val="00080331"/>
    <w:rsid w:val="00080DC3"/>
    <w:rsid w:val="00081567"/>
    <w:rsid w:val="0008754B"/>
    <w:rsid w:val="00091E87"/>
    <w:rsid w:val="0009699E"/>
    <w:rsid w:val="000C3259"/>
    <w:rsid w:val="000C39E4"/>
    <w:rsid w:val="001024CD"/>
    <w:rsid w:val="0010250D"/>
    <w:rsid w:val="00111704"/>
    <w:rsid w:val="00115118"/>
    <w:rsid w:val="00120C40"/>
    <w:rsid w:val="00120F3F"/>
    <w:rsid w:val="00125376"/>
    <w:rsid w:val="00135491"/>
    <w:rsid w:val="00154577"/>
    <w:rsid w:val="0016111E"/>
    <w:rsid w:val="001726DA"/>
    <w:rsid w:val="00177115"/>
    <w:rsid w:val="00181FBC"/>
    <w:rsid w:val="001963AD"/>
    <w:rsid w:val="001A243B"/>
    <w:rsid w:val="001C3014"/>
    <w:rsid w:val="001E2024"/>
    <w:rsid w:val="002015AD"/>
    <w:rsid w:val="0020255B"/>
    <w:rsid w:val="00203493"/>
    <w:rsid w:val="002122D2"/>
    <w:rsid w:val="00217D52"/>
    <w:rsid w:val="00236DA4"/>
    <w:rsid w:val="00246D68"/>
    <w:rsid w:val="002526EA"/>
    <w:rsid w:val="00261DCB"/>
    <w:rsid w:val="00271B91"/>
    <w:rsid w:val="00285925"/>
    <w:rsid w:val="00285A4A"/>
    <w:rsid w:val="00294AD3"/>
    <w:rsid w:val="002B696E"/>
    <w:rsid w:val="002C12E4"/>
    <w:rsid w:val="002C4BC3"/>
    <w:rsid w:val="002C5BA2"/>
    <w:rsid w:val="002D3CC8"/>
    <w:rsid w:val="002D680B"/>
    <w:rsid w:val="002E2EC1"/>
    <w:rsid w:val="00321F9E"/>
    <w:rsid w:val="00330679"/>
    <w:rsid w:val="003330EF"/>
    <w:rsid w:val="003C2962"/>
    <w:rsid w:val="003E0B9A"/>
    <w:rsid w:val="003E7835"/>
    <w:rsid w:val="003F437F"/>
    <w:rsid w:val="003F5A5C"/>
    <w:rsid w:val="003F620E"/>
    <w:rsid w:val="0040350E"/>
    <w:rsid w:val="00404EF3"/>
    <w:rsid w:val="0043348E"/>
    <w:rsid w:val="00440A01"/>
    <w:rsid w:val="004426E1"/>
    <w:rsid w:val="00455AC0"/>
    <w:rsid w:val="004651A0"/>
    <w:rsid w:val="00471D27"/>
    <w:rsid w:val="0047538B"/>
    <w:rsid w:val="004969C1"/>
    <w:rsid w:val="004A6591"/>
    <w:rsid w:val="004E4BDF"/>
    <w:rsid w:val="004E6888"/>
    <w:rsid w:val="004F1151"/>
    <w:rsid w:val="0050470E"/>
    <w:rsid w:val="0050769F"/>
    <w:rsid w:val="00512102"/>
    <w:rsid w:val="005229C6"/>
    <w:rsid w:val="00524C52"/>
    <w:rsid w:val="005304F7"/>
    <w:rsid w:val="00534B38"/>
    <w:rsid w:val="00540762"/>
    <w:rsid w:val="00544B68"/>
    <w:rsid w:val="00557AFB"/>
    <w:rsid w:val="00557B17"/>
    <w:rsid w:val="005644EE"/>
    <w:rsid w:val="00570F3C"/>
    <w:rsid w:val="00573E23"/>
    <w:rsid w:val="0057597B"/>
    <w:rsid w:val="00575F3A"/>
    <w:rsid w:val="00582724"/>
    <w:rsid w:val="005B3CE8"/>
    <w:rsid w:val="005D0E31"/>
    <w:rsid w:val="005F0AD3"/>
    <w:rsid w:val="00603134"/>
    <w:rsid w:val="00606451"/>
    <w:rsid w:val="00623482"/>
    <w:rsid w:val="006322A4"/>
    <w:rsid w:val="00644C88"/>
    <w:rsid w:val="00656186"/>
    <w:rsid w:val="006741C5"/>
    <w:rsid w:val="00675636"/>
    <w:rsid w:val="006A6F35"/>
    <w:rsid w:val="006B4688"/>
    <w:rsid w:val="006D1A0E"/>
    <w:rsid w:val="006F53DB"/>
    <w:rsid w:val="006F707D"/>
    <w:rsid w:val="00701AB2"/>
    <w:rsid w:val="0070362A"/>
    <w:rsid w:val="00713637"/>
    <w:rsid w:val="0072604A"/>
    <w:rsid w:val="00731631"/>
    <w:rsid w:val="00735B3A"/>
    <w:rsid w:val="007429A1"/>
    <w:rsid w:val="00742A50"/>
    <w:rsid w:val="00752E36"/>
    <w:rsid w:val="00756A07"/>
    <w:rsid w:val="007702BD"/>
    <w:rsid w:val="00797365"/>
    <w:rsid w:val="007B0E45"/>
    <w:rsid w:val="007B1469"/>
    <w:rsid w:val="007B62F8"/>
    <w:rsid w:val="007B6E26"/>
    <w:rsid w:val="007E3E33"/>
    <w:rsid w:val="007F5211"/>
    <w:rsid w:val="00824C60"/>
    <w:rsid w:val="0083541B"/>
    <w:rsid w:val="00843526"/>
    <w:rsid w:val="00845986"/>
    <w:rsid w:val="00865A63"/>
    <w:rsid w:val="00872BAF"/>
    <w:rsid w:val="008732EE"/>
    <w:rsid w:val="00875FE3"/>
    <w:rsid w:val="008832F9"/>
    <w:rsid w:val="008A3B87"/>
    <w:rsid w:val="008A4553"/>
    <w:rsid w:val="008A6BBA"/>
    <w:rsid w:val="008B61B5"/>
    <w:rsid w:val="008C1B1D"/>
    <w:rsid w:val="008E30E4"/>
    <w:rsid w:val="008E615F"/>
    <w:rsid w:val="008F4932"/>
    <w:rsid w:val="00903B32"/>
    <w:rsid w:val="00920AEF"/>
    <w:rsid w:val="00926BDE"/>
    <w:rsid w:val="00927E6A"/>
    <w:rsid w:val="00943CAD"/>
    <w:rsid w:val="00953344"/>
    <w:rsid w:val="00962D3B"/>
    <w:rsid w:val="00972191"/>
    <w:rsid w:val="00981EA2"/>
    <w:rsid w:val="009872FB"/>
    <w:rsid w:val="009C3B5A"/>
    <w:rsid w:val="009D2876"/>
    <w:rsid w:val="009E666D"/>
    <w:rsid w:val="009E66AE"/>
    <w:rsid w:val="009F2D92"/>
    <w:rsid w:val="009F6491"/>
    <w:rsid w:val="00A0021E"/>
    <w:rsid w:val="00A02127"/>
    <w:rsid w:val="00A03F08"/>
    <w:rsid w:val="00A040AB"/>
    <w:rsid w:val="00A04614"/>
    <w:rsid w:val="00A11FE6"/>
    <w:rsid w:val="00A357C2"/>
    <w:rsid w:val="00A36BC9"/>
    <w:rsid w:val="00A37BFA"/>
    <w:rsid w:val="00A4593C"/>
    <w:rsid w:val="00A56C4D"/>
    <w:rsid w:val="00A6450E"/>
    <w:rsid w:val="00A67D11"/>
    <w:rsid w:val="00A730A4"/>
    <w:rsid w:val="00A83A7C"/>
    <w:rsid w:val="00A85593"/>
    <w:rsid w:val="00AA6401"/>
    <w:rsid w:val="00AC0ECF"/>
    <w:rsid w:val="00AF4DB4"/>
    <w:rsid w:val="00B068DA"/>
    <w:rsid w:val="00B077CF"/>
    <w:rsid w:val="00B137B4"/>
    <w:rsid w:val="00B24A07"/>
    <w:rsid w:val="00B32877"/>
    <w:rsid w:val="00B41D15"/>
    <w:rsid w:val="00B475BF"/>
    <w:rsid w:val="00B87CF6"/>
    <w:rsid w:val="00B923D2"/>
    <w:rsid w:val="00B95745"/>
    <w:rsid w:val="00BB37E4"/>
    <w:rsid w:val="00BB47F6"/>
    <w:rsid w:val="00BC0B9F"/>
    <w:rsid w:val="00BD4BC3"/>
    <w:rsid w:val="00BE0FCF"/>
    <w:rsid w:val="00BE6752"/>
    <w:rsid w:val="00BF62F9"/>
    <w:rsid w:val="00C01738"/>
    <w:rsid w:val="00C061DD"/>
    <w:rsid w:val="00C1278F"/>
    <w:rsid w:val="00C12A10"/>
    <w:rsid w:val="00C25238"/>
    <w:rsid w:val="00C36059"/>
    <w:rsid w:val="00C403BA"/>
    <w:rsid w:val="00C46B5E"/>
    <w:rsid w:val="00C53610"/>
    <w:rsid w:val="00C6101A"/>
    <w:rsid w:val="00C651CE"/>
    <w:rsid w:val="00C73267"/>
    <w:rsid w:val="00C772CA"/>
    <w:rsid w:val="00C86B17"/>
    <w:rsid w:val="00CA19B7"/>
    <w:rsid w:val="00CD0C63"/>
    <w:rsid w:val="00CD5180"/>
    <w:rsid w:val="00CE10A1"/>
    <w:rsid w:val="00CF5E50"/>
    <w:rsid w:val="00D031F0"/>
    <w:rsid w:val="00D033C6"/>
    <w:rsid w:val="00D114E4"/>
    <w:rsid w:val="00D11924"/>
    <w:rsid w:val="00D13102"/>
    <w:rsid w:val="00D32ADF"/>
    <w:rsid w:val="00D33BE6"/>
    <w:rsid w:val="00D42526"/>
    <w:rsid w:val="00D444E8"/>
    <w:rsid w:val="00D54DE0"/>
    <w:rsid w:val="00D57FF0"/>
    <w:rsid w:val="00D634D8"/>
    <w:rsid w:val="00D80C65"/>
    <w:rsid w:val="00DA0042"/>
    <w:rsid w:val="00DC68E1"/>
    <w:rsid w:val="00DD06A2"/>
    <w:rsid w:val="00DD0AB3"/>
    <w:rsid w:val="00DD3436"/>
    <w:rsid w:val="00DE2624"/>
    <w:rsid w:val="00DE5117"/>
    <w:rsid w:val="00DF6665"/>
    <w:rsid w:val="00E07718"/>
    <w:rsid w:val="00E15BD0"/>
    <w:rsid w:val="00E2394C"/>
    <w:rsid w:val="00E30FFD"/>
    <w:rsid w:val="00E325A1"/>
    <w:rsid w:val="00E34F07"/>
    <w:rsid w:val="00E36114"/>
    <w:rsid w:val="00E464E4"/>
    <w:rsid w:val="00E51072"/>
    <w:rsid w:val="00E56D27"/>
    <w:rsid w:val="00E6278D"/>
    <w:rsid w:val="00E661F8"/>
    <w:rsid w:val="00E8448C"/>
    <w:rsid w:val="00E9178F"/>
    <w:rsid w:val="00E93096"/>
    <w:rsid w:val="00E9723E"/>
    <w:rsid w:val="00EA31C2"/>
    <w:rsid w:val="00EA6CA9"/>
    <w:rsid w:val="00EB2BB2"/>
    <w:rsid w:val="00EB75EA"/>
    <w:rsid w:val="00EC446A"/>
    <w:rsid w:val="00EC4DCD"/>
    <w:rsid w:val="00EC6F19"/>
    <w:rsid w:val="00ED7216"/>
    <w:rsid w:val="00F0013D"/>
    <w:rsid w:val="00F13B95"/>
    <w:rsid w:val="00F15CF7"/>
    <w:rsid w:val="00F27E16"/>
    <w:rsid w:val="00F46148"/>
    <w:rsid w:val="00F54CCE"/>
    <w:rsid w:val="00F67782"/>
    <w:rsid w:val="00F708A6"/>
    <w:rsid w:val="00F74678"/>
    <w:rsid w:val="00F83A6F"/>
    <w:rsid w:val="00F845F4"/>
    <w:rsid w:val="00F90742"/>
    <w:rsid w:val="00F910D5"/>
    <w:rsid w:val="00F930FD"/>
    <w:rsid w:val="00F939E4"/>
    <w:rsid w:val="00FA2BC8"/>
    <w:rsid w:val="00FA59C1"/>
    <w:rsid w:val="00FC01F8"/>
    <w:rsid w:val="00FC4BF9"/>
    <w:rsid w:val="00FD34FA"/>
    <w:rsid w:val="00FD674C"/>
    <w:rsid w:val="00FE229F"/>
    <w:rsid w:val="00FE4EB7"/>
    <w:rsid w:val="00FF0FE0"/>
    <w:rsid w:val="00FF1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after="80" w:line="24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115118"/>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5644EE"/>
    <w:pPr>
      <w:spacing w:before="120" w:after="120" w:line="44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paragraph" w:styleId="ListParagraph">
    <w:name w:val="List Paragraph"/>
    <w:basedOn w:val="Normal"/>
    <w:uiPriority w:val="34"/>
    <w:qFormat/>
    <w:rsid w:val="00115118"/>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semiHidden/>
    <w:rsid w:val="00E34F07"/>
    <w:rPr>
      <w:sz w:val="16"/>
      <w:szCs w:val="16"/>
    </w:rPr>
  </w:style>
  <w:style w:type="paragraph" w:styleId="CommentText">
    <w:name w:val="annotation text"/>
    <w:basedOn w:val="Normal"/>
    <w:link w:val="CommentTextChar"/>
    <w:semiHidden/>
    <w:rsid w:val="00E34F07"/>
    <w:pPr>
      <w:spacing w:line="240" w:lineRule="auto"/>
    </w:pPr>
    <w:rPr>
      <w:sz w:val="20"/>
      <w:szCs w:val="20"/>
    </w:rPr>
  </w:style>
  <w:style w:type="character" w:customStyle="1" w:styleId="CommentTextChar">
    <w:name w:val="Comment Text Char"/>
    <w:basedOn w:val="DefaultParagraphFont"/>
    <w:link w:val="CommentText"/>
    <w:semiHidden/>
    <w:rsid w:val="00E34F07"/>
    <w:rPr>
      <w:rFonts w:ascii="Calibri" w:hAnsi="Calibri"/>
      <w:lang w:eastAsia="en-US"/>
    </w:rPr>
  </w:style>
  <w:style w:type="paragraph" w:styleId="CommentSubject">
    <w:name w:val="annotation subject"/>
    <w:basedOn w:val="CommentText"/>
    <w:next w:val="CommentText"/>
    <w:link w:val="CommentSubjectChar"/>
    <w:semiHidden/>
    <w:rsid w:val="00E34F07"/>
    <w:rPr>
      <w:b/>
      <w:bCs/>
    </w:rPr>
  </w:style>
  <w:style w:type="character" w:customStyle="1" w:styleId="CommentSubjectChar">
    <w:name w:val="Comment Subject Char"/>
    <w:basedOn w:val="CommentTextChar"/>
    <w:link w:val="CommentSubject"/>
    <w:semiHidden/>
    <w:rsid w:val="00E34F07"/>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after="80" w:line="24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115118"/>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5644EE"/>
    <w:pPr>
      <w:spacing w:before="120" w:after="120" w:line="44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paragraph" w:styleId="ListParagraph">
    <w:name w:val="List Paragraph"/>
    <w:basedOn w:val="Normal"/>
    <w:uiPriority w:val="34"/>
    <w:qFormat/>
    <w:rsid w:val="00115118"/>
    <w:pPr>
      <w:spacing w:after="200"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semiHidden/>
    <w:rsid w:val="00E34F07"/>
    <w:rPr>
      <w:sz w:val="16"/>
      <w:szCs w:val="16"/>
    </w:rPr>
  </w:style>
  <w:style w:type="paragraph" w:styleId="CommentText">
    <w:name w:val="annotation text"/>
    <w:basedOn w:val="Normal"/>
    <w:link w:val="CommentTextChar"/>
    <w:semiHidden/>
    <w:rsid w:val="00E34F07"/>
    <w:pPr>
      <w:spacing w:line="240" w:lineRule="auto"/>
    </w:pPr>
    <w:rPr>
      <w:sz w:val="20"/>
      <w:szCs w:val="20"/>
    </w:rPr>
  </w:style>
  <w:style w:type="character" w:customStyle="1" w:styleId="CommentTextChar">
    <w:name w:val="Comment Text Char"/>
    <w:basedOn w:val="DefaultParagraphFont"/>
    <w:link w:val="CommentText"/>
    <w:semiHidden/>
    <w:rsid w:val="00E34F07"/>
    <w:rPr>
      <w:rFonts w:ascii="Calibri" w:hAnsi="Calibri"/>
      <w:lang w:eastAsia="en-US"/>
    </w:rPr>
  </w:style>
  <w:style w:type="paragraph" w:styleId="CommentSubject">
    <w:name w:val="annotation subject"/>
    <w:basedOn w:val="CommentText"/>
    <w:next w:val="CommentText"/>
    <w:link w:val="CommentSubjectChar"/>
    <w:semiHidden/>
    <w:rsid w:val="00E34F07"/>
    <w:rPr>
      <w:b/>
      <w:bCs/>
    </w:rPr>
  </w:style>
  <w:style w:type="character" w:customStyle="1" w:styleId="CommentSubjectChar">
    <w:name w:val="Comment Subject Char"/>
    <w:basedOn w:val="CommentTextChar"/>
    <w:link w:val="CommentSubject"/>
    <w:semiHidden/>
    <w:rsid w:val="00E34F07"/>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10221">
      <w:bodyDiv w:val="1"/>
      <w:marLeft w:val="0"/>
      <w:marRight w:val="0"/>
      <w:marTop w:val="0"/>
      <w:marBottom w:val="0"/>
      <w:divBdr>
        <w:top w:val="none" w:sz="0" w:space="0" w:color="auto"/>
        <w:left w:val="none" w:sz="0" w:space="0" w:color="auto"/>
        <w:bottom w:val="none" w:sz="0" w:space="0" w:color="auto"/>
        <w:right w:val="none" w:sz="0" w:space="0" w:color="auto"/>
      </w:divBdr>
    </w:div>
    <w:div w:id="18206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http://creativecommons.org/licenses/by/4.0/" TargetMode="External"/><Relationship Id="rId26" Type="http://schemas.openxmlformats.org/officeDocument/2006/relationships/hyperlink" Target="http://www.delwp.vic.gov.au/property-form" TargetMode="External"/><Relationship Id="rId3" Type="http://schemas.openxmlformats.org/officeDocument/2006/relationships/styles" Target="styles.xml"/><Relationship Id="rId21" Type="http://schemas.openxmlformats.org/officeDocument/2006/relationships/hyperlink" Target="http://www.delwp.vic.gov.a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4.0/" TargetMode="External"/><Relationship Id="rId17" Type="http://schemas.openxmlformats.org/officeDocument/2006/relationships/hyperlink" Target="http://creativecommons.org/licenses/by/4.0/" TargetMode="External"/><Relationship Id="rId25" Type="http://schemas.openxmlformats.org/officeDocument/2006/relationships/hyperlink" Target="http://www.delwp.vic.gov.au/property-and-land-titles/forms,-guides-and-fees/transfer-of-land-ac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lwp.vic.gov.au" TargetMode="External"/><Relationship Id="rId20" Type="http://schemas.openxmlformats.org/officeDocument/2006/relationships/hyperlink" Target="http://www.relayservice.com.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hyperlink" Target="http://www.delwp.vic.gov.au/property-and-land-titles/forms,-guides-and-fees/transfer-of-land-act"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elayservice.com.au" TargetMode="External"/><Relationship Id="rId23" Type="http://schemas.openxmlformats.org/officeDocument/2006/relationships/hyperlink" Target="http://www.delwp.vic.gov.au/publications" TargetMode="External"/><Relationship Id="rId28" Type="http://schemas.openxmlformats.org/officeDocument/2006/relationships/hyperlink" Target="http://www.dtpli.vic.gov.au/property" TargetMode="External"/><Relationship Id="rId10" Type="http://schemas.openxmlformats.org/officeDocument/2006/relationships/hyperlink" Target="https://www.pexa.com.au/register/" TargetMode="External"/><Relationship Id="rId19" Type="http://schemas.openxmlformats.org/officeDocument/2006/relationships/hyperlink" Target="mailto:customer.service@delwp.vic.gov.a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pexa.com.au/register/" TargetMode="External"/><Relationship Id="rId14" Type="http://schemas.openxmlformats.org/officeDocument/2006/relationships/hyperlink" Target="mailto:customer.service@delwp.vic.gov.au" TargetMode="External"/><Relationship Id="rId22" Type="http://schemas.openxmlformats.org/officeDocument/2006/relationships/hyperlink" Target="http://www.dtpli.vic.gov.au/property-and-land-titles/publications" TargetMode="External"/><Relationship Id="rId27" Type="http://schemas.openxmlformats.org/officeDocument/2006/relationships/hyperlink" Target="http://www.dtpli.vic.gov.au/property-and-land-titles/contact-us"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1C2A-528D-4B40-9D6D-7C75CE50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712</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2016-05-18T04:17:00Z</dcterms:created>
  <dcterms:modified xsi:type="dcterms:W3CDTF">2016-05-19T05:11:00Z</dcterms:modified>
</cp:coreProperties>
</file>