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79"/>
        <w:tblW w:w="9904" w:type="dxa"/>
        <w:tblLook w:val="01E0" w:firstRow="1" w:lastRow="1" w:firstColumn="1" w:lastColumn="1" w:noHBand="0" w:noVBand="0"/>
      </w:tblPr>
      <w:tblGrid>
        <w:gridCol w:w="10120"/>
      </w:tblGrid>
      <w:tr w:rsidR="00F74678" w:rsidRPr="00F74678" w:rsidTr="00261DCB">
        <w:trPr>
          <w:trHeight w:hRule="exact" w:val="2683"/>
        </w:trPr>
        <w:tc>
          <w:tcPr>
            <w:tcW w:w="9904" w:type="dxa"/>
            <w:shd w:val="clear" w:color="auto" w:fill="auto"/>
          </w:tcPr>
          <w:tbl>
            <w:tblPr>
              <w:tblpPr w:leftFromText="181" w:rightFromText="181" w:tblpY="-906"/>
              <w:tblW w:w="9904" w:type="dxa"/>
              <w:tblLook w:val="01E0" w:firstRow="1" w:lastRow="1" w:firstColumn="1" w:lastColumn="1" w:noHBand="0" w:noVBand="0"/>
            </w:tblPr>
            <w:tblGrid>
              <w:gridCol w:w="9904"/>
            </w:tblGrid>
            <w:tr w:rsidR="00CF23D2" w:rsidRPr="00F74678" w:rsidTr="00FD3A18">
              <w:trPr>
                <w:trHeight w:hRule="exact" w:val="2410"/>
              </w:trPr>
              <w:tc>
                <w:tcPr>
                  <w:tcW w:w="9904" w:type="dxa"/>
                  <w:shd w:val="clear" w:color="auto" w:fill="auto"/>
                </w:tcPr>
                <w:p w:rsidR="00CF23D2" w:rsidRDefault="00CF23D2" w:rsidP="00CF23D2">
                  <w:pPr>
                    <w:pStyle w:val="CertHBWhite"/>
                  </w:pPr>
                  <w:r>
                    <w:t>Land Victoria</w:t>
                  </w:r>
                </w:p>
                <w:p w:rsidR="00CF23D2" w:rsidRPr="00DE5117" w:rsidRDefault="00CF23D2" w:rsidP="00CF23D2">
                  <w:pPr>
                    <w:pStyle w:val="CertHBWhite"/>
                  </w:pPr>
                  <w:r>
                    <w:rPr>
                      <w:noProof/>
                      <w:lang w:eastAsia="en-AU"/>
                    </w:rPr>
                    <mc:AlternateContent>
                      <mc:Choice Requires="wps">
                        <w:drawing>
                          <wp:anchor distT="0" distB="0" distL="114300" distR="114300" simplePos="0" relativeHeight="251661824" behindDoc="0" locked="0" layoutInCell="1" allowOverlap="1" wp14:anchorId="12D63C34" wp14:editId="3FD0481E">
                            <wp:simplePos x="0" y="0"/>
                            <wp:positionH relativeFrom="column">
                              <wp:posOffset>-72390</wp:posOffset>
                            </wp:positionH>
                            <wp:positionV relativeFrom="paragraph">
                              <wp:posOffset>587292</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3D2" w:rsidRPr="00887805" w:rsidRDefault="00CF23D2" w:rsidP="00CF23D2">
                                        <w:pPr>
                                          <w:pStyle w:val="CertHDWhite"/>
                                        </w:pPr>
                                        <w:r w:rsidRPr="00A26A7D">
                                          <w:t xml:space="preserve">Edition </w:t>
                                        </w:r>
                                        <w:r>
                                          <w:t>15</w:t>
                                        </w:r>
                                        <w:r w:rsidR="007F3283">
                                          <w:t>9</w:t>
                                        </w:r>
                                        <w:r>
                                          <w:t xml:space="preserve"> </w:t>
                                        </w:r>
                                        <w:r w:rsidR="007F3283">
                                          <w:t>August</w:t>
                                        </w:r>
                                        <w:r w:rsidRPr="00A26A7D">
                                          <w:t xml:space="preserve"> 201</w:t>
                                        </w:r>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46.25pt;width:440pt;height:2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AhAta94AAAAKAQAADwAAAGRycy9kb3ducmV2LnhtbEyPwU7DMBBE70j8g7VI3Fo7VROlaZwK&#10;gbiCaAGJmxtvk6jxOordJvw9ywmOq3maeVvuZteLK46h86QhWSoQSLW3HTUa3g/PixxEiIas6T2h&#10;hm8MsKtub0pTWD/RG173sRFcQqEwGtoYh0LKULfoTFj6AYmzkx+diXyOjbSjmbjc9XKlVCad6YgX&#10;WjPgY4v1eX9xGj5eTl+fa/XaPLl0mPysJLmN1Pr+bn7Ygog4xz8YfvVZHSp2OvoL2SB6DYskWTOq&#10;YbNKQTCQZ3kG4shkmiQgq1L+f6H6AQAA//8DAFBLAQItABQABgAIAAAAIQC2gziS/gAAAOEBAAAT&#10;AAAAAAAAAAAAAAAAAAAAAABbQ29udGVudF9UeXBlc10ueG1sUEsBAi0AFAAGAAgAAAAhADj9If/W&#10;AAAAlAEAAAsAAAAAAAAAAAAAAAAALwEAAF9yZWxzLy5yZWxzUEsBAi0AFAAGAAgAAAAhAKUAhNu6&#10;AgAAuQUAAA4AAAAAAAAAAAAAAAAALgIAAGRycy9lMm9Eb2MueG1sUEsBAi0AFAAGAAgAAAAhAAIQ&#10;LWveAAAACgEAAA8AAAAAAAAAAAAAAAAAFAUAAGRycy9kb3ducmV2LnhtbFBLBQYAAAAABAAEAPMA&#10;AAAfBgAAAAA=&#10;" filled="f" stroked="f">
                            <v:textbox>
                              <w:txbxContent>
                                <w:p w:rsidR="00CF23D2" w:rsidRPr="00887805" w:rsidRDefault="00CF23D2" w:rsidP="00CF23D2">
                                  <w:pPr>
                                    <w:pStyle w:val="CertHDWhite"/>
                                  </w:pPr>
                                  <w:r w:rsidRPr="00A26A7D">
                                    <w:t xml:space="preserve">Edition </w:t>
                                  </w:r>
                                  <w:r>
                                    <w:t>15</w:t>
                                  </w:r>
                                  <w:r w:rsidR="007F3283">
                                    <w:t>9</w:t>
                                  </w:r>
                                  <w:r>
                                    <w:t xml:space="preserve"> </w:t>
                                  </w:r>
                                  <w:r w:rsidR="007F3283">
                                    <w:t>August</w:t>
                                  </w:r>
                                  <w:r w:rsidRPr="00A26A7D">
                                    <w:t xml:space="preserve"> 201</w:t>
                                  </w:r>
                                  <w:r>
                                    <w:t>6</w:t>
                                  </w:r>
                                </w:p>
                              </w:txbxContent>
                            </v:textbox>
                          </v:shape>
                        </w:pict>
                      </mc:Fallback>
                    </mc:AlternateContent>
                  </w:r>
                  <w:r>
                    <w:t>Customer Information Bulletin</w:t>
                  </w:r>
                </w:p>
              </w:tc>
            </w:tr>
          </w:tbl>
          <w:p w:rsidR="00F74678" w:rsidRPr="00DE5117" w:rsidRDefault="00F74678" w:rsidP="00077758">
            <w:pPr>
              <w:pStyle w:val="CertHBWhite"/>
              <w:spacing w:before="240" w:after="240"/>
            </w:pPr>
          </w:p>
        </w:tc>
      </w:tr>
    </w:tbl>
    <w:p w:rsidR="00E2394C" w:rsidRDefault="00206709" w:rsidP="00CB54C5">
      <w:pPr>
        <w:pStyle w:val="HA"/>
        <w:rPr>
          <w:rFonts w:eastAsia="Calibri"/>
        </w:rPr>
      </w:pPr>
      <w:bookmarkStart w:id="0" w:name="Here"/>
      <w:bookmarkEnd w:id="0"/>
      <w:r w:rsidRPr="00206709">
        <w:rPr>
          <w:rFonts w:eastAsia="Calibri"/>
        </w:rPr>
        <w:t>Registrar’s requirements for paper conveyancing transactions</w:t>
      </w:r>
    </w:p>
    <w:p w:rsidR="00206709" w:rsidRPr="00206709" w:rsidRDefault="00206709" w:rsidP="00206709">
      <w:pPr>
        <w:pStyle w:val="Body"/>
        <w:rPr>
          <w:rFonts w:eastAsia="Calibri"/>
        </w:rPr>
      </w:pPr>
      <w:r w:rsidRPr="00206709">
        <w:rPr>
          <w:rFonts w:eastAsia="Calibri"/>
        </w:rPr>
        <w:t xml:space="preserve">Following are the requirements and dates on which the Registrar’s Requirements </w:t>
      </w:r>
      <w:r w:rsidR="00CC4218">
        <w:rPr>
          <w:rFonts w:eastAsia="Calibri"/>
        </w:rPr>
        <w:t xml:space="preserve">took or will </w:t>
      </w:r>
      <w:r w:rsidRPr="00206709">
        <w:rPr>
          <w:rFonts w:eastAsia="Calibri"/>
        </w:rPr>
        <w:t>take effect.</w:t>
      </w:r>
    </w:p>
    <w:p w:rsidR="00206709" w:rsidRPr="00206709" w:rsidRDefault="00206709" w:rsidP="00206709">
      <w:pPr>
        <w:pStyle w:val="HD"/>
        <w:rPr>
          <w:rFonts w:eastAsia="Calibri"/>
        </w:rPr>
      </w:pPr>
      <w:r w:rsidRPr="00206709">
        <w:rPr>
          <w:rFonts w:eastAsia="Calibri"/>
        </w:rPr>
        <w:t>2016</w:t>
      </w:r>
    </w:p>
    <w:p w:rsidR="00206709" w:rsidRPr="00206709" w:rsidRDefault="00206709" w:rsidP="00206709">
      <w:pPr>
        <w:pStyle w:val="Body"/>
        <w:rPr>
          <w:rFonts w:eastAsia="Calibri"/>
        </w:rPr>
      </w:pPr>
      <w:r w:rsidRPr="00206709">
        <w:rPr>
          <w:rFonts w:eastAsia="Calibri"/>
        </w:rPr>
        <w:t>1 March</w:t>
      </w:r>
    </w:p>
    <w:p w:rsidR="00206709" w:rsidRPr="00206709" w:rsidRDefault="00206709" w:rsidP="00206709">
      <w:pPr>
        <w:pStyle w:val="Bullet"/>
        <w:rPr>
          <w:rFonts w:eastAsia="Calibri"/>
        </w:rPr>
      </w:pPr>
      <w:r w:rsidRPr="00206709">
        <w:rPr>
          <w:rFonts w:eastAsia="Calibri"/>
        </w:rPr>
        <w:t>Discharges of mortgage to be lodged by the mortgagee.</w:t>
      </w:r>
    </w:p>
    <w:p w:rsidR="00206709" w:rsidRPr="00206709" w:rsidRDefault="00206709" w:rsidP="00206709">
      <w:pPr>
        <w:pStyle w:val="Body"/>
        <w:rPr>
          <w:rFonts w:eastAsia="Calibri"/>
        </w:rPr>
      </w:pPr>
      <w:r w:rsidRPr="00206709">
        <w:rPr>
          <w:rFonts w:eastAsia="Calibri"/>
        </w:rPr>
        <w:t>1 August</w:t>
      </w:r>
    </w:p>
    <w:p w:rsidR="00206709" w:rsidRPr="00206709" w:rsidRDefault="00206709" w:rsidP="00206709">
      <w:pPr>
        <w:pStyle w:val="Bullet"/>
        <w:rPr>
          <w:rFonts w:eastAsia="Calibri"/>
        </w:rPr>
      </w:pPr>
      <w:r w:rsidRPr="00206709">
        <w:rPr>
          <w:rFonts w:eastAsia="Calibri"/>
        </w:rPr>
        <w:t>Discharges of mortgage and some mortgages to be lodged electronically.</w:t>
      </w:r>
    </w:p>
    <w:p w:rsidR="00206709" w:rsidRPr="00206709" w:rsidRDefault="007916A5" w:rsidP="00206709">
      <w:pPr>
        <w:pStyle w:val="Body"/>
        <w:rPr>
          <w:rFonts w:eastAsia="Calibri"/>
        </w:rPr>
      </w:pPr>
      <w:r>
        <w:rPr>
          <w:rFonts w:eastAsia="Calibri"/>
        </w:rPr>
        <w:t xml:space="preserve">22 </w:t>
      </w:r>
      <w:r w:rsidR="00206709" w:rsidRPr="00206709">
        <w:rPr>
          <w:rFonts w:eastAsia="Calibri"/>
        </w:rPr>
        <w:t>October</w:t>
      </w:r>
    </w:p>
    <w:p w:rsidR="00206709" w:rsidRPr="00206709" w:rsidRDefault="007916A5" w:rsidP="00206709">
      <w:pPr>
        <w:pStyle w:val="Bullet"/>
        <w:rPr>
          <w:rFonts w:eastAsia="Calibri"/>
        </w:rPr>
      </w:pPr>
      <w:r>
        <w:rPr>
          <w:rFonts w:eastAsia="Calibri"/>
        </w:rPr>
        <w:t>Bulk c</w:t>
      </w:r>
      <w:r w:rsidR="00206709" w:rsidRPr="00206709">
        <w:rPr>
          <w:rFonts w:eastAsia="Calibri"/>
        </w:rPr>
        <w:t xml:space="preserve">onversion of </w:t>
      </w:r>
      <w:r>
        <w:rPr>
          <w:rFonts w:eastAsia="Calibri"/>
        </w:rPr>
        <w:t xml:space="preserve">some </w:t>
      </w:r>
      <w:r w:rsidR="00206709" w:rsidRPr="00206709">
        <w:rPr>
          <w:rFonts w:eastAsia="Calibri"/>
        </w:rPr>
        <w:t xml:space="preserve">paper </w:t>
      </w:r>
      <w:r w:rsidR="00CA799C">
        <w:rPr>
          <w:rFonts w:eastAsia="Calibri"/>
        </w:rPr>
        <w:t>C</w:t>
      </w:r>
      <w:r w:rsidR="00206709" w:rsidRPr="00206709">
        <w:rPr>
          <w:rFonts w:eastAsia="Calibri"/>
        </w:rPr>
        <w:t xml:space="preserve">ertificates of </w:t>
      </w:r>
      <w:r w:rsidR="00CA799C">
        <w:rPr>
          <w:rFonts w:eastAsia="Calibri"/>
        </w:rPr>
        <w:t>T</w:t>
      </w:r>
      <w:r w:rsidR="00206709" w:rsidRPr="00206709">
        <w:rPr>
          <w:rFonts w:eastAsia="Calibri"/>
        </w:rPr>
        <w:t xml:space="preserve">itle to electronic </w:t>
      </w:r>
      <w:r w:rsidR="00CA799C">
        <w:rPr>
          <w:rFonts w:eastAsia="Calibri"/>
        </w:rPr>
        <w:t>C</w:t>
      </w:r>
      <w:r w:rsidR="00206709" w:rsidRPr="00206709">
        <w:rPr>
          <w:rFonts w:eastAsia="Calibri"/>
        </w:rPr>
        <w:t xml:space="preserve">ertificates of </w:t>
      </w:r>
      <w:r w:rsidR="00CA799C">
        <w:rPr>
          <w:rFonts w:eastAsia="Calibri"/>
        </w:rPr>
        <w:t>T</w:t>
      </w:r>
      <w:r w:rsidR="00206709" w:rsidRPr="00206709">
        <w:rPr>
          <w:rFonts w:eastAsia="Calibri"/>
        </w:rPr>
        <w:t>itle</w:t>
      </w:r>
      <w:r w:rsidR="001F2371">
        <w:rPr>
          <w:rFonts w:eastAsia="Calibri"/>
        </w:rPr>
        <w:t>.</w:t>
      </w:r>
    </w:p>
    <w:p w:rsidR="00206709" w:rsidRPr="00206709" w:rsidRDefault="00206709" w:rsidP="00206709">
      <w:pPr>
        <w:pStyle w:val="Body"/>
        <w:rPr>
          <w:rFonts w:eastAsia="Calibri"/>
        </w:rPr>
      </w:pPr>
      <w:r w:rsidRPr="00206709">
        <w:rPr>
          <w:rFonts w:eastAsia="Calibri"/>
        </w:rPr>
        <w:t>December</w:t>
      </w:r>
    </w:p>
    <w:p w:rsidR="00206709" w:rsidRPr="00206709" w:rsidRDefault="00206709" w:rsidP="00206709">
      <w:pPr>
        <w:pStyle w:val="Bullet"/>
        <w:rPr>
          <w:rFonts w:eastAsia="Calibri"/>
        </w:rPr>
      </w:pPr>
      <w:r w:rsidRPr="00206709">
        <w:rPr>
          <w:rFonts w:eastAsia="Calibri"/>
        </w:rPr>
        <w:t>Implement priority notices.</w:t>
      </w:r>
    </w:p>
    <w:p w:rsidR="00206709" w:rsidRPr="00206709" w:rsidRDefault="00206709" w:rsidP="00206709">
      <w:pPr>
        <w:pStyle w:val="HD"/>
        <w:rPr>
          <w:rFonts w:eastAsia="Calibri"/>
        </w:rPr>
      </w:pPr>
      <w:r w:rsidRPr="00206709">
        <w:rPr>
          <w:rFonts w:eastAsia="Calibri"/>
        </w:rPr>
        <w:t>2017</w:t>
      </w:r>
    </w:p>
    <w:p w:rsidR="00206709" w:rsidRPr="00206709" w:rsidRDefault="00206709" w:rsidP="00206709">
      <w:pPr>
        <w:pStyle w:val="Body"/>
        <w:rPr>
          <w:rFonts w:eastAsia="Calibri"/>
        </w:rPr>
      </w:pPr>
      <w:r w:rsidRPr="00206709">
        <w:rPr>
          <w:rFonts w:eastAsia="Calibri"/>
        </w:rPr>
        <w:t>May</w:t>
      </w:r>
    </w:p>
    <w:p w:rsidR="00206709" w:rsidRPr="00206709" w:rsidRDefault="00206709" w:rsidP="00206709">
      <w:pPr>
        <w:pStyle w:val="Bullet"/>
        <w:rPr>
          <w:rFonts w:eastAsia="Calibri"/>
        </w:rPr>
      </w:pPr>
      <w:r w:rsidRPr="00206709">
        <w:rPr>
          <w:rFonts w:eastAsia="Calibri"/>
        </w:rPr>
        <w:t xml:space="preserve">Implement </w:t>
      </w:r>
      <w:r w:rsidR="007916A5">
        <w:rPr>
          <w:rFonts w:eastAsia="Calibri"/>
        </w:rPr>
        <w:t xml:space="preserve">the </w:t>
      </w:r>
      <w:r w:rsidRPr="00206709">
        <w:rPr>
          <w:rFonts w:eastAsia="Calibri"/>
        </w:rPr>
        <w:t xml:space="preserve">National Mortgage Form. </w:t>
      </w:r>
    </w:p>
    <w:p w:rsidR="00206709" w:rsidRPr="00206709" w:rsidRDefault="00206709" w:rsidP="00206709">
      <w:pPr>
        <w:pStyle w:val="Bullet"/>
        <w:rPr>
          <w:rFonts w:eastAsia="Calibri"/>
        </w:rPr>
      </w:pPr>
      <w:r w:rsidRPr="00206709">
        <w:rPr>
          <w:rFonts w:eastAsia="Calibri"/>
        </w:rPr>
        <w:t>Client authorisation required for paper conveyancing.</w:t>
      </w:r>
    </w:p>
    <w:p w:rsidR="00206709" w:rsidRPr="00206709" w:rsidRDefault="00206709" w:rsidP="00206709">
      <w:pPr>
        <w:pStyle w:val="Bullet"/>
        <w:rPr>
          <w:rFonts w:eastAsia="Calibri"/>
        </w:rPr>
      </w:pPr>
      <w:r w:rsidRPr="00206709">
        <w:rPr>
          <w:rFonts w:eastAsia="Calibri"/>
        </w:rPr>
        <w:t>Certifications required for paper conveyancing.</w:t>
      </w:r>
    </w:p>
    <w:p w:rsidR="00206709" w:rsidRPr="00206709" w:rsidRDefault="00206709" w:rsidP="00206709">
      <w:pPr>
        <w:pStyle w:val="Body"/>
        <w:rPr>
          <w:rFonts w:eastAsia="Calibri"/>
        </w:rPr>
      </w:pPr>
      <w:r w:rsidRPr="00206709">
        <w:rPr>
          <w:rFonts w:eastAsia="Calibri"/>
        </w:rPr>
        <w:t>August</w:t>
      </w:r>
    </w:p>
    <w:p w:rsidR="00206709" w:rsidRPr="00206709" w:rsidRDefault="00206709" w:rsidP="00206709">
      <w:pPr>
        <w:pStyle w:val="Bullet"/>
        <w:rPr>
          <w:rFonts w:eastAsia="Calibri"/>
        </w:rPr>
      </w:pPr>
      <w:r w:rsidRPr="00206709">
        <w:rPr>
          <w:rFonts w:eastAsia="Calibri"/>
        </w:rPr>
        <w:t>Refinance transactions to be lodged electronically.</w:t>
      </w:r>
    </w:p>
    <w:p w:rsidR="00206709" w:rsidRPr="00206709" w:rsidRDefault="00CC4218" w:rsidP="00CA799C">
      <w:pPr>
        <w:pStyle w:val="HB"/>
        <w:rPr>
          <w:rFonts w:eastAsia="Calibri"/>
        </w:rPr>
      </w:pPr>
      <w:r w:rsidRPr="00CC4218">
        <w:rPr>
          <w:rFonts w:eastAsia="Calibri"/>
        </w:rPr>
        <w:t>Lodging mortgages and discharges of mortgage</w:t>
      </w:r>
    </w:p>
    <w:p w:rsidR="00CC4218" w:rsidRPr="00CC4218" w:rsidRDefault="00CC4218" w:rsidP="00CC4218">
      <w:pPr>
        <w:pStyle w:val="Body"/>
        <w:rPr>
          <w:rFonts w:eastAsia="Calibri"/>
        </w:rPr>
      </w:pPr>
      <w:r w:rsidRPr="00CC4218">
        <w:rPr>
          <w:rFonts w:eastAsia="Calibri"/>
        </w:rPr>
        <w:t>As previously advised, a discharge of mortgage signed on or after 1 March 2016 must be lodged by or on behalf of the mortgagee. The practice of providing a discharge of mortgage to the registered proprietor(s) for lodgement at Land Victoria is no longer permitted. The only exception is when the discharge of mortgage will be lodged with a transfer of land and/or a mortgage affecting the same folio(s) of the Register.</w:t>
      </w:r>
    </w:p>
    <w:p w:rsidR="006A7D3B" w:rsidRDefault="006A7D3B" w:rsidP="00CC4218">
      <w:pPr>
        <w:pStyle w:val="Body"/>
        <w:rPr>
          <w:rFonts w:eastAsia="Calibri"/>
        </w:rPr>
      </w:pPr>
      <w:r>
        <w:rPr>
          <w:rFonts w:eastAsia="Calibri"/>
        </w:rPr>
        <w:br w:type="page"/>
      </w:r>
    </w:p>
    <w:p w:rsidR="00206709" w:rsidRPr="00206709" w:rsidRDefault="00CC4218" w:rsidP="00CC4218">
      <w:pPr>
        <w:pStyle w:val="Body"/>
        <w:rPr>
          <w:rFonts w:eastAsia="Calibri"/>
        </w:rPr>
      </w:pPr>
      <w:r w:rsidRPr="00CC4218">
        <w:rPr>
          <w:rFonts w:eastAsia="Calibri"/>
        </w:rPr>
        <w:lastRenderedPageBreak/>
        <w:t xml:space="preserve">Further, if the mortgagee is an authorised deposit-taking institution (ADI) under the </w:t>
      </w:r>
      <w:r w:rsidRPr="00CC4218">
        <w:rPr>
          <w:rFonts w:eastAsia="Calibri"/>
          <w:i/>
        </w:rPr>
        <w:t>Banking Act 1959 (</w:t>
      </w:r>
      <w:proofErr w:type="spellStart"/>
      <w:r w:rsidRPr="00CC4218">
        <w:rPr>
          <w:rFonts w:eastAsia="Calibri"/>
          <w:i/>
        </w:rPr>
        <w:t>Cth</w:t>
      </w:r>
      <w:proofErr w:type="spellEnd"/>
      <w:r w:rsidRPr="00CC4218">
        <w:rPr>
          <w:rFonts w:eastAsia="Calibri"/>
          <w:i/>
        </w:rPr>
        <w:t>)</w:t>
      </w:r>
      <w:r w:rsidRPr="00CC4218">
        <w:rPr>
          <w:rFonts w:eastAsia="Calibri"/>
        </w:rPr>
        <w:t>, the following apply:</w:t>
      </w:r>
    </w:p>
    <w:p w:rsidR="00206709" w:rsidRPr="003C574B" w:rsidRDefault="00CC4218" w:rsidP="00CC4218">
      <w:pPr>
        <w:pStyle w:val="Bullet"/>
        <w:rPr>
          <w:rFonts w:eastAsia="Calibri"/>
        </w:rPr>
      </w:pPr>
      <w:r w:rsidRPr="003C574B">
        <w:rPr>
          <w:rFonts w:eastAsia="Calibri"/>
        </w:rPr>
        <w:t>a discharge of mortgage signed on or after 1 August 2016 must be lodged using an e</w:t>
      </w:r>
      <w:r w:rsidR="003C574B" w:rsidRPr="003C574B">
        <w:rPr>
          <w:rFonts w:eastAsia="Calibri"/>
        </w:rPr>
        <w:t xml:space="preserve">lectronic </w:t>
      </w:r>
      <w:proofErr w:type="spellStart"/>
      <w:r w:rsidR="003C574B" w:rsidRPr="003C574B">
        <w:rPr>
          <w:rFonts w:eastAsia="Calibri"/>
        </w:rPr>
        <w:t>lodgment</w:t>
      </w:r>
      <w:proofErr w:type="spellEnd"/>
      <w:r w:rsidR="003C574B" w:rsidRPr="003C574B">
        <w:rPr>
          <w:rFonts w:eastAsia="Calibri"/>
        </w:rPr>
        <w:t xml:space="preserve"> network (ELN</w:t>
      </w:r>
      <w:r w:rsidR="00827A84">
        <w:rPr>
          <w:rFonts w:eastAsia="Calibri"/>
        </w:rPr>
        <w:t>*</w:t>
      </w:r>
      <w:r w:rsidRPr="003C574B">
        <w:rPr>
          <w:rFonts w:eastAsia="Calibri"/>
        </w:rPr>
        <w:t>), except when the discharge of mortgage will be lodged with any transfer of land or mortgage for the same folio(s) of the Register</w:t>
      </w:r>
      <w:r w:rsidR="00206709" w:rsidRPr="003C574B">
        <w:rPr>
          <w:rFonts w:eastAsia="Calibri"/>
        </w:rPr>
        <w:t>.</w:t>
      </w:r>
    </w:p>
    <w:p w:rsidR="00206709" w:rsidRDefault="00CC4218" w:rsidP="00CC4218">
      <w:pPr>
        <w:pStyle w:val="Bullet"/>
        <w:rPr>
          <w:rFonts w:eastAsia="Calibri"/>
        </w:rPr>
      </w:pPr>
      <w:r w:rsidRPr="00CC4218">
        <w:rPr>
          <w:rFonts w:eastAsia="Calibri"/>
        </w:rPr>
        <w:t>a mortgage to which the National Credit Code applies, signed on or after 1 August 2016, must be lodged using an ELN, except when the mortgage will be lodged with any discharge of mortgage or transfer of land for the same folio(s) of the Register.</w:t>
      </w:r>
    </w:p>
    <w:p w:rsidR="00CC4218" w:rsidRDefault="00CC4218" w:rsidP="00CC4218">
      <w:pPr>
        <w:pStyle w:val="Body"/>
      </w:pPr>
      <w:r>
        <w:t xml:space="preserve">Land Victoria has two guides to assist mortgagees, their conveyancers, lawyers and lodging agents understand Land Victoria’s changes to lodging requirements for mortgages and discharges of mortgage: </w:t>
      </w:r>
    </w:p>
    <w:p w:rsidR="00CC4218" w:rsidRDefault="00CC4218" w:rsidP="00CC4218">
      <w:pPr>
        <w:pStyle w:val="Bullet"/>
        <w:numPr>
          <w:ilvl w:val="0"/>
          <w:numId w:val="40"/>
        </w:numPr>
        <w:tabs>
          <w:tab w:val="num" w:pos="0"/>
        </w:tabs>
      </w:pPr>
      <w:r>
        <w:rPr>
          <w:i/>
        </w:rPr>
        <w:t>Guide to mortgage</w:t>
      </w:r>
    </w:p>
    <w:p w:rsidR="00CC4218" w:rsidRDefault="00CC4218" w:rsidP="00CC4218">
      <w:pPr>
        <w:pStyle w:val="Bullet"/>
        <w:numPr>
          <w:ilvl w:val="0"/>
          <w:numId w:val="40"/>
        </w:numPr>
        <w:tabs>
          <w:tab w:val="num" w:pos="0"/>
        </w:tabs>
      </w:pPr>
      <w:r>
        <w:rPr>
          <w:i/>
        </w:rPr>
        <w:t>Guide to discharge of mortgage</w:t>
      </w:r>
      <w:r w:rsidR="00E232A1">
        <w:t>.</w:t>
      </w:r>
      <w:r>
        <w:t xml:space="preserve"> </w:t>
      </w:r>
    </w:p>
    <w:p w:rsidR="00CC4218" w:rsidRDefault="00CC4218" w:rsidP="00CC4218">
      <w:pPr>
        <w:pStyle w:val="Body"/>
      </w:pPr>
      <w:r>
        <w:t xml:space="preserve">The guides are available </w:t>
      </w:r>
      <w:hyperlink r:id="rId9" w:history="1">
        <w:r>
          <w:rPr>
            <w:rStyle w:val="Hyperlink"/>
            <w:szCs w:val="22"/>
          </w:rPr>
          <w:t>here</w:t>
        </w:r>
      </w:hyperlink>
      <w:r>
        <w:t xml:space="preserve"> and at </w:t>
      </w:r>
      <w:hyperlink r:id="rId10" w:history="1">
        <w:r>
          <w:rPr>
            <w:rStyle w:val="Hyperlink"/>
          </w:rPr>
          <w:t>www.delwp.vic.gov.au/property-forms</w:t>
        </w:r>
      </w:hyperlink>
      <w:r>
        <w:t>&gt;Transfer of Land Act&gt;Mortgage.</w:t>
      </w:r>
    </w:p>
    <w:p w:rsidR="00206709" w:rsidRPr="00206709" w:rsidRDefault="00206709" w:rsidP="00CA799C">
      <w:pPr>
        <w:pStyle w:val="HB"/>
      </w:pPr>
      <w:r w:rsidRPr="00206709">
        <w:t xml:space="preserve">Bulk conversion of paper </w:t>
      </w:r>
      <w:r w:rsidR="00CA799C">
        <w:t>C</w:t>
      </w:r>
      <w:r w:rsidRPr="00206709">
        <w:t xml:space="preserve">ertificates of </w:t>
      </w:r>
      <w:r w:rsidR="00CA799C">
        <w:t>T</w:t>
      </w:r>
      <w:r w:rsidRPr="00206709">
        <w:t xml:space="preserve">itle to electronic </w:t>
      </w:r>
      <w:r w:rsidR="00CA799C">
        <w:t>C</w:t>
      </w:r>
      <w:r w:rsidRPr="00206709">
        <w:t xml:space="preserve">ertificates of </w:t>
      </w:r>
      <w:r w:rsidR="00CA799C">
        <w:t>T</w:t>
      </w:r>
      <w:r w:rsidRPr="00206709">
        <w:t>itle</w:t>
      </w:r>
    </w:p>
    <w:p w:rsidR="00CC4218" w:rsidRDefault="00CC4218" w:rsidP="00CC4218">
      <w:pPr>
        <w:pStyle w:val="Body"/>
        <w:rPr>
          <w:lang w:eastAsia="en-AU"/>
        </w:rPr>
      </w:pPr>
      <w:r>
        <w:rPr>
          <w:lang w:eastAsia="en-AU"/>
        </w:rPr>
        <w:t xml:space="preserve">Many properties in Victoria are mortgaged and the </w:t>
      </w:r>
      <w:r w:rsidR="00CA799C">
        <w:rPr>
          <w:lang w:eastAsia="en-AU"/>
        </w:rPr>
        <w:t>C</w:t>
      </w:r>
      <w:r>
        <w:rPr>
          <w:lang w:eastAsia="en-AU"/>
        </w:rPr>
        <w:t xml:space="preserve">ertificates of </w:t>
      </w:r>
      <w:r w:rsidR="00CA799C">
        <w:rPr>
          <w:lang w:eastAsia="en-AU"/>
        </w:rPr>
        <w:t>T</w:t>
      </w:r>
      <w:r>
        <w:rPr>
          <w:lang w:eastAsia="en-AU"/>
        </w:rPr>
        <w:t>itle (CTs) are therefore held by first mortgagees.</w:t>
      </w:r>
      <w:r w:rsidR="00085FB0">
        <w:rPr>
          <w:lang w:eastAsia="en-AU"/>
        </w:rPr>
        <w:t xml:space="preserve"> </w:t>
      </w:r>
      <w:r>
        <w:rPr>
          <w:lang w:eastAsia="en-AU"/>
        </w:rPr>
        <w:t xml:space="preserve">The four major banks (ANZ, CBA, NAB, Westpac and their brands) hold approximately two million CTs in Victoria. </w:t>
      </w:r>
    </w:p>
    <w:p w:rsidR="00CC4218" w:rsidRDefault="00CC4218" w:rsidP="00CC4218">
      <w:pPr>
        <w:pStyle w:val="Body"/>
        <w:rPr>
          <w:lang w:eastAsia="en-AU"/>
        </w:rPr>
      </w:pPr>
      <w:r>
        <w:rPr>
          <w:lang w:eastAsia="en-AU"/>
        </w:rPr>
        <w:t>Following consultation and agreement with these banks, on 22 October 2016 Land Victoria will facilitate a bulk conversion of paper CTs (</w:t>
      </w:r>
      <w:proofErr w:type="spellStart"/>
      <w:r>
        <w:rPr>
          <w:lang w:eastAsia="en-AU"/>
        </w:rPr>
        <w:t>pCTs</w:t>
      </w:r>
      <w:proofErr w:type="spellEnd"/>
      <w:r>
        <w:rPr>
          <w:lang w:eastAsia="en-AU"/>
        </w:rPr>
        <w:t xml:space="preserve">) of which the banks are the first mortgagee. </w:t>
      </w:r>
    </w:p>
    <w:p w:rsidR="00CC4218" w:rsidRDefault="00CC4218" w:rsidP="00CC4218">
      <w:pPr>
        <w:pStyle w:val="Body"/>
        <w:rPr>
          <w:lang w:eastAsia="en-AU"/>
        </w:rPr>
      </w:pPr>
      <w:r>
        <w:rPr>
          <w:lang w:eastAsia="en-AU"/>
        </w:rPr>
        <w:t xml:space="preserve">Under section 27BAA of the </w:t>
      </w:r>
      <w:r w:rsidRPr="008C71DE">
        <w:rPr>
          <w:i/>
          <w:lang w:eastAsia="en-AU"/>
        </w:rPr>
        <w:t>Transfer of Land Act 1958</w:t>
      </w:r>
      <w:r>
        <w:rPr>
          <w:lang w:eastAsia="en-AU"/>
        </w:rPr>
        <w:t xml:space="preserve"> the Registrar of Titles will declare by notice in the </w:t>
      </w:r>
      <w:r w:rsidRPr="008C71DE">
        <w:rPr>
          <w:i/>
          <w:lang w:eastAsia="en-AU"/>
        </w:rPr>
        <w:t>Victoria Government Gazette</w:t>
      </w:r>
      <w:r>
        <w:rPr>
          <w:lang w:eastAsia="en-AU"/>
        </w:rPr>
        <w:t xml:space="preserve"> that these CTs will be void and of no effect from 22 October 2016. From then on, all CTs held by the four major banks will be electronic CTs (</w:t>
      </w:r>
      <w:proofErr w:type="spellStart"/>
      <w:r>
        <w:rPr>
          <w:lang w:eastAsia="en-AU"/>
        </w:rPr>
        <w:t>eCTs</w:t>
      </w:r>
      <w:proofErr w:type="spellEnd"/>
      <w:r>
        <w:rPr>
          <w:lang w:eastAsia="en-AU"/>
        </w:rPr>
        <w:t xml:space="preserve">) and the relevant bank will be recorded as the </w:t>
      </w:r>
      <w:proofErr w:type="spellStart"/>
      <w:r>
        <w:rPr>
          <w:lang w:eastAsia="en-AU"/>
        </w:rPr>
        <w:t>eCT</w:t>
      </w:r>
      <w:proofErr w:type="spellEnd"/>
      <w:r>
        <w:rPr>
          <w:lang w:eastAsia="en-AU"/>
        </w:rPr>
        <w:t xml:space="preserve"> Control – the party entitled to control the </w:t>
      </w:r>
      <w:proofErr w:type="spellStart"/>
      <w:r>
        <w:rPr>
          <w:lang w:eastAsia="en-AU"/>
        </w:rPr>
        <w:t>eCT</w:t>
      </w:r>
      <w:proofErr w:type="spellEnd"/>
      <w:r>
        <w:rPr>
          <w:lang w:eastAsia="en-AU"/>
        </w:rPr>
        <w:t>.</w:t>
      </w:r>
    </w:p>
    <w:p w:rsidR="00085FB0" w:rsidRDefault="00CC4218" w:rsidP="00CC4218">
      <w:pPr>
        <w:pStyle w:val="Body"/>
        <w:rPr>
          <w:lang w:eastAsia="en-AU"/>
        </w:rPr>
      </w:pPr>
      <w:r>
        <w:rPr>
          <w:lang w:eastAsia="en-AU"/>
        </w:rPr>
        <w:t xml:space="preserve">Any transaction involving </w:t>
      </w:r>
      <w:r w:rsidR="006F1862">
        <w:rPr>
          <w:lang w:eastAsia="en-AU"/>
        </w:rPr>
        <w:t>one of these</w:t>
      </w:r>
      <w:r>
        <w:rPr>
          <w:lang w:eastAsia="en-AU"/>
        </w:rPr>
        <w:t xml:space="preserve"> major bank</w:t>
      </w:r>
      <w:r w:rsidR="006F1862">
        <w:rPr>
          <w:lang w:eastAsia="en-AU"/>
        </w:rPr>
        <w:t>s</w:t>
      </w:r>
      <w:r>
        <w:rPr>
          <w:lang w:eastAsia="en-AU"/>
        </w:rPr>
        <w:t xml:space="preserve"> as first mortgagee to be lodged on or after 22 October will be supported by an </w:t>
      </w:r>
      <w:proofErr w:type="spellStart"/>
      <w:r>
        <w:rPr>
          <w:lang w:eastAsia="en-AU"/>
        </w:rPr>
        <w:t>eCT</w:t>
      </w:r>
      <w:proofErr w:type="spellEnd"/>
      <w:r>
        <w:rPr>
          <w:lang w:eastAsia="en-AU"/>
        </w:rPr>
        <w:t>. After registration of the transaction at Land Victoria</w:t>
      </w:r>
      <w:r w:rsidR="00085FB0">
        <w:rPr>
          <w:lang w:eastAsia="en-AU"/>
        </w:rPr>
        <w:t>, whe</w:t>
      </w:r>
      <w:r w:rsidR="00CA799C">
        <w:rPr>
          <w:lang w:eastAsia="en-AU"/>
        </w:rPr>
        <w:t>n</w:t>
      </w:r>
      <w:r w:rsidR="00085FB0">
        <w:rPr>
          <w:lang w:eastAsia="en-AU"/>
        </w:rPr>
        <w:t xml:space="preserve"> one of the major banks is the incoming mortgagee, only</w:t>
      </w:r>
      <w:r>
        <w:rPr>
          <w:lang w:eastAsia="en-AU"/>
        </w:rPr>
        <w:t xml:space="preserve"> </w:t>
      </w:r>
      <w:r w:rsidR="00085FB0">
        <w:rPr>
          <w:lang w:eastAsia="en-AU"/>
        </w:rPr>
        <w:t xml:space="preserve">an </w:t>
      </w:r>
      <w:proofErr w:type="spellStart"/>
      <w:r w:rsidR="00085FB0">
        <w:rPr>
          <w:lang w:eastAsia="en-AU"/>
        </w:rPr>
        <w:t>eCT</w:t>
      </w:r>
      <w:proofErr w:type="spellEnd"/>
      <w:r w:rsidR="00085FB0">
        <w:rPr>
          <w:lang w:eastAsia="en-AU"/>
        </w:rPr>
        <w:t xml:space="preserve"> will issue.</w:t>
      </w:r>
    </w:p>
    <w:p w:rsidR="00206709" w:rsidRPr="00206709" w:rsidRDefault="00085FB0" w:rsidP="00CC4218">
      <w:pPr>
        <w:pStyle w:val="Body"/>
        <w:rPr>
          <w:lang w:eastAsia="en-AU"/>
        </w:rPr>
      </w:pPr>
      <w:r>
        <w:rPr>
          <w:lang w:eastAsia="en-AU"/>
        </w:rPr>
        <w:t xml:space="preserve">In other cases, after registration of a transaction </w:t>
      </w:r>
      <w:r w:rsidR="00CC4218">
        <w:rPr>
          <w:lang w:eastAsia="en-AU"/>
        </w:rPr>
        <w:t xml:space="preserve">a </w:t>
      </w:r>
      <w:r w:rsidR="00CA799C">
        <w:rPr>
          <w:lang w:eastAsia="en-AU"/>
        </w:rPr>
        <w:t>Certificate of T</w:t>
      </w:r>
      <w:r w:rsidR="00CC4218">
        <w:rPr>
          <w:lang w:eastAsia="en-AU"/>
        </w:rPr>
        <w:t>itle can be issued in one of the following ways.</w:t>
      </w:r>
    </w:p>
    <w:p w:rsidR="008C71DE" w:rsidRDefault="008C71DE" w:rsidP="008C71DE">
      <w:pPr>
        <w:pStyle w:val="Bullet"/>
      </w:pPr>
      <w:r>
        <w:t xml:space="preserve">An </w:t>
      </w:r>
      <w:proofErr w:type="spellStart"/>
      <w:r>
        <w:t>eCT</w:t>
      </w:r>
      <w:proofErr w:type="spellEnd"/>
      <w:r>
        <w:t xml:space="preserve"> can issue:</w:t>
      </w:r>
    </w:p>
    <w:p w:rsidR="008C71DE" w:rsidRDefault="008C71DE" w:rsidP="008C71DE">
      <w:pPr>
        <w:pStyle w:val="Bullet2"/>
      </w:pPr>
      <w:r>
        <w:t xml:space="preserve">from an electronic transaction to an </w:t>
      </w:r>
      <w:proofErr w:type="spellStart"/>
      <w:r>
        <w:t>eCT</w:t>
      </w:r>
      <w:proofErr w:type="spellEnd"/>
      <w:r>
        <w:t xml:space="preserve"> Co</w:t>
      </w:r>
      <w:r w:rsidR="00827A84">
        <w:t>ntrol if a subscriber to an ELN</w:t>
      </w:r>
      <w:r w:rsidR="000576D2">
        <w:t>*</w:t>
      </w:r>
      <w:r>
        <w:t xml:space="preserve"> has chosen to retain the CT in electronic format</w:t>
      </w:r>
    </w:p>
    <w:p w:rsidR="008C71DE" w:rsidRDefault="008C71DE" w:rsidP="008C71DE">
      <w:pPr>
        <w:pStyle w:val="Bullet2"/>
      </w:pPr>
      <w:r>
        <w:t>from a paper transaction when the party entitled to possession of the CT is a PEXA subscriber who provides their VOTS customer code, established for use in PEXA for issuing purposes.</w:t>
      </w:r>
    </w:p>
    <w:p w:rsidR="008C71DE" w:rsidRDefault="008C71DE" w:rsidP="008C71DE">
      <w:pPr>
        <w:pStyle w:val="Bullet"/>
      </w:pPr>
      <w:r>
        <w:t xml:space="preserve">A </w:t>
      </w:r>
      <w:proofErr w:type="spellStart"/>
      <w:r>
        <w:t>pCT</w:t>
      </w:r>
      <w:proofErr w:type="spellEnd"/>
      <w:r>
        <w:t xml:space="preserve"> can issue:</w:t>
      </w:r>
    </w:p>
    <w:p w:rsidR="008C71DE" w:rsidRDefault="008C71DE" w:rsidP="008C71DE">
      <w:pPr>
        <w:pStyle w:val="Bullet2"/>
      </w:pPr>
      <w:r>
        <w:t xml:space="preserve">from an electronic transaction if the </w:t>
      </w:r>
      <w:proofErr w:type="spellStart"/>
      <w:r>
        <w:t>pCT</w:t>
      </w:r>
      <w:proofErr w:type="spellEnd"/>
      <w:r>
        <w:t xml:space="preserve"> option is selected in the lodgement instructions</w:t>
      </w:r>
    </w:p>
    <w:p w:rsidR="008C71DE" w:rsidRDefault="008C71DE" w:rsidP="008C71DE">
      <w:pPr>
        <w:pStyle w:val="Bullet2"/>
      </w:pPr>
      <w:r>
        <w:t xml:space="preserve">from a paper transaction to which an </w:t>
      </w:r>
      <w:proofErr w:type="spellStart"/>
      <w:r>
        <w:t>eCT</w:t>
      </w:r>
      <w:proofErr w:type="spellEnd"/>
      <w:r>
        <w:t xml:space="preserve"> has been nominated if the lodging party provides their VOTS customer code, which has not been established for use in PEXA.</w:t>
      </w:r>
    </w:p>
    <w:p w:rsidR="005C0C18" w:rsidRPr="006A7D3B" w:rsidRDefault="005C0C18" w:rsidP="005C0C18">
      <w:pPr>
        <w:pStyle w:val="Body"/>
        <w:rPr>
          <w:b/>
          <w:sz w:val="16"/>
          <w:szCs w:val="16"/>
        </w:rPr>
      </w:pPr>
      <w:r w:rsidRPr="006A7D3B">
        <w:rPr>
          <w:b/>
          <w:sz w:val="16"/>
          <w:szCs w:val="16"/>
        </w:rPr>
        <w:t>*Currently, the only ELN is PEXA. In order to lodge through</w:t>
      </w:r>
      <w:r w:rsidR="006A7D3B">
        <w:rPr>
          <w:b/>
          <w:sz w:val="16"/>
          <w:szCs w:val="16"/>
        </w:rPr>
        <w:t xml:space="preserve"> PEXA you must be a subscriber.</w:t>
      </w:r>
      <w:r w:rsidRPr="006A7D3B">
        <w:rPr>
          <w:b/>
          <w:sz w:val="16"/>
          <w:szCs w:val="16"/>
        </w:rPr>
        <w:t xml:space="preserve"> For further information </w:t>
      </w:r>
      <w:r w:rsidR="00E232A1">
        <w:rPr>
          <w:b/>
          <w:sz w:val="16"/>
          <w:szCs w:val="16"/>
        </w:rPr>
        <w:t>go to</w:t>
      </w:r>
      <w:r w:rsidRPr="006A7D3B">
        <w:rPr>
          <w:b/>
          <w:sz w:val="16"/>
          <w:szCs w:val="16"/>
        </w:rPr>
        <w:t xml:space="preserve"> PEXA </w:t>
      </w:r>
      <w:proofErr w:type="spellStart"/>
      <w:r w:rsidRPr="006A7D3B">
        <w:rPr>
          <w:b/>
          <w:sz w:val="16"/>
          <w:szCs w:val="16"/>
        </w:rPr>
        <w:t>Ltd’s</w:t>
      </w:r>
      <w:proofErr w:type="spellEnd"/>
      <w:r w:rsidRPr="006A7D3B">
        <w:rPr>
          <w:b/>
          <w:sz w:val="16"/>
          <w:szCs w:val="16"/>
        </w:rPr>
        <w:t xml:space="preserve"> website at www.pexa.com.au.</w:t>
      </w:r>
    </w:p>
    <w:p w:rsidR="006A7D3B" w:rsidRDefault="006A7D3B" w:rsidP="008C71DE">
      <w:pPr>
        <w:pStyle w:val="Body"/>
        <w:rPr>
          <w:lang w:eastAsia="en-AU"/>
        </w:rPr>
      </w:pPr>
      <w:r>
        <w:rPr>
          <w:lang w:eastAsia="en-AU"/>
        </w:rPr>
        <w:br w:type="page"/>
      </w:r>
    </w:p>
    <w:p w:rsidR="008C71DE" w:rsidRDefault="008C71DE" w:rsidP="008C71DE">
      <w:pPr>
        <w:pStyle w:val="Body"/>
        <w:rPr>
          <w:lang w:eastAsia="en-AU"/>
        </w:rPr>
      </w:pPr>
      <w:r>
        <w:rPr>
          <w:lang w:eastAsia="en-AU"/>
        </w:rPr>
        <w:lastRenderedPageBreak/>
        <w:t xml:space="preserve">After 22 </w:t>
      </w:r>
      <w:r>
        <w:t>October</w:t>
      </w:r>
      <w:r>
        <w:rPr>
          <w:lang w:eastAsia="en-AU"/>
        </w:rPr>
        <w:t xml:space="preserve"> the vast majority of CTs in the marketplace will be </w:t>
      </w:r>
      <w:proofErr w:type="spellStart"/>
      <w:r>
        <w:rPr>
          <w:lang w:eastAsia="en-AU"/>
        </w:rPr>
        <w:t>eCTs</w:t>
      </w:r>
      <w:proofErr w:type="spellEnd"/>
      <w:r>
        <w:rPr>
          <w:lang w:eastAsia="en-AU"/>
        </w:rPr>
        <w:t>. Customers should ensure they understand the implications of this change, including:</w:t>
      </w:r>
    </w:p>
    <w:p w:rsidR="008C71DE" w:rsidRDefault="008C71DE" w:rsidP="008C71DE">
      <w:pPr>
        <w:pStyle w:val="Bullet"/>
        <w:numPr>
          <w:ilvl w:val="0"/>
          <w:numId w:val="40"/>
        </w:numPr>
        <w:tabs>
          <w:tab w:val="num" w:pos="0"/>
        </w:tabs>
        <w:rPr>
          <w:lang w:eastAsia="en-AU"/>
        </w:rPr>
      </w:pPr>
      <w:r>
        <w:rPr>
          <w:lang w:eastAsia="en-AU"/>
        </w:rPr>
        <w:t>how to identify whether or not the CT is electronic</w:t>
      </w:r>
    </w:p>
    <w:p w:rsidR="008C71DE" w:rsidRDefault="008C71DE" w:rsidP="008C71DE">
      <w:pPr>
        <w:pStyle w:val="Bullet"/>
        <w:numPr>
          <w:ilvl w:val="0"/>
          <w:numId w:val="40"/>
        </w:numPr>
        <w:tabs>
          <w:tab w:val="num" w:pos="0"/>
        </w:tabs>
        <w:rPr>
          <w:lang w:eastAsia="en-AU"/>
        </w:rPr>
      </w:pPr>
      <w:r>
        <w:rPr>
          <w:lang w:eastAsia="en-AU"/>
        </w:rPr>
        <w:t xml:space="preserve">who is the </w:t>
      </w:r>
      <w:proofErr w:type="spellStart"/>
      <w:r>
        <w:rPr>
          <w:lang w:eastAsia="en-AU"/>
        </w:rPr>
        <w:t>eCT</w:t>
      </w:r>
      <w:proofErr w:type="spellEnd"/>
      <w:r>
        <w:rPr>
          <w:lang w:eastAsia="en-AU"/>
        </w:rPr>
        <w:t xml:space="preserve"> Control</w:t>
      </w:r>
    </w:p>
    <w:p w:rsidR="008C71DE" w:rsidRDefault="008C71DE" w:rsidP="008C71DE">
      <w:pPr>
        <w:pStyle w:val="Bullet"/>
        <w:numPr>
          <w:ilvl w:val="0"/>
          <w:numId w:val="40"/>
        </w:numPr>
        <w:tabs>
          <w:tab w:val="num" w:pos="0"/>
        </w:tabs>
        <w:rPr>
          <w:lang w:eastAsia="en-AU"/>
        </w:rPr>
      </w:pPr>
      <w:r>
        <w:rPr>
          <w:lang w:eastAsia="en-AU"/>
        </w:rPr>
        <w:t>how to ensure the correct nomination is in place.</w:t>
      </w:r>
    </w:p>
    <w:p w:rsidR="008C71DE" w:rsidRPr="008C71DE" w:rsidRDefault="008C71DE" w:rsidP="003C574B">
      <w:pPr>
        <w:rPr>
          <w:rFonts w:asciiTheme="minorHAnsi" w:hAnsiTheme="minorHAnsi"/>
          <w:bCs/>
          <w:szCs w:val="22"/>
          <w:lang w:eastAsia="en-AU"/>
        </w:rPr>
      </w:pPr>
      <w:r w:rsidRPr="008C71DE">
        <w:rPr>
          <w:rFonts w:asciiTheme="minorHAnsi" w:hAnsiTheme="minorHAnsi"/>
          <w:bCs/>
          <w:szCs w:val="22"/>
          <w:lang w:eastAsia="en-AU"/>
        </w:rPr>
        <w:t xml:space="preserve">The guides listed below provide more information on dealing with </w:t>
      </w:r>
      <w:proofErr w:type="spellStart"/>
      <w:r w:rsidRPr="008C71DE">
        <w:rPr>
          <w:rFonts w:asciiTheme="minorHAnsi" w:hAnsiTheme="minorHAnsi"/>
          <w:bCs/>
          <w:szCs w:val="22"/>
          <w:lang w:eastAsia="en-AU"/>
        </w:rPr>
        <w:t>eCTs</w:t>
      </w:r>
      <w:proofErr w:type="spellEnd"/>
      <w:r w:rsidRPr="008C71DE">
        <w:rPr>
          <w:rFonts w:asciiTheme="minorHAnsi" w:hAnsiTheme="minorHAnsi"/>
          <w:bCs/>
          <w:szCs w:val="22"/>
          <w:lang w:eastAsia="en-AU"/>
        </w:rPr>
        <w:t xml:space="preserve">. They are available </w:t>
      </w:r>
      <w:hyperlink r:id="rId11" w:history="1">
        <w:r>
          <w:rPr>
            <w:rStyle w:val="Hyperlink"/>
            <w:rFonts w:asciiTheme="minorHAnsi" w:hAnsiTheme="minorHAnsi"/>
            <w:bCs/>
            <w:szCs w:val="22"/>
            <w:lang w:eastAsia="en-AU"/>
          </w:rPr>
          <w:t>here</w:t>
        </w:r>
      </w:hyperlink>
      <w:r>
        <w:rPr>
          <w:rFonts w:asciiTheme="minorHAnsi" w:hAnsiTheme="minorHAnsi"/>
          <w:bCs/>
          <w:szCs w:val="22"/>
          <w:lang w:eastAsia="en-AU"/>
        </w:rPr>
        <w:t xml:space="preserve"> </w:t>
      </w:r>
      <w:r w:rsidRPr="008C71DE">
        <w:rPr>
          <w:rFonts w:asciiTheme="minorHAnsi" w:hAnsiTheme="minorHAnsi"/>
          <w:bCs/>
          <w:szCs w:val="22"/>
          <w:lang w:eastAsia="en-AU"/>
        </w:rPr>
        <w:t xml:space="preserve">and at </w:t>
      </w:r>
      <w:hyperlink r:id="rId12" w:history="1">
        <w:r>
          <w:rPr>
            <w:rStyle w:val="Hyperlink"/>
            <w:rFonts w:asciiTheme="minorHAnsi" w:hAnsiTheme="minorHAnsi"/>
            <w:szCs w:val="22"/>
            <w:lang w:eastAsia="en-AU"/>
          </w:rPr>
          <w:t>www.delwp.vic.gov.au/property-forms</w:t>
        </w:r>
      </w:hyperlink>
      <w:r>
        <w:rPr>
          <w:rFonts w:asciiTheme="minorHAnsi" w:hAnsiTheme="minorHAnsi"/>
          <w:szCs w:val="22"/>
          <w:lang w:eastAsia="en-AU"/>
        </w:rPr>
        <w:t>&gt;</w:t>
      </w:r>
      <w:r w:rsidRPr="008C71DE">
        <w:rPr>
          <w:rFonts w:asciiTheme="minorHAnsi" w:hAnsiTheme="minorHAnsi"/>
          <w:bCs/>
          <w:szCs w:val="22"/>
          <w:lang w:eastAsia="en-AU"/>
        </w:rPr>
        <w:t xml:space="preserve">Certificate of Title management and electronic conveyancing. </w:t>
      </w:r>
    </w:p>
    <w:p w:rsidR="008C71DE" w:rsidRPr="008C71DE" w:rsidRDefault="008C71DE" w:rsidP="008C71DE">
      <w:pPr>
        <w:pStyle w:val="Bullet"/>
        <w:rPr>
          <w:i/>
          <w:lang w:eastAsia="en-AU"/>
        </w:rPr>
      </w:pPr>
      <w:r w:rsidRPr="008C71DE">
        <w:rPr>
          <w:i/>
          <w:lang w:eastAsia="en-AU"/>
        </w:rPr>
        <w:t>Certificates of Title and Administrative Notices</w:t>
      </w:r>
    </w:p>
    <w:p w:rsidR="00206709" w:rsidRPr="008C71DE" w:rsidRDefault="008C71DE" w:rsidP="008C71DE">
      <w:pPr>
        <w:pStyle w:val="Bullet"/>
        <w:rPr>
          <w:i/>
          <w:lang w:eastAsia="en-AU"/>
        </w:rPr>
      </w:pPr>
      <w:r w:rsidRPr="008C71DE">
        <w:rPr>
          <w:i/>
          <w:lang w:eastAsia="en-AU"/>
        </w:rPr>
        <w:t>Attending paper settlement when Certificate of Title is electronic</w:t>
      </w:r>
    </w:p>
    <w:p w:rsidR="00206709" w:rsidRPr="00206709" w:rsidRDefault="00AA6667" w:rsidP="00CA799C">
      <w:pPr>
        <w:pStyle w:val="HB"/>
      </w:pPr>
      <w:r w:rsidRPr="00AA6667">
        <w:t>Introducing priority notices</w:t>
      </w:r>
    </w:p>
    <w:p w:rsidR="00AA6667" w:rsidRPr="00AA6667" w:rsidRDefault="00AA6667" w:rsidP="00285E03">
      <w:pPr>
        <w:pStyle w:val="Body"/>
        <w:rPr>
          <w:rFonts w:eastAsiaTheme="minorEastAsia"/>
          <w:lang w:eastAsia="en-AU"/>
        </w:rPr>
      </w:pPr>
      <w:r w:rsidRPr="00AA6667">
        <w:rPr>
          <w:rFonts w:eastAsiaTheme="minorEastAsia"/>
          <w:lang w:eastAsia="en-AU"/>
        </w:rPr>
        <w:t>Priority notices will be introduced in Victoria in December 2016 and Land Victoria is currently developing a comprehensive guide for customers about the use of priority notices. The following information is an introduction.</w:t>
      </w:r>
    </w:p>
    <w:p w:rsidR="00AA6667" w:rsidRPr="00AA6667" w:rsidRDefault="00AA6667" w:rsidP="00285E03">
      <w:pPr>
        <w:pStyle w:val="Body"/>
        <w:rPr>
          <w:rFonts w:eastAsiaTheme="minorEastAsia"/>
          <w:lang w:eastAsia="en-AU"/>
        </w:rPr>
      </w:pPr>
      <w:r w:rsidRPr="00AA6667">
        <w:rPr>
          <w:rFonts w:eastAsiaTheme="minorEastAsia"/>
          <w:lang w:eastAsia="en-AU"/>
        </w:rPr>
        <w:t>A priority notice is notification of an intended dealing or dealings with land, which is lodged with the Registrar of Titles at Land Victoria. Once recorded, a priority notice will temporarily prevent registration of any other dealing over the cited folio. A priority notice will not prevent recording of an instrument that does not require a supporting Certificate of Title (for example caveats, warrants and land tax charges).</w:t>
      </w:r>
    </w:p>
    <w:p w:rsidR="00AA6667" w:rsidRDefault="00AA6667" w:rsidP="00AA6667">
      <w:pPr>
        <w:pStyle w:val="Body"/>
        <w:rPr>
          <w:rFonts w:eastAsiaTheme="minorEastAsia"/>
          <w:lang w:eastAsia="en-AU"/>
        </w:rPr>
      </w:pPr>
      <w:r w:rsidRPr="00AA6667">
        <w:rPr>
          <w:rFonts w:eastAsiaTheme="minorEastAsia"/>
          <w:lang w:eastAsia="en-AU"/>
        </w:rPr>
        <w:t>A priority notice can apply to all instrument types and will:</w:t>
      </w:r>
    </w:p>
    <w:p w:rsidR="00AA6667" w:rsidRPr="00AA6667" w:rsidRDefault="00AA6667" w:rsidP="00AA6667">
      <w:pPr>
        <w:pStyle w:val="Bullet"/>
      </w:pPr>
      <w:r w:rsidRPr="00AA6667">
        <w:rPr>
          <w:rFonts w:eastAsiaTheme="minorEastAsia"/>
          <w:lang w:eastAsia="en-AU"/>
        </w:rPr>
        <w:t xml:space="preserve">protect the interests of parties to </w:t>
      </w:r>
      <w:r w:rsidRPr="00AA6667">
        <w:t>an intended instrument or transaction, from the time the priority notice is lodged until that instrument or transaction is lodged</w:t>
      </w:r>
    </w:p>
    <w:p w:rsidR="00AA6667" w:rsidRPr="00AA6667" w:rsidRDefault="00AA6667" w:rsidP="00AA6667">
      <w:pPr>
        <w:pStyle w:val="Bullet"/>
      </w:pPr>
      <w:r w:rsidRPr="00AA6667">
        <w:t>alert interested parties who search the Register that an intended instrument or transaction is pending</w:t>
      </w:r>
    </w:p>
    <w:p w:rsidR="00AA6667" w:rsidRDefault="00AA6667" w:rsidP="00AA6667">
      <w:pPr>
        <w:pStyle w:val="Bullet"/>
        <w:rPr>
          <w:rFonts w:eastAsiaTheme="minorEastAsia"/>
          <w:lang w:eastAsia="en-AU"/>
        </w:rPr>
      </w:pPr>
      <w:r w:rsidRPr="00AA6667">
        <w:t>assist in fraud prevention because details of an intended instrument or transaction will appear on a search of the Register</w:t>
      </w:r>
      <w:r w:rsidRPr="00AA6667">
        <w:rPr>
          <w:rFonts w:eastAsiaTheme="minorEastAsia"/>
          <w:lang w:eastAsia="en-AU"/>
        </w:rPr>
        <w:t>.</w:t>
      </w:r>
    </w:p>
    <w:p w:rsidR="00206709" w:rsidRPr="00206709" w:rsidRDefault="00285E03" w:rsidP="00CA799C">
      <w:pPr>
        <w:pStyle w:val="HC"/>
        <w:rPr>
          <w:lang w:eastAsia="en-AU"/>
        </w:rPr>
      </w:pPr>
      <w:r w:rsidRPr="00285E03">
        <w:rPr>
          <w:lang w:eastAsia="en-AU"/>
        </w:rPr>
        <w:t>Requirements of a priority notice</w:t>
      </w:r>
    </w:p>
    <w:p w:rsidR="00285E03" w:rsidRPr="00285E03" w:rsidRDefault="00285E03" w:rsidP="00285E03">
      <w:pPr>
        <w:pStyle w:val="Body"/>
        <w:rPr>
          <w:rFonts w:eastAsiaTheme="minorEastAsia"/>
          <w:lang w:eastAsia="en-AU"/>
        </w:rPr>
      </w:pPr>
      <w:r w:rsidRPr="00285E03">
        <w:rPr>
          <w:rFonts w:eastAsiaTheme="minorEastAsia"/>
          <w:lang w:eastAsia="en-AU"/>
        </w:rPr>
        <w:t>To have effect, the information in the priority notice must be accurate and complete.</w:t>
      </w:r>
    </w:p>
    <w:p w:rsidR="00285E03" w:rsidRPr="00285E03" w:rsidRDefault="00285E03" w:rsidP="00285E03">
      <w:pPr>
        <w:pStyle w:val="Body"/>
        <w:rPr>
          <w:rFonts w:eastAsiaTheme="minorEastAsia"/>
          <w:lang w:eastAsia="en-AU"/>
        </w:rPr>
      </w:pPr>
      <w:r w:rsidRPr="00285E03">
        <w:rPr>
          <w:rFonts w:eastAsiaTheme="minorEastAsia"/>
          <w:lang w:eastAsia="en-AU"/>
        </w:rPr>
        <w:t>Amendments or corrections to lodged priority notices will not be permitted. If necessary, the priority notice can be withdrawn and a new priority notice lodged in its place.</w:t>
      </w:r>
    </w:p>
    <w:p w:rsidR="00285E03" w:rsidRPr="00285E03" w:rsidRDefault="00285E03" w:rsidP="00285E03">
      <w:pPr>
        <w:pStyle w:val="Body"/>
        <w:rPr>
          <w:rFonts w:eastAsiaTheme="minorEastAsia"/>
          <w:lang w:eastAsia="en-AU"/>
        </w:rPr>
      </w:pPr>
      <w:r w:rsidRPr="00285E03">
        <w:rPr>
          <w:rFonts w:eastAsiaTheme="minorEastAsia"/>
          <w:lang w:eastAsia="en-AU"/>
        </w:rPr>
        <w:t>When the intended instrument or transaction is lodged, it must match the details contained in the priority notice; otherwise, the intended instrument or transaction will not be registered or recorded.</w:t>
      </w:r>
    </w:p>
    <w:p w:rsidR="00285E03" w:rsidRPr="00285E03" w:rsidRDefault="00285E03" w:rsidP="00285E03">
      <w:pPr>
        <w:pStyle w:val="Body"/>
        <w:rPr>
          <w:rFonts w:eastAsiaTheme="minorEastAsia"/>
          <w:lang w:eastAsia="en-AU"/>
        </w:rPr>
      </w:pPr>
      <w:r w:rsidRPr="00285E03">
        <w:rPr>
          <w:rFonts w:eastAsiaTheme="minorEastAsia"/>
          <w:lang w:eastAsia="en-AU"/>
        </w:rPr>
        <w:t>All instruments cited in the priority notice must belong to the same transaction and be set out in order of lodgement. There will be neither provision in the priority notice to cite particular instruments to which the applicant consents, nor a mechanism for the applicant to provide consent to subsequent instruments.</w:t>
      </w:r>
    </w:p>
    <w:p w:rsidR="00285E03" w:rsidRPr="00285E03" w:rsidRDefault="00285E03" w:rsidP="00285E03">
      <w:pPr>
        <w:pStyle w:val="Body"/>
        <w:rPr>
          <w:rFonts w:eastAsiaTheme="minorEastAsia"/>
          <w:lang w:eastAsia="en-AU"/>
        </w:rPr>
      </w:pPr>
      <w:r w:rsidRPr="00285E03">
        <w:rPr>
          <w:rFonts w:eastAsiaTheme="minorEastAsia"/>
          <w:lang w:eastAsia="en-AU"/>
        </w:rPr>
        <w:t xml:space="preserve">Priority notices must be lodged using an ELN, irrespective of whether the intended instrument or transaction will be lodged in paper or electronically. </w:t>
      </w:r>
    </w:p>
    <w:p w:rsidR="00285E03" w:rsidRDefault="00285E03" w:rsidP="00285E03">
      <w:pPr>
        <w:pStyle w:val="Body"/>
        <w:rPr>
          <w:rFonts w:eastAsiaTheme="minorEastAsia"/>
          <w:b/>
          <w:lang w:eastAsia="en-AU"/>
        </w:rPr>
      </w:pPr>
      <w:r w:rsidRPr="00285E03">
        <w:rPr>
          <w:rFonts w:eastAsiaTheme="minorEastAsia"/>
          <w:lang w:eastAsia="en-AU"/>
        </w:rPr>
        <w:t xml:space="preserve">A subscriber </w:t>
      </w:r>
      <w:r w:rsidR="00CA799C">
        <w:rPr>
          <w:rFonts w:eastAsiaTheme="minorEastAsia"/>
          <w:lang w:eastAsia="en-AU"/>
        </w:rPr>
        <w:t xml:space="preserve">to an ELN </w:t>
      </w:r>
      <w:r w:rsidRPr="00285E03">
        <w:rPr>
          <w:rFonts w:eastAsiaTheme="minorEastAsia"/>
          <w:lang w:eastAsia="en-AU"/>
        </w:rPr>
        <w:t xml:space="preserve">can lodge on behalf of a registered proprietor or any incoming party. </w:t>
      </w:r>
    </w:p>
    <w:p w:rsidR="0023020A" w:rsidRDefault="0023020A">
      <w:pPr>
        <w:rPr>
          <w:rFonts w:cs="Arial"/>
          <w:b/>
          <w:color w:val="228591"/>
          <w:sz w:val="28"/>
          <w:lang w:eastAsia="en-AU"/>
        </w:rPr>
      </w:pPr>
      <w:r>
        <w:rPr>
          <w:lang w:eastAsia="en-AU"/>
        </w:rPr>
        <w:br w:type="page"/>
      </w:r>
    </w:p>
    <w:p w:rsidR="00206709" w:rsidRPr="00206709" w:rsidRDefault="00285E03" w:rsidP="00CA799C">
      <w:pPr>
        <w:pStyle w:val="HC"/>
        <w:rPr>
          <w:lang w:eastAsia="en-AU"/>
        </w:rPr>
      </w:pPr>
      <w:r w:rsidRPr="00285E03">
        <w:rPr>
          <w:lang w:eastAsia="en-AU"/>
        </w:rPr>
        <w:lastRenderedPageBreak/>
        <w:t>Duration of a priority notice</w:t>
      </w:r>
    </w:p>
    <w:p w:rsidR="00285E03" w:rsidRPr="00285E03" w:rsidRDefault="00285E03" w:rsidP="00285E03">
      <w:pPr>
        <w:pStyle w:val="Body"/>
        <w:rPr>
          <w:rFonts w:eastAsiaTheme="minorEastAsia" w:cs="Tahoma"/>
          <w:color w:val="000000"/>
          <w:lang w:eastAsia="en-AU"/>
        </w:rPr>
      </w:pPr>
      <w:r w:rsidRPr="00285E03">
        <w:rPr>
          <w:rFonts w:eastAsiaTheme="minorEastAsia" w:cs="Tahoma"/>
          <w:color w:val="000000"/>
          <w:lang w:eastAsia="en-AU"/>
        </w:rPr>
        <w:t xml:space="preserve">Priority notices will be effective for 60 calendar days from the day after the date of lodgement. </w:t>
      </w:r>
    </w:p>
    <w:p w:rsidR="00285E03" w:rsidRPr="00285E03" w:rsidRDefault="00285E03" w:rsidP="00285E03">
      <w:pPr>
        <w:pStyle w:val="Body"/>
        <w:rPr>
          <w:rFonts w:eastAsiaTheme="minorEastAsia" w:cs="Tahoma"/>
          <w:color w:val="000000"/>
          <w:lang w:eastAsia="en-AU"/>
        </w:rPr>
      </w:pPr>
      <w:r w:rsidRPr="00285E03">
        <w:rPr>
          <w:rFonts w:eastAsiaTheme="minorEastAsia" w:cs="Tahoma"/>
          <w:color w:val="000000"/>
          <w:lang w:eastAsia="en-AU"/>
        </w:rPr>
        <w:t xml:space="preserve">A priority notice: </w:t>
      </w:r>
    </w:p>
    <w:p w:rsidR="00285E03" w:rsidRPr="00285E03" w:rsidRDefault="00285E03" w:rsidP="00285E03">
      <w:pPr>
        <w:pStyle w:val="Bullet"/>
        <w:rPr>
          <w:rFonts w:eastAsiaTheme="minorEastAsia"/>
          <w:lang w:eastAsia="en-AU"/>
        </w:rPr>
      </w:pPr>
      <w:r w:rsidRPr="00285E03">
        <w:rPr>
          <w:rFonts w:eastAsiaTheme="minorEastAsia"/>
          <w:lang w:eastAsia="en-AU"/>
        </w:rPr>
        <w:t>will automatically expire when the intended instrument or transaction is registered, or at midnight on the 61st calendar day from the day the priority notice is lodged (whichever is sooner)</w:t>
      </w:r>
    </w:p>
    <w:p w:rsidR="00285E03" w:rsidRPr="00285E03" w:rsidRDefault="00285E03" w:rsidP="00285E03">
      <w:pPr>
        <w:pStyle w:val="Bullet"/>
        <w:rPr>
          <w:rFonts w:eastAsiaTheme="minorEastAsia"/>
          <w:lang w:eastAsia="en-AU"/>
        </w:rPr>
      </w:pPr>
      <w:r w:rsidRPr="00285E03">
        <w:rPr>
          <w:rFonts w:eastAsiaTheme="minorEastAsia"/>
          <w:lang w:eastAsia="en-AU"/>
        </w:rPr>
        <w:t>will cease to have effect upon its withdrawal – it must be withdrawn by the subscriber who lodged it</w:t>
      </w:r>
    </w:p>
    <w:p w:rsidR="00206709" w:rsidRPr="00206709" w:rsidRDefault="00285E03" w:rsidP="00285E03">
      <w:pPr>
        <w:pStyle w:val="Bullet"/>
        <w:rPr>
          <w:rFonts w:eastAsiaTheme="minorEastAsia"/>
          <w:lang w:eastAsia="en-AU"/>
        </w:rPr>
      </w:pPr>
      <w:r w:rsidRPr="00285E03">
        <w:rPr>
          <w:rFonts w:eastAsiaTheme="minorEastAsia"/>
          <w:lang w:eastAsia="en-AU"/>
        </w:rPr>
        <w:t>can be removed by a court order.</w:t>
      </w:r>
    </w:p>
    <w:p w:rsidR="00206709" w:rsidRPr="00206709" w:rsidRDefault="00285E03" w:rsidP="00285E03">
      <w:pPr>
        <w:pStyle w:val="HA"/>
      </w:pPr>
      <w:r w:rsidRPr="00285E03">
        <w:t>Section 60 applications – critical deficiencies</w:t>
      </w:r>
    </w:p>
    <w:p w:rsidR="0006346D" w:rsidRPr="0006346D" w:rsidRDefault="0006346D" w:rsidP="0006346D">
      <w:pPr>
        <w:pStyle w:val="Body"/>
        <w:rPr>
          <w:rFonts w:eastAsiaTheme="minorEastAsia" w:cstheme="minorBidi"/>
          <w:color w:val="000000" w:themeColor="text1"/>
          <w:lang w:eastAsia="en-AU"/>
        </w:rPr>
      </w:pPr>
      <w:r w:rsidRPr="0006346D">
        <w:rPr>
          <w:rFonts w:eastAsiaTheme="minorEastAsia" w:cstheme="minorBidi"/>
          <w:color w:val="000000" w:themeColor="text1"/>
          <w:lang w:eastAsia="en-AU"/>
        </w:rPr>
        <w:t>Plan Acceptance no longer undertakes pre-lodgement checks for section 60 (adverse possession) applications.  The Application and Survey Branch carries out preliminary checks of section 60 applications. To date, approximately 25 per cent of applications have had critical deficiencies. Common examples include lack of necessary deeds of assignment of possessory rights, possession not being for 15 years and survey plans being out of date.</w:t>
      </w:r>
    </w:p>
    <w:p w:rsidR="0006346D" w:rsidRPr="0006346D" w:rsidRDefault="0006346D" w:rsidP="0006346D">
      <w:pPr>
        <w:pStyle w:val="Body"/>
        <w:rPr>
          <w:rFonts w:eastAsiaTheme="minorEastAsia" w:cstheme="minorBidi"/>
          <w:color w:val="000000" w:themeColor="text1"/>
          <w:lang w:eastAsia="en-AU"/>
        </w:rPr>
      </w:pPr>
      <w:r w:rsidRPr="0006346D">
        <w:rPr>
          <w:rFonts w:eastAsiaTheme="minorEastAsia" w:cstheme="minorBidi"/>
          <w:color w:val="000000" w:themeColor="text1"/>
          <w:lang w:eastAsia="en-AU"/>
        </w:rPr>
        <w:t>If the evidence lodged in support of the application is critically deficient, urgent requisition(s) are sent to the lodging party and the application is stopped, pending compliance.</w:t>
      </w:r>
    </w:p>
    <w:p w:rsidR="0006346D" w:rsidRPr="0006346D" w:rsidRDefault="0006346D" w:rsidP="0006346D">
      <w:pPr>
        <w:pStyle w:val="Body"/>
        <w:rPr>
          <w:rFonts w:eastAsiaTheme="minorEastAsia" w:cstheme="minorBidi"/>
          <w:color w:val="000000" w:themeColor="text1"/>
          <w:lang w:eastAsia="en-AU"/>
        </w:rPr>
      </w:pPr>
      <w:r w:rsidRPr="0006346D">
        <w:rPr>
          <w:rFonts w:eastAsiaTheme="minorEastAsia" w:cstheme="minorBidi"/>
          <w:color w:val="000000" w:themeColor="text1"/>
          <w:lang w:eastAsia="en-AU"/>
        </w:rPr>
        <w:t>If the requisitions are satisfied within the standard nominated 30-day period, the application will be placed in the queue for full examination.</w:t>
      </w:r>
    </w:p>
    <w:p w:rsidR="0006346D" w:rsidRPr="0006346D" w:rsidRDefault="0006346D" w:rsidP="0006346D">
      <w:pPr>
        <w:pStyle w:val="Body"/>
        <w:rPr>
          <w:rFonts w:eastAsiaTheme="minorEastAsia" w:cstheme="minorBidi"/>
          <w:color w:val="000000" w:themeColor="text1"/>
          <w:lang w:eastAsia="en-AU"/>
        </w:rPr>
      </w:pPr>
      <w:r w:rsidRPr="0006346D">
        <w:rPr>
          <w:rFonts w:eastAsiaTheme="minorEastAsia" w:cstheme="minorBidi"/>
          <w:color w:val="000000" w:themeColor="text1"/>
          <w:lang w:eastAsia="en-AU"/>
        </w:rPr>
        <w:t xml:space="preserve">If the requisitions are not completely satisfied within the 30 days: </w:t>
      </w:r>
    </w:p>
    <w:p w:rsidR="0006346D" w:rsidRPr="0006346D" w:rsidRDefault="0006346D" w:rsidP="0006346D">
      <w:pPr>
        <w:pStyle w:val="Bullet"/>
        <w:rPr>
          <w:rFonts w:eastAsiaTheme="minorEastAsia"/>
          <w:lang w:eastAsia="en-AU"/>
        </w:rPr>
      </w:pPr>
      <w:r w:rsidRPr="0006346D">
        <w:rPr>
          <w:rFonts w:eastAsiaTheme="minorEastAsia"/>
          <w:lang w:eastAsia="en-AU"/>
        </w:rPr>
        <w:t>the application will be rejected</w:t>
      </w:r>
    </w:p>
    <w:p w:rsidR="0006346D" w:rsidRPr="0006346D" w:rsidRDefault="0006346D" w:rsidP="0006346D">
      <w:pPr>
        <w:pStyle w:val="Bullet"/>
        <w:rPr>
          <w:rFonts w:eastAsiaTheme="minorEastAsia"/>
          <w:lang w:eastAsia="en-AU"/>
        </w:rPr>
      </w:pPr>
      <w:r w:rsidRPr="0006346D">
        <w:rPr>
          <w:rFonts w:eastAsiaTheme="minorEastAsia"/>
          <w:lang w:eastAsia="en-AU"/>
        </w:rPr>
        <w:t>documents lodged will be returned</w:t>
      </w:r>
    </w:p>
    <w:p w:rsidR="0006346D" w:rsidRPr="0006346D" w:rsidRDefault="0006346D" w:rsidP="0006346D">
      <w:pPr>
        <w:pStyle w:val="Bullet"/>
        <w:rPr>
          <w:rFonts w:eastAsiaTheme="minorEastAsia"/>
          <w:lang w:eastAsia="en-AU"/>
        </w:rPr>
      </w:pPr>
      <w:r w:rsidRPr="0006346D">
        <w:rPr>
          <w:rFonts w:eastAsiaTheme="minorEastAsia"/>
          <w:lang w:eastAsia="en-AU"/>
        </w:rPr>
        <w:t>fees will be forfeited without further warning</w:t>
      </w:r>
    </w:p>
    <w:p w:rsidR="00206709" w:rsidRDefault="0006346D" w:rsidP="0006346D">
      <w:pPr>
        <w:pStyle w:val="Bullet"/>
        <w:rPr>
          <w:rFonts w:eastAsiaTheme="minorEastAsia"/>
          <w:lang w:eastAsia="en-AU"/>
        </w:rPr>
      </w:pPr>
      <w:r w:rsidRPr="0006346D">
        <w:rPr>
          <w:rFonts w:eastAsiaTheme="minorEastAsia"/>
          <w:lang w:eastAsia="en-AU"/>
        </w:rPr>
        <w:t>extensions to the nominated period will not be granted.</w:t>
      </w:r>
    </w:p>
    <w:p w:rsidR="0006346D" w:rsidRPr="0006346D" w:rsidRDefault="0006346D" w:rsidP="0006346D">
      <w:pPr>
        <w:pStyle w:val="Body"/>
        <w:rPr>
          <w:rFonts w:eastAsiaTheme="minorEastAsia"/>
          <w:lang w:eastAsia="en-AU"/>
        </w:rPr>
      </w:pPr>
      <w:r w:rsidRPr="0006346D">
        <w:rPr>
          <w:rFonts w:eastAsiaTheme="minorEastAsia"/>
          <w:lang w:eastAsia="en-AU"/>
        </w:rPr>
        <w:t xml:space="preserve">The </w:t>
      </w:r>
      <w:hyperlink w:history="1">
        <w:r w:rsidR="00D04D28">
          <w:rPr>
            <w:rStyle w:val="Hyperlink"/>
          </w:rPr>
          <w:t>Adverse Possession Section 60 checklist</w:t>
        </w:r>
      </w:hyperlink>
      <w:r w:rsidR="00D04D28" w:rsidRPr="0006346D">
        <w:rPr>
          <w:rFonts w:eastAsiaTheme="minorEastAsia"/>
          <w:lang w:eastAsia="en-AU"/>
        </w:rPr>
        <w:t xml:space="preserve"> </w:t>
      </w:r>
      <w:r w:rsidRPr="0006346D">
        <w:rPr>
          <w:rFonts w:eastAsiaTheme="minorEastAsia"/>
          <w:lang w:eastAsia="en-AU"/>
        </w:rPr>
        <w:t xml:space="preserve">(found at </w:t>
      </w:r>
      <w:hyperlink r:id="rId13" w:history="1">
        <w:r w:rsidR="00D04D28">
          <w:rPr>
            <w:rStyle w:val="Hyperlink"/>
            <w:rFonts w:asciiTheme="minorHAnsi" w:hAnsiTheme="minorHAnsi"/>
            <w:szCs w:val="22"/>
            <w:lang w:eastAsia="en-AU"/>
          </w:rPr>
          <w:t>www.delwp.vic.gov.au/property-forms</w:t>
        </w:r>
      </w:hyperlink>
      <w:r w:rsidRPr="0006346D">
        <w:rPr>
          <w:rFonts w:eastAsiaTheme="minorEastAsia"/>
          <w:lang w:eastAsia="en-AU"/>
        </w:rPr>
        <w:t>&gt;Transfer of Land Act&gt;Adverse possession) provides a comprehensive list of the evidence required. To avoid unnecessary delays in examination, the checklist needs to be properly completed prior to signing and lodging it with all necessary evidence at Land Victoria.</w:t>
      </w:r>
    </w:p>
    <w:p w:rsidR="0006346D" w:rsidRPr="0006346D" w:rsidRDefault="0006346D" w:rsidP="0006346D">
      <w:pPr>
        <w:pStyle w:val="Body"/>
        <w:rPr>
          <w:rFonts w:eastAsiaTheme="minorEastAsia"/>
          <w:lang w:eastAsia="en-AU"/>
        </w:rPr>
      </w:pPr>
      <w:r w:rsidRPr="0006346D">
        <w:rPr>
          <w:rFonts w:eastAsiaTheme="minorEastAsia"/>
          <w:lang w:eastAsia="en-AU"/>
        </w:rPr>
        <w:t>Section 60 applications often involve complex questions of law. If this is the case, Land Victoria recommends applicants seek the advice of an Australian legal practitioner who specialises in this area.</w:t>
      </w:r>
    </w:p>
    <w:p w:rsidR="0006346D" w:rsidRPr="0006346D" w:rsidRDefault="0006346D" w:rsidP="0006346D">
      <w:pPr>
        <w:pStyle w:val="Body"/>
        <w:rPr>
          <w:rFonts w:eastAsiaTheme="minorEastAsia"/>
          <w:lang w:eastAsia="en-AU"/>
        </w:rPr>
      </w:pPr>
      <w:r w:rsidRPr="0006346D">
        <w:rPr>
          <w:rFonts w:eastAsiaTheme="minorEastAsia"/>
          <w:lang w:eastAsia="en-AU"/>
        </w:rPr>
        <w:t xml:space="preserve">The guides listed below provide more information on adverse possession. They are available </w:t>
      </w:r>
      <w:hyperlink r:id="rId14" w:history="1">
        <w:r w:rsidR="00D04D28">
          <w:rPr>
            <w:rStyle w:val="Hyperlink"/>
          </w:rPr>
          <w:t>here</w:t>
        </w:r>
      </w:hyperlink>
      <w:r w:rsidRPr="0006346D">
        <w:rPr>
          <w:rFonts w:eastAsiaTheme="minorEastAsia"/>
          <w:lang w:eastAsia="en-AU"/>
        </w:rPr>
        <w:t xml:space="preserve"> and at </w:t>
      </w:r>
      <w:hyperlink r:id="rId15" w:history="1">
        <w:r w:rsidR="00D04D28">
          <w:rPr>
            <w:rStyle w:val="Hyperlink"/>
            <w:rFonts w:asciiTheme="minorHAnsi" w:hAnsiTheme="minorHAnsi"/>
            <w:szCs w:val="22"/>
            <w:lang w:eastAsia="en-AU"/>
          </w:rPr>
          <w:t>www.delwp.vic.gov.au/property-forms</w:t>
        </w:r>
      </w:hyperlink>
      <w:r w:rsidRPr="0006346D">
        <w:rPr>
          <w:rFonts w:eastAsiaTheme="minorEastAsia"/>
          <w:lang w:eastAsia="en-AU"/>
        </w:rPr>
        <w:t>&gt;Transfer of Land Act&gt;Adverse possession.</w:t>
      </w:r>
    </w:p>
    <w:p w:rsidR="0006346D" w:rsidRPr="00DA0958" w:rsidRDefault="0006346D" w:rsidP="0006346D">
      <w:pPr>
        <w:pStyle w:val="Bullet"/>
        <w:rPr>
          <w:rFonts w:eastAsiaTheme="minorEastAsia"/>
          <w:i/>
          <w:lang w:eastAsia="en-AU"/>
        </w:rPr>
      </w:pPr>
      <w:r w:rsidRPr="00DA0958">
        <w:rPr>
          <w:rFonts w:eastAsiaTheme="minorEastAsia"/>
          <w:i/>
          <w:lang w:eastAsia="en-AU"/>
        </w:rPr>
        <w:t>Guide to adverse possession</w:t>
      </w:r>
    </w:p>
    <w:p w:rsidR="0006346D" w:rsidRPr="00DA0958" w:rsidRDefault="0006346D" w:rsidP="0006346D">
      <w:pPr>
        <w:pStyle w:val="Bullet"/>
        <w:rPr>
          <w:rFonts w:eastAsiaTheme="minorEastAsia"/>
          <w:i/>
          <w:lang w:eastAsia="en-AU"/>
        </w:rPr>
      </w:pPr>
      <w:r w:rsidRPr="00DA0958">
        <w:rPr>
          <w:rFonts w:eastAsiaTheme="minorEastAsia"/>
          <w:i/>
          <w:lang w:eastAsia="en-AU"/>
        </w:rPr>
        <w:t>Guide to evidence supporting an adverse possession</w:t>
      </w:r>
    </w:p>
    <w:p w:rsidR="00CA799C" w:rsidRDefault="00CA799C" w:rsidP="00CB54C5">
      <w:pPr>
        <w:pStyle w:val="HA"/>
      </w:pPr>
      <w:r>
        <w:br w:type="page"/>
      </w:r>
    </w:p>
    <w:p w:rsidR="00206709" w:rsidRPr="00CB54C5" w:rsidRDefault="00DA0958" w:rsidP="00CB54C5">
      <w:pPr>
        <w:pStyle w:val="HA"/>
      </w:pPr>
      <w:r w:rsidRPr="00DA0958">
        <w:lastRenderedPageBreak/>
        <w:t>New practice for Not in Common Ownership (NICO) plans</w:t>
      </w:r>
    </w:p>
    <w:p w:rsidR="00DA0958" w:rsidRPr="00DA0958" w:rsidRDefault="00DA0958" w:rsidP="00DA0958">
      <w:pPr>
        <w:pStyle w:val="Body"/>
        <w:rPr>
          <w:rFonts w:eastAsiaTheme="minorEastAsia" w:cs="Helv"/>
          <w:iCs/>
          <w:color w:val="000000"/>
          <w:lang w:eastAsia="en-AU"/>
        </w:rPr>
      </w:pPr>
      <w:r w:rsidRPr="00DA0958">
        <w:rPr>
          <w:rFonts w:eastAsiaTheme="minorEastAsia" w:cs="Helv"/>
          <w:iCs/>
          <w:color w:val="000000"/>
          <w:lang w:eastAsia="en-AU"/>
        </w:rPr>
        <w:t>As advised in Customer Information Bulletin Edition 158, from 1 October 2016 Land Victoria will not register a NICO plan unless all accompanying transactions are lodged to resolve the results of the NICO plan.</w:t>
      </w:r>
    </w:p>
    <w:p w:rsidR="00DA0958" w:rsidRPr="00DA0958" w:rsidRDefault="00DA0958" w:rsidP="00DA0958">
      <w:pPr>
        <w:pStyle w:val="Body"/>
        <w:rPr>
          <w:rFonts w:eastAsiaTheme="minorEastAsia" w:cs="Helv"/>
          <w:iCs/>
          <w:color w:val="000000"/>
          <w:lang w:eastAsia="en-AU"/>
        </w:rPr>
      </w:pPr>
      <w:r w:rsidRPr="00DA0958">
        <w:rPr>
          <w:rFonts w:eastAsiaTheme="minorEastAsia" w:cs="Helv"/>
          <w:iCs/>
          <w:color w:val="000000"/>
          <w:lang w:eastAsia="en-AU"/>
        </w:rPr>
        <w:t>The required transactions typically include discharges of mortgage, transfers and new mortgages. Transactions resolving NICO issues should be lodged at Land Victoria, level 23, 570 Bourke Stre</w:t>
      </w:r>
      <w:r w:rsidR="00E232A1">
        <w:rPr>
          <w:rFonts w:eastAsiaTheme="minorEastAsia" w:cs="Helv"/>
          <w:iCs/>
          <w:color w:val="000000"/>
          <w:lang w:eastAsia="en-AU"/>
        </w:rPr>
        <w:t>et Melbourne, or through an ELN</w:t>
      </w:r>
      <w:r w:rsidRPr="00DA0958">
        <w:rPr>
          <w:rFonts w:eastAsiaTheme="minorEastAsia" w:cs="Helv"/>
          <w:iCs/>
          <w:color w:val="000000"/>
          <w:lang w:eastAsia="en-AU"/>
        </w:rPr>
        <w:t xml:space="preserve">. </w:t>
      </w:r>
    </w:p>
    <w:p w:rsidR="00206709" w:rsidRDefault="00DA0958" w:rsidP="00DA0958">
      <w:pPr>
        <w:pStyle w:val="Body"/>
        <w:rPr>
          <w:rFonts w:eastAsiaTheme="minorEastAsia" w:cs="Helv"/>
          <w:iCs/>
          <w:color w:val="000000"/>
          <w:lang w:eastAsia="en-AU"/>
        </w:rPr>
      </w:pPr>
      <w:r w:rsidRPr="00DA0958">
        <w:rPr>
          <w:rFonts w:eastAsiaTheme="minorEastAsia" w:cs="Helv"/>
          <w:iCs/>
          <w:color w:val="000000"/>
          <w:lang w:eastAsia="en-AU"/>
        </w:rPr>
        <w:t>This new practice means mortgagees will not have any difficulty exercising their power of sale.</w:t>
      </w:r>
    </w:p>
    <w:p w:rsidR="00DA0958" w:rsidRDefault="00DA0958" w:rsidP="00DA0958">
      <w:pPr>
        <w:pStyle w:val="Body"/>
      </w:pPr>
      <w:r>
        <w:t xml:space="preserve">Further information is available in the guide </w:t>
      </w:r>
      <w:hyperlink r:id="rId16" w:history="1">
        <w:r>
          <w:rPr>
            <w:rStyle w:val="Hyperlink"/>
          </w:rPr>
          <w:t>What is NICO?</w:t>
        </w:r>
      </w:hyperlink>
      <w:r>
        <w:t xml:space="preserve"> available at </w:t>
      </w:r>
      <w:hyperlink r:id="rId17" w:history="1">
        <w:r>
          <w:rPr>
            <w:rStyle w:val="Hyperlink"/>
          </w:rPr>
          <w:t>www.delwp.vic.gov.au/property-forms</w:t>
        </w:r>
      </w:hyperlink>
      <w:r>
        <w:t>&gt;Subdivision Act&gt;Owners corporation.</w:t>
      </w:r>
    </w:p>
    <w:p w:rsidR="00206709" w:rsidRPr="00206709" w:rsidRDefault="00FC51FF" w:rsidP="00CB54C5">
      <w:pPr>
        <w:pStyle w:val="HA"/>
        <w:rPr>
          <w:rFonts w:eastAsiaTheme="minorEastAsia"/>
        </w:rPr>
      </w:pPr>
      <w:r w:rsidRPr="00FC51FF">
        <w:rPr>
          <w:rFonts w:eastAsiaTheme="minorEastAsia"/>
        </w:rPr>
        <w:t>Transfer by direction</w:t>
      </w:r>
    </w:p>
    <w:p w:rsidR="00FC51FF" w:rsidRDefault="00FC51FF" w:rsidP="00FC51FF">
      <w:pPr>
        <w:pStyle w:val="Body"/>
      </w:pPr>
      <w:r>
        <w:t>Land Victoria no longer accepts transfers of land by direction. This is to align processes nationally.</w:t>
      </w:r>
    </w:p>
    <w:p w:rsidR="00FC51FF" w:rsidRDefault="00FC51FF" w:rsidP="00FC51FF">
      <w:pPr>
        <w:pStyle w:val="Body"/>
      </w:pPr>
      <w:r>
        <w:t xml:space="preserve">In the interactive </w:t>
      </w:r>
      <w:r>
        <w:rPr>
          <w:i/>
        </w:rPr>
        <w:t>Transfer of Land</w:t>
      </w:r>
      <w:r>
        <w:t xml:space="preserve"> form, the ‘Directing party’ panel still appears; however, the underlying functionality has been deactivated and the panel cannot be completed. </w:t>
      </w:r>
    </w:p>
    <w:p w:rsidR="00FC51FF" w:rsidRDefault="00FC51FF" w:rsidP="00FC51FF">
      <w:pPr>
        <w:pStyle w:val="Body"/>
      </w:pPr>
      <w:r>
        <w:t xml:space="preserve">In the </w:t>
      </w:r>
      <w:r>
        <w:rPr>
          <w:i/>
        </w:rPr>
        <w:t xml:space="preserve">Transfer of Land T2 </w:t>
      </w:r>
      <w:r>
        <w:t>form, the ‘Directing party’ panel still appears, but it must be left blank.</w:t>
      </w:r>
    </w:p>
    <w:p w:rsidR="00FC51FF" w:rsidRDefault="00FC51FF" w:rsidP="00FC51FF">
      <w:pPr>
        <w:pStyle w:val="Body"/>
        <w:rPr>
          <w:sz w:val="28"/>
          <w:szCs w:val="28"/>
        </w:rPr>
      </w:pPr>
      <w:r>
        <w:t>Transactions that may, in the past, have been reflected in a transfer of land by direction now need to be dealt with in two transfer instruments.</w:t>
      </w:r>
    </w:p>
    <w:p w:rsidR="00206709" w:rsidRPr="00206709" w:rsidRDefault="00FC51FF" w:rsidP="00CB54C5">
      <w:pPr>
        <w:pStyle w:val="HA"/>
        <w:rPr>
          <w:rFonts w:eastAsiaTheme="minorEastAsia"/>
        </w:rPr>
      </w:pPr>
      <w:r w:rsidRPr="00FC51FF">
        <w:rPr>
          <w:rFonts w:eastAsiaTheme="minorEastAsia"/>
        </w:rPr>
        <w:t>Changes to recording restrictive covenants on folios</w:t>
      </w:r>
    </w:p>
    <w:p w:rsidR="00FC51FF" w:rsidRDefault="00FC51FF" w:rsidP="00FC51FF">
      <w:pPr>
        <w:pStyle w:val="Body"/>
      </w:pPr>
      <w:r>
        <w:t xml:space="preserve">From 1 August 2017, the Registrar is proposing to change the way in which restrictive covenants (called restrictions in the </w:t>
      </w:r>
      <w:r>
        <w:rPr>
          <w:i/>
        </w:rPr>
        <w:t>Subdivision Act 1988</w:t>
      </w:r>
      <w:r>
        <w:t xml:space="preserve">) are lodged for recording in a transfer or plan (except plans under section 23 </w:t>
      </w:r>
      <w:r w:rsidR="006F1862">
        <w:t xml:space="preserve">of the </w:t>
      </w:r>
      <w:r>
        <w:rPr>
          <w:i/>
        </w:rPr>
        <w:t>Subdivision Act 1988)</w:t>
      </w:r>
      <w:r>
        <w:t xml:space="preserve">. Feedback on the proposed change is invited and can be made by 30 September 2016 – email Policy.LV@delwp.vic.gov.au. </w:t>
      </w:r>
    </w:p>
    <w:p w:rsidR="00FC51FF" w:rsidRDefault="00FC51FF" w:rsidP="00FC51FF">
      <w:pPr>
        <w:pStyle w:val="Body"/>
      </w:pPr>
      <w:r>
        <w:t>From that date on, it is proposed that restrictive covenants must be included in a Memorandum of Common Provisions (MCP).</w:t>
      </w:r>
    </w:p>
    <w:p w:rsidR="00FC51FF" w:rsidRDefault="00FC51FF" w:rsidP="00FC51FF">
      <w:pPr>
        <w:pStyle w:val="Body"/>
      </w:pPr>
      <w:r>
        <w:t xml:space="preserve">When restrictive covenants are included in an MCP, the MCP can be referenced in a plan of subdivision or subsequent transfers. </w:t>
      </w:r>
    </w:p>
    <w:p w:rsidR="00FC51FF" w:rsidRDefault="00FC51FF" w:rsidP="00FC51FF">
      <w:pPr>
        <w:pStyle w:val="Body"/>
      </w:pPr>
      <w:r>
        <w:t xml:space="preserve">MCPs are already frequently used by </w:t>
      </w:r>
      <w:r w:rsidR="006F1862">
        <w:t>property</w:t>
      </w:r>
      <w:r>
        <w:t xml:space="preserve"> developers and their representatives to record restrictive covenants relating to siting, form and design </w:t>
      </w:r>
      <w:r w:rsidR="006F1862">
        <w:t>of</w:t>
      </w:r>
      <w:r>
        <w:t xml:space="preserve"> developments, as well as specific restrictions on the uses of individual land parcels.</w:t>
      </w:r>
    </w:p>
    <w:p w:rsidR="00FC51FF" w:rsidRDefault="00FC51FF" w:rsidP="00FC51FF">
      <w:pPr>
        <w:pStyle w:val="Body"/>
      </w:pPr>
      <w:r>
        <w:t xml:space="preserve">The </w:t>
      </w:r>
      <w:r w:rsidR="006A7D3B">
        <w:t>four</w:t>
      </w:r>
      <w:r>
        <w:t xml:space="preserve"> key reasons for and benefits of this proposed change include:</w:t>
      </w:r>
    </w:p>
    <w:p w:rsidR="00FC51FF" w:rsidRDefault="00FC51FF" w:rsidP="00FC51FF">
      <w:pPr>
        <w:pStyle w:val="Bullet"/>
        <w:numPr>
          <w:ilvl w:val="0"/>
          <w:numId w:val="40"/>
        </w:numPr>
        <w:tabs>
          <w:tab w:val="num" w:pos="0"/>
        </w:tabs>
      </w:pPr>
      <w:r>
        <w:t>processing efficiencies for customers because the MCP will be examined up-front by Land Victoria, which will catch any issues before a plan or transfer is lodged – customers will only need to review the details of the restrictive covenant once</w:t>
      </w:r>
    </w:p>
    <w:p w:rsidR="00FC51FF" w:rsidRDefault="00FC51FF" w:rsidP="00FC51FF">
      <w:pPr>
        <w:pStyle w:val="Bullet"/>
        <w:numPr>
          <w:ilvl w:val="0"/>
          <w:numId w:val="40"/>
        </w:numPr>
        <w:tabs>
          <w:tab w:val="num" w:pos="0"/>
        </w:tabs>
      </w:pPr>
      <w:r>
        <w:t>minimising errors, which are often made when the full text of a restrictive covenant is included in a transfer, typically due to transcribing errors or omission of some of the terms of the restrictive covenant –  correcting the errors is complex and may require an application to a court</w:t>
      </w:r>
    </w:p>
    <w:p w:rsidR="00FC51FF" w:rsidRDefault="00FC51FF" w:rsidP="00FC51FF">
      <w:pPr>
        <w:pStyle w:val="Bullet"/>
        <w:numPr>
          <w:ilvl w:val="0"/>
          <w:numId w:val="40"/>
        </w:numPr>
        <w:tabs>
          <w:tab w:val="num" w:pos="0"/>
        </w:tabs>
      </w:pPr>
      <w:r>
        <w:t>easy searching of one MCP instead of multiple transfer documents</w:t>
      </w:r>
    </w:p>
    <w:p w:rsidR="00FC51FF" w:rsidRDefault="00FC51FF" w:rsidP="00FC51FF">
      <w:pPr>
        <w:pStyle w:val="Bullet"/>
        <w:numPr>
          <w:ilvl w:val="0"/>
          <w:numId w:val="40"/>
        </w:numPr>
        <w:tabs>
          <w:tab w:val="num" w:pos="0"/>
        </w:tabs>
      </w:pPr>
      <w:r>
        <w:lastRenderedPageBreak/>
        <w:t>improved processing and recording at Land Victoria because the restrictive covenant’s details only need to be examined once rather than numerous times when they are included in a transfer.</w:t>
      </w:r>
    </w:p>
    <w:p w:rsidR="00FC51FF" w:rsidRDefault="00FC51FF" w:rsidP="00FC51FF">
      <w:pPr>
        <w:pStyle w:val="Body"/>
      </w:pPr>
      <w:r>
        <w:t xml:space="preserve">The Registrar is proposing to include this change in the next version of the </w:t>
      </w:r>
      <w:r>
        <w:rPr>
          <w:i/>
        </w:rPr>
        <w:t>Registrar’s requirements for paper conveyancing transactions</w:t>
      </w:r>
      <w:r>
        <w:t xml:space="preserve">. </w:t>
      </w:r>
    </w:p>
    <w:p w:rsidR="00206709" w:rsidRPr="00206709" w:rsidRDefault="00FC51FF" w:rsidP="00CB54C5">
      <w:pPr>
        <w:pStyle w:val="HA"/>
        <w:rPr>
          <w:rFonts w:eastAsiaTheme="minorEastAsia"/>
        </w:rPr>
      </w:pPr>
      <w:r w:rsidRPr="00FC51FF">
        <w:rPr>
          <w:rFonts w:eastAsiaTheme="minorEastAsia"/>
        </w:rPr>
        <w:t>Compliance examinations of subscribers to an ELN</w:t>
      </w:r>
    </w:p>
    <w:p w:rsidR="00FC51FF" w:rsidRDefault="00FC51FF" w:rsidP="00FC51FF">
      <w:pPr>
        <w:pStyle w:val="Body"/>
      </w:pPr>
      <w:r>
        <w:t xml:space="preserve">The Registrar will be undertaking </w:t>
      </w:r>
      <w:r>
        <w:rPr>
          <w:i/>
        </w:rPr>
        <w:t xml:space="preserve">ad hoc </w:t>
      </w:r>
      <w:r>
        <w:t>compliance examinations to:</w:t>
      </w:r>
    </w:p>
    <w:p w:rsidR="00FC51FF" w:rsidRDefault="00FC51FF" w:rsidP="00FC51FF">
      <w:pPr>
        <w:pStyle w:val="Bullet"/>
        <w:rPr>
          <w:szCs w:val="22"/>
        </w:rPr>
      </w:pPr>
      <w:r>
        <w:t>help subscribers meet their obligations and responsibilities under the participation rules for electronic conveyancing</w:t>
      </w:r>
    </w:p>
    <w:p w:rsidR="00FC51FF" w:rsidRDefault="00FC51FF" w:rsidP="00FC51FF">
      <w:pPr>
        <w:pStyle w:val="Bullet"/>
      </w:pPr>
      <w:r>
        <w:t xml:space="preserve">build </w:t>
      </w:r>
      <w:r w:rsidR="00FF4818">
        <w:t>trust and confidence in the ELN</w:t>
      </w:r>
      <w:r>
        <w:t>.</w:t>
      </w:r>
    </w:p>
    <w:p w:rsidR="00FC51FF" w:rsidRPr="00FC51FF" w:rsidRDefault="00FC51FF" w:rsidP="00FC51FF">
      <w:pPr>
        <w:pStyle w:val="Body"/>
      </w:pPr>
      <w:r>
        <w:t xml:space="preserve">The Electronic </w:t>
      </w:r>
      <w:r w:rsidRPr="00FC51FF">
        <w:t>Conveyancing National Law and the Participation Rules set out the scope and purpose of such examinations, and the obligation of subscribers to fully cooperate with them.</w:t>
      </w:r>
    </w:p>
    <w:p w:rsidR="00FC51FF" w:rsidRPr="00FC51FF" w:rsidRDefault="00FC51FF" w:rsidP="00FC51FF">
      <w:pPr>
        <w:pStyle w:val="Body"/>
      </w:pPr>
      <w:r w:rsidRPr="00FC51FF">
        <w:t>Selected subscribers will be notified in writing, identifying the instruments to be reviewed and requesting documents and other information to demonstrate compliance with the Participation Rules. Subscribers will be given at least 10 business days within which to comply and will then be notified in writing of the examination’s outcome.</w:t>
      </w:r>
    </w:p>
    <w:p w:rsidR="00FC51FF" w:rsidRDefault="00FC51FF" w:rsidP="00FC51FF">
      <w:pPr>
        <w:pStyle w:val="Body"/>
      </w:pPr>
      <w:r w:rsidRPr="00FC51FF">
        <w:t>The Australian Registrars’ National Electronic Conveyancing Council (ARNECC) recently published a Model Participation Rules guidance</w:t>
      </w:r>
      <w:r>
        <w:t xml:space="preserve"> note that contains a checklist of what is covered in a compliance examination: </w:t>
      </w:r>
      <w:hyperlink r:id="rId18" w:history="1">
        <w:r>
          <w:rPr>
            <w:rStyle w:val="Hyperlink"/>
            <w:i/>
          </w:rPr>
          <w:t>MPR Guidance Note #6 – Compliance Examinations</w:t>
        </w:r>
      </w:hyperlink>
      <w:r>
        <w:rPr>
          <w:i/>
        </w:rPr>
        <w:t xml:space="preserve"> </w:t>
      </w:r>
      <w:r>
        <w:t>(</w:t>
      </w:r>
      <w:r>
        <w:rPr>
          <w:rFonts w:eastAsia="Calibri"/>
          <w:color w:val="000000"/>
          <w:lang w:eastAsia="en-AU"/>
        </w:rPr>
        <w:t xml:space="preserve">available at </w:t>
      </w:r>
      <w:hyperlink r:id="rId19" w:history="1">
        <w:r>
          <w:rPr>
            <w:rStyle w:val="Hyperlink"/>
            <w:szCs w:val="22"/>
            <w:lang w:eastAsia="en-AU"/>
          </w:rPr>
          <w:t>www.arnecc.gov.au/publications</w:t>
        </w:r>
      </w:hyperlink>
      <w:r>
        <w:rPr>
          <w:rFonts w:eastAsia="Calibri"/>
          <w:color w:val="000000"/>
          <w:lang w:eastAsia="en-AU"/>
        </w:rPr>
        <w:t>&gt;Model Participation Rules Guidance Notes)</w:t>
      </w:r>
      <w:r>
        <w:rPr>
          <w:i/>
        </w:rPr>
        <w:t>.</w:t>
      </w:r>
      <w:r>
        <w:t xml:space="preserve"> </w:t>
      </w:r>
    </w:p>
    <w:p w:rsidR="00D938EF" w:rsidRPr="00D938EF" w:rsidRDefault="00FC51FF" w:rsidP="00D938EF">
      <w:pPr>
        <w:pStyle w:val="HA"/>
        <w:rPr>
          <w:rFonts w:eastAsiaTheme="minorEastAsia"/>
        </w:rPr>
      </w:pPr>
      <w:r w:rsidRPr="00FC51FF">
        <w:rPr>
          <w:rFonts w:eastAsiaTheme="minorEastAsia"/>
        </w:rPr>
        <w:t>Answering requisitions, stopped case notices and other correspondence</w:t>
      </w:r>
    </w:p>
    <w:p w:rsidR="00A2623B" w:rsidRPr="00A2623B" w:rsidRDefault="00A2623B" w:rsidP="00A2623B">
      <w:pPr>
        <w:pStyle w:val="Body"/>
        <w:rPr>
          <w:rFonts w:eastAsiaTheme="minorEastAsia"/>
          <w:lang w:eastAsia="en-AU"/>
        </w:rPr>
      </w:pPr>
      <w:r w:rsidRPr="00A2623B">
        <w:rPr>
          <w:rFonts w:eastAsiaTheme="minorEastAsia"/>
          <w:lang w:eastAsia="en-AU"/>
        </w:rPr>
        <w:t xml:space="preserve">When responding to a requisition or stopped case notice, correspondence should only be sent to one of the following addresses: </w:t>
      </w:r>
    </w:p>
    <w:p w:rsidR="00A2623B" w:rsidRPr="00A2623B" w:rsidRDefault="00A2623B" w:rsidP="00A2623B">
      <w:pPr>
        <w:pStyle w:val="Body"/>
        <w:rPr>
          <w:rFonts w:eastAsiaTheme="minorEastAsia"/>
          <w:lang w:eastAsia="en-AU"/>
        </w:rPr>
      </w:pPr>
      <w:r w:rsidRPr="00A2623B">
        <w:rPr>
          <w:rFonts w:eastAsiaTheme="minorEastAsia"/>
          <w:lang w:eastAsia="en-AU"/>
        </w:rPr>
        <w:t>Registrar of Titles</w:t>
      </w:r>
      <w:r>
        <w:rPr>
          <w:rFonts w:eastAsiaTheme="minorEastAsia"/>
          <w:lang w:eastAsia="en-AU"/>
        </w:rPr>
        <w:br/>
      </w:r>
      <w:r w:rsidRPr="00A2623B">
        <w:rPr>
          <w:rFonts w:eastAsiaTheme="minorEastAsia"/>
          <w:lang w:eastAsia="en-AU"/>
        </w:rPr>
        <w:t>Land Victoria</w:t>
      </w:r>
      <w:r>
        <w:rPr>
          <w:rFonts w:eastAsiaTheme="minorEastAsia"/>
          <w:lang w:eastAsia="en-AU"/>
        </w:rPr>
        <w:br/>
      </w:r>
      <w:r w:rsidRPr="00A2623B">
        <w:rPr>
          <w:rFonts w:eastAsiaTheme="minorEastAsia"/>
          <w:lang w:eastAsia="en-AU"/>
        </w:rPr>
        <w:t xml:space="preserve">GPO Box </w:t>
      </w:r>
      <w:r w:rsidR="0060206C">
        <w:rPr>
          <w:rFonts w:eastAsiaTheme="minorEastAsia"/>
          <w:lang w:eastAsia="en-AU"/>
        </w:rPr>
        <w:t>5</w:t>
      </w:r>
      <w:r w:rsidRPr="00A2623B">
        <w:rPr>
          <w:rFonts w:eastAsiaTheme="minorEastAsia"/>
          <w:lang w:eastAsia="en-AU"/>
        </w:rPr>
        <w:t>27</w:t>
      </w:r>
      <w:r>
        <w:rPr>
          <w:rFonts w:eastAsiaTheme="minorEastAsia"/>
          <w:lang w:eastAsia="en-AU"/>
        </w:rPr>
        <w:br/>
      </w:r>
      <w:r w:rsidRPr="00A2623B">
        <w:rPr>
          <w:rFonts w:eastAsiaTheme="minorEastAsia"/>
          <w:lang w:eastAsia="en-AU"/>
        </w:rPr>
        <w:t>Melbourne 3001</w:t>
      </w:r>
    </w:p>
    <w:p w:rsidR="00A2623B" w:rsidRPr="00A2623B" w:rsidRDefault="00A2623B" w:rsidP="00A2623B">
      <w:pPr>
        <w:pStyle w:val="Body"/>
        <w:rPr>
          <w:rFonts w:eastAsiaTheme="minorEastAsia"/>
          <w:lang w:eastAsia="en-AU"/>
        </w:rPr>
      </w:pPr>
      <w:r w:rsidRPr="00A2623B">
        <w:rPr>
          <w:rFonts w:eastAsiaTheme="minorEastAsia"/>
          <w:lang w:eastAsia="en-AU"/>
        </w:rPr>
        <w:t>OR</w:t>
      </w:r>
    </w:p>
    <w:p w:rsidR="00A2623B" w:rsidRPr="00A2623B" w:rsidRDefault="00A2623B" w:rsidP="00A2623B">
      <w:pPr>
        <w:pStyle w:val="Body"/>
        <w:rPr>
          <w:rFonts w:eastAsiaTheme="minorEastAsia"/>
          <w:lang w:eastAsia="en-AU"/>
        </w:rPr>
      </w:pPr>
      <w:r w:rsidRPr="00A2623B">
        <w:rPr>
          <w:rFonts w:eastAsiaTheme="minorEastAsia"/>
          <w:lang w:eastAsia="en-AU"/>
        </w:rPr>
        <w:t>Registrar of Titles</w:t>
      </w:r>
      <w:r>
        <w:rPr>
          <w:rFonts w:eastAsiaTheme="minorEastAsia"/>
          <w:lang w:eastAsia="en-AU"/>
        </w:rPr>
        <w:br/>
      </w:r>
      <w:r w:rsidRPr="00A2623B">
        <w:rPr>
          <w:rFonts w:eastAsiaTheme="minorEastAsia"/>
          <w:lang w:eastAsia="en-AU"/>
        </w:rPr>
        <w:t>Land Victoria</w:t>
      </w:r>
      <w:r>
        <w:rPr>
          <w:rFonts w:eastAsiaTheme="minorEastAsia"/>
          <w:lang w:eastAsia="en-AU"/>
        </w:rPr>
        <w:br/>
      </w:r>
      <w:r w:rsidRPr="00A2623B">
        <w:rPr>
          <w:rFonts w:eastAsiaTheme="minorEastAsia"/>
          <w:lang w:eastAsia="en-AU"/>
        </w:rPr>
        <w:t xml:space="preserve">DX 250639 Melbourne </w:t>
      </w:r>
    </w:p>
    <w:p w:rsidR="00A2623B" w:rsidRPr="00A2623B" w:rsidRDefault="00A2623B" w:rsidP="00A2623B">
      <w:pPr>
        <w:pStyle w:val="Body"/>
        <w:rPr>
          <w:rFonts w:eastAsiaTheme="minorEastAsia"/>
          <w:lang w:eastAsia="en-AU"/>
        </w:rPr>
      </w:pPr>
      <w:r w:rsidRPr="00A2623B">
        <w:rPr>
          <w:rFonts w:eastAsiaTheme="minorEastAsia"/>
          <w:lang w:eastAsia="en-AU"/>
        </w:rPr>
        <w:t>OR</w:t>
      </w:r>
    </w:p>
    <w:p w:rsidR="00A2623B" w:rsidRPr="00A2623B" w:rsidRDefault="00A2623B" w:rsidP="00A2623B">
      <w:pPr>
        <w:pStyle w:val="Body"/>
        <w:rPr>
          <w:rFonts w:eastAsiaTheme="minorEastAsia"/>
          <w:lang w:eastAsia="en-AU"/>
        </w:rPr>
      </w:pPr>
      <w:r w:rsidRPr="00A2623B">
        <w:rPr>
          <w:rFonts w:eastAsiaTheme="minorEastAsia"/>
          <w:lang w:eastAsia="en-AU"/>
        </w:rPr>
        <w:t>Be delivered in person to Level 27, 570 Bourke Street, Melbourne 3000.</w:t>
      </w:r>
    </w:p>
    <w:p w:rsidR="006A7D3B" w:rsidRDefault="006A7D3B" w:rsidP="00A2623B">
      <w:pPr>
        <w:pStyle w:val="Body"/>
        <w:rPr>
          <w:rFonts w:eastAsiaTheme="minorEastAsia"/>
          <w:lang w:eastAsia="en-AU"/>
        </w:rPr>
      </w:pPr>
      <w:r>
        <w:rPr>
          <w:rFonts w:eastAsiaTheme="minorEastAsia"/>
          <w:lang w:eastAsia="en-AU"/>
        </w:rPr>
        <w:br w:type="page"/>
      </w:r>
    </w:p>
    <w:p w:rsidR="00A2623B" w:rsidRPr="00A2623B" w:rsidRDefault="00A2623B" w:rsidP="00A2623B">
      <w:pPr>
        <w:pStyle w:val="Body"/>
        <w:rPr>
          <w:rFonts w:eastAsiaTheme="minorEastAsia"/>
          <w:lang w:eastAsia="en-AU"/>
        </w:rPr>
      </w:pPr>
      <w:r w:rsidRPr="00A2623B">
        <w:rPr>
          <w:rFonts w:eastAsiaTheme="minorEastAsia"/>
          <w:lang w:eastAsia="en-AU"/>
        </w:rPr>
        <w:lastRenderedPageBreak/>
        <w:t>Correspondence relating to folios of the Register affected by a NARF (Notice of action in respect of a folio) should be sent to one the following addresses:</w:t>
      </w:r>
    </w:p>
    <w:p w:rsidR="00A2623B" w:rsidRPr="00A2623B" w:rsidRDefault="00A2623B" w:rsidP="00A2623B">
      <w:pPr>
        <w:pStyle w:val="Body"/>
        <w:rPr>
          <w:rFonts w:eastAsiaTheme="minorEastAsia"/>
          <w:lang w:eastAsia="en-AU"/>
        </w:rPr>
      </w:pPr>
      <w:r w:rsidRPr="00A2623B">
        <w:rPr>
          <w:rFonts w:eastAsiaTheme="minorEastAsia"/>
          <w:lang w:eastAsia="en-AU"/>
        </w:rPr>
        <w:t>Warrants Officer</w:t>
      </w:r>
      <w:r>
        <w:rPr>
          <w:rFonts w:eastAsiaTheme="minorEastAsia"/>
          <w:lang w:eastAsia="en-AU"/>
        </w:rPr>
        <w:br/>
      </w:r>
      <w:r w:rsidRPr="00A2623B">
        <w:rPr>
          <w:rFonts w:eastAsiaTheme="minorEastAsia"/>
          <w:lang w:eastAsia="en-AU"/>
        </w:rPr>
        <w:t>Land Victoria</w:t>
      </w:r>
      <w:r>
        <w:rPr>
          <w:rFonts w:eastAsiaTheme="minorEastAsia"/>
          <w:lang w:eastAsia="en-AU"/>
        </w:rPr>
        <w:br/>
      </w:r>
      <w:r w:rsidRPr="00A2623B">
        <w:rPr>
          <w:rFonts w:eastAsiaTheme="minorEastAsia"/>
          <w:lang w:eastAsia="en-AU"/>
        </w:rPr>
        <w:t xml:space="preserve">GPO Box </w:t>
      </w:r>
      <w:r w:rsidR="0060206C">
        <w:rPr>
          <w:rFonts w:eastAsiaTheme="minorEastAsia"/>
          <w:lang w:eastAsia="en-AU"/>
        </w:rPr>
        <w:t>5</w:t>
      </w:r>
      <w:bookmarkStart w:id="1" w:name="_GoBack"/>
      <w:bookmarkEnd w:id="1"/>
      <w:r w:rsidRPr="00A2623B">
        <w:rPr>
          <w:rFonts w:eastAsiaTheme="minorEastAsia"/>
          <w:lang w:eastAsia="en-AU"/>
        </w:rPr>
        <w:t>27</w:t>
      </w:r>
      <w:r>
        <w:rPr>
          <w:rFonts w:eastAsiaTheme="minorEastAsia"/>
          <w:lang w:eastAsia="en-AU"/>
        </w:rPr>
        <w:br/>
      </w:r>
      <w:r w:rsidRPr="00A2623B">
        <w:rPr>
          <w:rFonts w:eastAsiaTheme="minorEastAsia"/>
          <w:lang w:eastAsia="en-AU"/>
        </w:rPr>
        <w:t>Melbourne 3001</w:t>
      </w:r>
    </w:p>
    <w:p w:rsidR="00A2623B" w:rsidRPr="00A2623B" w:rsidRDefault="00A2623B" w:rsidP="00A2623B">
      <w:pPr>
        <w:pStyle w:val="Body"/>
        <w:rPr>
          <w:rFonts w:eastAsiaTheme="minorEastAsia"/>
          <w:lang w:eastAsia="en-AU"/>
        </w:rPr>
      </w:pPr>
      <w:r w:rsidRPr="00A2623B">
        <w:rPr>
          <w:rFonts w:eastAsiaTheme="minorEastAsia"/>
          <w:lang w:eastAsia="en-AU"/>
        </w:rPr>
        <w:t>OR</w:t>
      </w:r>
    </w:p>
    <w:p w:rsidR="00A2623B" w:rsidRPr="00A2623B" w:rsidRDefault="00A2623B" w:rsidP="00A2623B">
      <w:pPr>
        <w:pStyle w:val="Body"/>
        <w:rPr>
          <w:rFonts w:eastAsiaTheme="minorEastAsia"/>
          <w:lang w:eastAsia="en-AU"/>
        </w:rPr>
      </w:pPr>
      <w:r w:rsidRPr="00A2623B">
        <w:rPr>
          <w:rFonts w:eastAsiaTheme="minorEastAsia"/>
          <w:lang w:eastAsia="en-AU"/>
        </w:rPr>
        <w:t>Warrants Officer</w:t>
      </w:r>
      <w:r>
        <w:rPr>
          <w:rFonts w:eastAsiaTheme="minorEastAsia"/>
          <w:lang w:eastAsia="en-AU"/>
        </w:rPr>
        <w:br/>
      </w:r>
      <w:r w:rsidRPr="00A2623B">
        <w:rPr>
          <w:rFonts w:eastAsiaTheme="minorEastAsia"/>
          <w:lang w:eastAsia="en-AU"/>
        </w:rPr>
        <w:t>Land Victoria</w:t>
      </w:r>
      <w:r>
        <w:rPr>
          <w:rFonts w:eastAsiaTheme="minorEastAsia"/>
          <w:lang w:eastAsia="en-AU"/>
        </w:rPr>
        <w:br/>
      </w:r>
      <w:r w:rsidRPr="00A2623B">
        <w:rPr>
          <w:rFonts w:eastAsiaTheme="minorEastAsia"/>
          <w:lang w:eastAsia="en-AU"/>
        </w:rPr>
        <w:t>DX 250639 Melbourne</w:t>
      </w:r>
    </w:p>
    <w:p w:rsidR="00A2623B" w:rsidRPr="00A2623B" w:rsidRDefault="00A2623B" w:rsidP="00A2623B">
      <w:pPr>
        <w:pStyle w:val="Body"/>
        <w:rPr>
          <w:rFonts w:eastAsiaTheme="minorEastAsia"/>
          <w:lang w:eastAsia="en-AU"/>
        </w:rPr>
      </w:pPr>
      <w:r w:rsidRPr="00A2623B">
        <w:rPr>
          <w:rFonts w:eastAsiaTheme="minorEastAsia"/>
          <w:lang w:eastAsia="en-AU"/>
        </w:rPr>
        <w:t>OR</w:t>
      </w:r>
    </w:p>
    <w:p w:rsidR="00A2623B" w:rsidRPr="00A2623B" w:rsidRDefault="00A2623B" w:rsidP="00A2623B">
      <w:pPr>
        <w:pStyle w:val="Body"/>
        <w:rPr>
          <w:rFonts w:eastAsiaTheme="minorEastAsia"/>
          <w:lang w:eastAsia="en-AU"/>
        </w:rPr>
      </w:pPr>
      <w:r w:rsidRPr="00A2623B">
        <w:rPr>
          <w:rFonts w:eastAsiaTheme="minorEastAsia"/>
          <w:lang w:eastAsia="en-AU"/>
        </w:rPr>
        <w:t>Be delivered in person to Level 27, 570 Bourke Street, Melbourne 3000.</w:t>
      </w:r>
    </w:p>
    <w:p w:rsidR="00A2623B" w:rsidRPr="00A2623B" w:rsidRDefault="00A2623B" w:rsidP="00A2623B">
      <w:pPr>
        <w:pStyle w:val="Body"/>
        <w:rPr>
          <w:rFonts w:eastAsiaTheme="minorEastAsia"/>
          <w:lang w:eastAsia="en-AU"/>
        </w:rPr>
      </w:pPr>
      <w:r w:rsidRPr="00A2623B">
        <w:rPr>
          <w:rFonts w:eastAsiaTheme="minorEastAsia"/>
          <w:lang w:eastAsia="en-AU"/>
        </w:rPr>
        <w:t>Correspondence should not be emailed direct to the Registrar of Titles or anyone else at Land Victoria (unless specifically directed to do so).</w:t>
      </w:r>
    </w:p>
    <w:p w:rsidR="00206709" w:rsidRPr="00A2623B" w:rsidRDefault="00A2623B" w:rsidP="006A7D3B">
      <w:pPr>
        <w:pStyle w:val="HD"/>
        <w:rPr>
          <w:rFonts w:eastAsia="Calibri"/>
        </w:rPr>
      </w:pPr>
      <w:r w:rsidRPr="00A2623B">
        <w:rPr>
          <w:rFonts w:eastAsiaTheme="minorEastAsia"/>
          <w:lang w:eastAsia="en-AU"/>
        </w:rPr>
        <w:t>Your correspondence will be delayed if you fail to send it to the appropriate address.</w:t>
      </w:r>
    </w:p>
    <w:p w:rsidR="00D250A8" w:rsidRPr="004F627B" w:rsidRDefault="00D250A8" w:rsidP="00D250A8">
      <w:pPr>
        <w:pStyle w:val="HA"/>
      </w:pPr>
      <w:r w:rsidRPr="004F627B">
        <w:t>Contact us</w:t>
      </w:r>
    </w:p>
    <w:p w:rsidR="00D250A8" w:rsidRDefault="00D250A8" w:rsidP="00D250A8">
      <w:pPr>
        <w:pStyle w:val="Body"/>
        <w:rPr>
          <w:rFonts w:eastAsia="Calibri"/>
        </w:rPr>
      </w:pPr>
      <w:r w:rsidRPr="00BB214C">
        <w:rPr>
          <w:rFonts w:eastAsia="Calibri"/>
        </w:rPr>
        <w:t>For</w:t>
      </w:r>
      <w:r w:rsidRPr="00631645">
        <w:rPr>
          <w:rFonts w:asciiTheme="minorHAnsi" w:eastAsia="Calibri" w:hAnsiTheme="minorHAnsi" w:cs="Tahoma"/>
          <w:szCs w:val="22"/>
        </w:rPr>
        <w:t xml:space="preserve"> </w:t>
      </w:r>
      <w:hyperlink r:id="rId20" w:history="1">
        <w:r w:rsidRPr="00631645">
          <w:rPr>
            <w:rStyle w:val="Hyperlink"/>
            <w:rFonts w:asciiTheme="minorHAnsi" w:eastAsia="Calibri" w:hAnsiTheme="minorHAnsi" w:cs="Tahoma"/>
            <w:szCs w:val="22"/>
          </w:rPr>
          <w:t>location and contact details</w:t>
        </w:r>
      </w:hyperlink>
      <w:r w:rsidRPr="00F16117">
        <w:rPr>
          <w:rFonts w:asciiTheme="minorHAnsi" w:eastAsia="Calibri" w:hAnsiTheme="minorHAnsi"/>
          <w:szCs w:val="22"/>
        </w:rPr>
        <w:t>,</w:t>
      </w:r>
      <w:r w:rsidRPr="00BB214C">
        <w:rPr>
          <w:rFonts w:eastAsia="Calibri"/>
        </w:rPr>
        <w:t xml:space="preserve"> </w:t>
      </w:r>
      <w:r>
        <w:rPr>
          <w:rFonts w:eastAsia="Calibri"/>
        </w:rPr>
        <w:t>go</w:t>
      </w:r>
      <w:r w:rsidRPr="00BB214C">
        <w:rPr>
          <w:rFonts w:eastAsia="Calibri"/>
        </w:rPr>
        <w:t xml:space="preserve"> to </w:t>
      </w:r>
      <w:hyperlink r:id="rId21" w:history="1">
        <w:r w:rsidRPr="005D3450">
          <w:rPr>
            <w:rStyle w:val="Hyperlink"/>
          </w:rPr>
          <w:t>www.delwp.vic.gov.au/property</w:t>
        </w:r>
      </w:hyperlink>
      <w:r>
        <w:rPr>
          <w:rFonts w:eastAsia="Calibri"/>
        </w:rPr>
        <w:t>&gt;Contact Land Victoria</w:t>
      </w:r>
      <w:r w:rsidRPr="00BB214C">
        <w:rPr>
          <w:rFonts w:eastAsia="Calibri"/>
        </w:rPr>
        <w:t>.</w:t>
      </w:r>
    </w:p>
    <w:p w:rsidR="00D250A8" w:rsidRPr="004F627B" w:rsidRDefault="00D250A8" w:rsidP="00D250A8">
      <w:pPr>
        <w:pStyle w:val="HA"/>
        <w:rPr>
          <w:rFonts w:eastAsia="Calibri"/>
        </w:rPr>
      </w:pPr>
      <w:r w:rsidRPr="004F627B">
        <w:rPr>
          <w:rFonts w:eastAsia="Calibri"/>
        </w:rPr>
        <w:t>Subscribe</w:t>
      </w:r>
    </w:p>
    <w:p w:rsidR="00D250A8" w:rsidRDefault="00D250A8" w:rsidP="00D250A8">
      <w:pPr>
        <w:pStyle w:val="Body"/>
        <w:rPr>
          <w:rFonts w:eastAsia="Calibri"/>
        </w:rPr>
      </w:pPr>
      <w:r w:rsidRPr="00BB214C">
        <w:rPr>
          <w:rFonts w:eastAsia="Calibri"/>
        </w:rPr>
        <w:t>To receive the Customer Information Bulletin online, please send an email to lv.cib@d</w:t>
      </w:r>
      <w:r>
        <w:rPr>
          <w:rFonts w:eastAsia="Calibri"/>
        </w:rPr>
        <w:t>elwp</w:t>
      </w:r>
      <w:r w:rsidRPr="00BB214C">
        <w:rPr>
          <w:rFonts w:eastAsia="Calibri"/>
        </w:rPr>
        <w:t>.vic.gov.au with SUBSCRIBE in the subject line –</w:t>
      </w:r>
      <w:r>
        <w:rPr>
          <w:rFonts w:eastAsia="Calibri"/>
        </w:rPr>
        <w:t xml:space="preserve"> </w:t>
      </w:r>
      <w:r w:rsidRPr="00BB214C">
        <w:rPr>
          <w:rFonts w:eastAsia="Calibri"/>
        </w:rPr>
        <w:t xml:space="preserve">include your name and </w:t>
      </w:r>
      <w:r>
        <w:rPr>
          <w:rFonts w:eastAsia="Calibri"/>
        </w:rPr>
        <w:t xml:space="preserve">email </w:t>
      </w:r>
      <w:r w:rsidRPr="00BB214C">
        <w:rPr>
          <w:rFonts w:eastAsia="Calibri"/>
        </w:rPr>
        <w:t>address in the body of the email.</w:t>
      </w:r>
    </w:p>
    <w:p w:rsidR="00D250A8" w:rsidRDefault="00D250A8" w:rsidP="00D250A8">
      <w:pPr>
        <w:pStyle w:val="Body"/>
        <w:rPr>
          <w:rFonts w:eastAsia="Calibri"/>
        </w:rPr>
      </w:pPr>
    </w:p>
    <w:p w:rsidR="00206709" w:rsidRDefault="00206709" w:rsidP="00206709">
      <w:pPr>
        <w:pStyle w:val="Body"/>
        <w:rPr>
          <w:rFonts w:eastAsia="Calibri"/>
        </w:rPr>
      </w:pPr>
    </w:p>
    <w:p w:rsidR="00750DFC" w:rsidRDefault="006A7D3B" w:rsidP="00FC4E61">
      <w:pPr>
        <w:pStyle w:val="Body"/>
        <w:rPr>
          <w:rFonts w:eastAsia="Calibri"/>
        </w:rPr>
      </w:pPr>
      <w:r>
        <w:rPr>
          <w:rFonts w:eastAsia="Calibri"/>
          <w:noProof/>
          <w:lang w:eastAsia="en-AU"/>
        </w:rPr>
        <mc:AlternateContent>
          <mc:Choice Requires="wps">
            <w:drawing>
              <wp:anchor distT="0" distB="0" distL="114300" distR="114300" simplePos="0" relativeHeight="251659776" behindDoc="0" locked="0" layoutInCell="1" allowOverlap="1" wp14:anchorId="54DED305" wp14:editId="03525929">
                <wp:simplePos x="0" y="0"/>
                <wp:positionH relativeFrom="column">
                  <wp:posOffset>-5313</wp:posOffset>
                </wp:positionH>
                <wp:positionV relativeFrom="paragraph">
                  <wp:posOffset>106331</wp:posOffset>
                </wp:positionV>
                <wp:extent cx="6682740" cy="2459865"/>
                <wp:effectExtent l="0" t="0" r="22860" b="17145"/>
                <wp:wrapNone/>
                <wp:docPr id="5" name="Text Box 5"/>
                <wp:cNvGraphicFramePr/>
                <a:graphic xmlns:a="http://schemas.openxmlformats.org/drawingml/2006/main">
                  <a:graphicData uri="http://schemas.microsoft.com/office/word/2010/wordprocessingShape">
                    <wps:wsp>
                      <wps:cNvSpPr txBox="1"/>
                      <wps:spPr>
                        <a:xfrm>
                          <a:off x="0" y="0"/>
                          <a:ext cx="6682740" cy="2459865"/>
                        </a:xfrm>
                        <a:prstGeom prst="rect">
                          <a:avLst/>
                        </a:prstGeom>
                        <a:solidFill>
                          <a:sysClr val="window" lastClr="FFFFFF"/>
                        </a:solidFill>
                        <a:ln w="6350">
                          <a:solidFill>
                            <a:sysClr val="window" lastClr="FFFFFF">
                              <a:lumMod val="75000"/>
                            </a:sysClr>
                          </a:solidFill>
                        </a:ln>
                        <a:effectLst/>
                      </wps:spPr>
                      <wps:txbx>
                        <w:txbxContent>
                          <w:tbl>
                            <w:tblPr>
                              <w:tblW w:w="10456" w:type="dxa"/>
                              <w:tblLook w:val="01E0" w:firstRow="1" w:lastRow="1" w:firstColumn="1" w:lastColumn="1" w:noHBand="0" w:noVBand="0"/>
                            </w:tblPr>
                            <w:tblGrid>
                              <w:gridCol w:w="5228"/>
                              <w:gridCol w:w="5228"/>
                            </w:tblGrid>
                            <w:tr w:rsidR="00A46FE4" w:rsidRPr="0072604A" w:rsidTr="00206709">
                              <w:trPr>
                                <w:trHeight w:val="2241"/>
                              </w:trPr>
                              <w:tc>
                                <w:tcPr>
                                  <w:tcW w:w="5228" w:type="dxa"/>
                                  <w:shd w:val="clear" w:color="auto" w:fill="auto"/>
                                </w:tcPr>
                                <w:p w:rsidR="00A46FE4" w:rsidRPr="00BE2F5F" w:rsidRDefault="00A46FE4" w:rsidP="00206709">
                                  <w:pPr>
                                    <w:pStyle w:val="ImprintText"/>
                                  </w:pPr>
                                  <w:r w:rsidRPr="00BE2F5F">
                                    <w:t xml:space="preserve">© The State of Victoria Department of Environment, Land, Water and </w:t>
                                  </w:r>
                                  <w:r w:rsidRPr="00BE2F5F">
                                    <w:br/>
                                    <w:t>Planning 201</w:t>
                                  </w:r>
                                  <w:r>
                                    <w:t>6</w:t>
                                  </w:r>
                                </w:p>
                                <w:p w:rsidR="00A46FE4" w:rsidRPr="00BE2F5F" w:rsidRDefault="00A46FE4" w:rsidP="00206709">
                                  <w:pPr>
                                    <w:pStyle w:val="ImprintText"/>
                                  </w:pPr>
                                  <w:r w:rsidRPr="00BE2F5F">
                                    <w:rPr>
                                      <w:noProof/>
                                      <w:lang w:eastAsia="en-AU"/>
                                    </w:rPr>
                                    <w:drawing>
                                      <wp:inline distT="0" distB="0" distL="0" distR="0" wp14:anchorId="425A96E3" wp14:editId="285B5423">
                                        <wp:extent cx="762000" cy="266700"/>
                                        <wp:effectExtent l="0" t="0" r="0" b="0"/>
                                        <wp:docPr id="7" name="Picture 7"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3"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4" w:history="1">
                                    <w:r w:rsidRPr="00BE2F5F">
                                      <w:rPr>
                                        <w:rStyle w:val="Hyperlink"/>
                                        <w:color w:val="auto"/>
                                        <w:u w:val="none"/>
                                      </w:rPr>
                                      <w:t>http://creativecommons.org/licenses/by/4.0/</w:t>
                                    </w:r>
                                  </w:hyperlink>
                                </w:p>
                                <w:p w:rsidR="00A46FE4" w:rsidRPr="00BE2F5F" w:rsidRDefault="00A46FE4" w:rsidP="00206709">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A46FE4" w:rsidRDefault="00A46FE4" w:rsidP="00206709">
                                  <w:pPr>
                                    <w:pStyle w:val="ImprintText"/>
                                    <w:rPr>
                                      <w:sz w:val="28"/>
                                      <w:szCs w:val="28"/>
                                    </w:rPr>
                                  </w:pPr>
                                  <w:r w:rsidRPr="00750DFC">
                                    <w:rPr>
                                      <w:b/>
                                      <w:bCs/>
                                      <w:sz w:val="28"/>
                                      <w:szCs w:val="28"/>
                                    </w:rPr>
                                    <w:t>Accessibility</w:t>
                                  </w:r>
                                </w:p>
                                <w:p w:rsidR="00A46FE4" w:rsidRPr="00BE2F5F" w:rsidRDefault="00A46FE4" w:rsidP="003E5831">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25" w:history="1">
                                    <w:r w:rsidRPr="00BE2F5F">
                                      <w:rPr>
                                        <w:sz w:val="28"/>
                                        <w:szCs w:val="28"/>
                                      </w:rPr>
                                      <w:t>customer.service@delwp.vic.gov.au</w:t>
                                    </w:r>
                                  </w:hyperlink>
                                  <w:r w:rsidRPr="00BE2F5F">
                                    <w:rPr>
                                      <w:sz w:val="28"/>
                                      <w:szCs w:val="28"/>
                                    </w:rPr>
                                    <w:t xml:space="preserve">, via the National Relay Service on 133 677 </w:t>
                                  </w:r>
                                  <w:hyperlink r:id="rId26" w:history="1">
                                    <w:r w:rsidRPr="00BE2F5F">
                                      <w:rPr>
                                        <w:sz w:val="28"/>
                                        <w:szCs w:val="28"/>
                                      </w:rPr>
                                      <w:t>www.relayservice.com.au</w:t>
                                    </w:r>
                                  </w:hyperlink>
                                  <w:r w:rsidRPr="00BE2F5F">
                                    <w:rPr>
                                      <w:sz w:val="28"/>
                                      <w:szCs w:val="28"/>
                                    </w:rPr>
                                    <w:t xml:space="preserve">. This document is also available on the internet at </w:t>
                                  </w:r>
                                  <w:hyperlink r:id="rId27" w:history="1">
                                    <w:r w:rsidRPr="00BE2F5F">
                                      <w:rPr>
                                        <w:sz w:val="28"/>
                                        <w:szCs w:val="28"/>
                                      </w:rPr>
                                      <w:t>www.delwp.vic.gov.au</w:t>
                                    </w:r>
                                  </w:hyperlink>
                                  <w:r w:rsidRPr="00BE2F5F">
                                    <w:rPr>
                                      <w:sz w:val="28"/>
                                      <w:szCs w:val="28"/>
                                    </w:rPr>
                                    <w:br/>
                                  </w:r>
                                  <w:r w:rsidRPr="00BE2F5F">
                                    <w:rPr>
                                      <w:b/>
                                      <w:bCs/>
                                      <w:sz w:val="28"/>
                                      <w:szCs w:val="28"/>
                                    </w:rPr>
                                    <w:br/>
                                  </w:r>
                                </w:p>
                              </w:tc>
                            </w:tr>
                          </w:tbl>
                          <w:p w:rsidR="00A46FE4" w:rsidRDefault="00A46FE4" w:rsidP="001365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4pt;margin-top:8.35pt;width:526.2pt;height:193.7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bWbAIAAPoEAAAOAAAAZHJzL2Uyb0RvYy54bWysVFtv2jAUfp+0/2D5fU1gQClqqFgrpkld&#10;W6md+mwcp0RyfDzbkLBfv88O0Nsepmk8GJ+Lz+U738n5RddotlXO12QKPjjJOVNGUlmbp4L/eFh+&#10;mnLmgzCl0GRUwXfK84v5xw/nrZ2pIa1Jl8oxBDF+1tqCr0Owsyzzcq0a4U/IKgNjRa4RAaJ7ykon&#10;WkRvdDbM80nWkiutI6m8h/aqN/J5il9VSobbqvIqMF1w1BbS6dK5imc2PxezJyfsupb7MsQ/VNGI&#10;2iDpMdSVCIJtXP0uVFNLR56qcCKpyaiqaqlSD+hmkL/p5n4trEq9ABxvjzD5/xdW3mzvHKvLgo85&#10;M6LBiB5UF9gX6tg4otNaP4PTvYVb6KDGlA96D2VsuqtcE//RDoMdOO+O2MZgEsrJZDo8HcEkYRuO&#10;xmfTSYqfPT+3zoevihoWLwV3GF7CVGyvfUApcD24xGyedF0ua62TsPOX2rGtwJxBj5JazrTwAcqC&#10;L9MvVo0Qr55pw1rU9nmcp0yvbP4vQsbUetN8p7JPfTrO80SqmCi9f5sTBm3iM5XYue8sotyjGW+h&#10;W3VpJkekV1TuMABHPYG9lcsaIF2jwzvhwFgAiy0MtzgqTeiJ9jfO1uR+/Ukf/UEkWDlrsQEF9z83&#10;wikA982AYmeDUZxXSMJofDqE4F5aVi8tZtNcEsAfYN+tTNfoH/ThWjlqHrGsi5gVJmEkchc8HK6X&#10;od9LLLtUi0VywpJYEa7NvZUxdMQtUuChexTO7nkSQLEbOuyKmL2hS+8bXxpabAJVdeJSxLlHFROK&#10;AhYszWr/MYgb/FJOXs+frPlvAAAA//8DAFBLAwQUAAYACAAAACEAtssmHtwAAAAJAQAADwAAAGRy&#10;cy9kb3ducmV2LnhtbEyPwU7DMBBE70j9B2srcaN2qjZUIU6FKsGBG6EHjm68TULjdYg3bfh7nBMc&#10;d2Y08zbfT64TVxxC60lDslIgkCpvW6o1HD9eHnYgAhuypvOEGn4wwL5Y3OUms/5G73gtuRaxhEJm&#10;NDTMfSZlqBp0Jqx8jxS9sx+c4XgOtbSDucVy18m1Uql0pqW40JgeDw1Wl3J0Gr4vn4fXsUOWX215&#10;XvO2ekPeaX2/nJ6fQDBO/BeGGT+iQxGZTn4kG0SnYQbnKKePIGZbbZMUxEnDRm0SkEUu/39Q/AIA&#10;AP//AwBQSwECLQAUAAYACAAAACEAtoM4kv4AAADhAQAAEwAAAAAAAAAAAAAAAAAAAAAAW0NvbnRl&#10;bnRfVHlwZXNdLnhtbFBLAQItABQABgAIAAAAIQA4/SH/1gAAAJQBAAALAAAAAAAAAAAAAAAAAC8B&#10;AABfcmVscy8ucmVsc1BLAQItABQABgAIAAAAIQDcgubWbAIAAPoEAAAOAAAAAAAAAAAAAAAAAC4C&#10;AABkcnMvZTJvRG9jLnhtbFBLAQItABQABgAIAAAAIQC2yyYe3AAAAAkBAAAPAAAAAAAAAAAAAAAA&#10;AMYEAABkcnMvZG93bnJldi54bWxQSwUGAAAAAAQABADzAAAAzwUAAAAA&#10;" fillcolor="window" strokecolor="#bfbfbf" strokeweight=".5pt">
                <v:textbox>
                  <w:txbxContent>
                    <w:tbl>
                      <w:tblPr>
                        <w:tblW w:w="10456" w:type="dxa"/>
                        <w:tblLook w:val="01E0" w:firstRow="1" w:lastRow="1" w:firstColumn="1" w:lastColumn="1" w:noHBand="0" w:noVBand="0"/>
                      </w:tblPr>
                      <w:tblGrid>
                        <w:gridCol w:w="5228"/>
                        <w:gridCol w:w="5228"/>
                      </w:tblGrid>
                      <w:tr w:rsidR="00A46FE4" w:rsidRPr="0072604A" w:rsidTr="00206709">
                        <w:trPr>
                          <w:trHeight w:val="2241"/>
                        </w:trPr>
                        <w:tc>
                          <w:tcPr>
                            <w:tcW w:w="5228" w:type="dxa"/>
                            <w:shd w:val="clear" w:color="auto" w:fill="auto"/>
                          </w:tcPr>
                          <w:p w:rsidR="00A46FE4" w:rsidRPr="00BE2F5F" w:rsidRDefault="00A46FE4" w:rsidP="00206709">
                            <w:pPr>
                              <w:pStyle w:val="ImprintText"/>
                            </w:pPr>
                            <w:r w:rsidRPr="00BE2F5F">
                              <w:t xml:space="preserve">© The State of Victoria Department of Environment, Land, Water and </w:t>
                            </w:r>
                            <w:r w:rsidRPr="00BE2F5F">
                              <w:br/>
                              <w:t>Planning 201</w:t>
                            </w:r>
                            <w:r>
                              <w:t>6</w:t>
                            </w:r>
                          </w:p>
                          <w:p w:rsidR="00A46FE4" w:rsidRPr="00BE2F5F" w:rsidRDefault="00A46FE4" w:rsidP="00206709">
                            <w:pPr>
                              <w:pStyle w:val="ImprintText"/>
                            </w:pPr>
                            <w:r w:rsidRPr="00BE2F5F">
                              <w:rPr>
                                <w:noProof/>
                                <w:lang w:eastAsia="en-AU"/>
                              </w:rPr>
                              <w:drawing>
                                <wp:inline distT="0" distB="0" distL="0" distR="0" wp14:anchorId="425A96E3" wp14:editId="285B5423">
                                  <wp:extent cx="762000" cy="266700"/>
                                  <wp:effectExtent l="0" t="0" r="0" b="0"/>
                                  <wp:docPr id="7" name="Picture 7"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8"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9" w:history="1">
                              <w:r w:rsidRPr="00BE2F5F">
                                <w:rPr>
                                  <w:rStyle w:val="Hyperlink"/>
                                  <w:color w:val="auto"/>
                                  <w:u w:val="none"/>
                                </w:rPr>
                                <w:t>http://creativecommons.org/licenses/by/4.0/</w:t>
                              </w:r>
                            </w:hyperlink>
                          </w:p>
                          <w:p w:rsidR="00A46FE4" w:rsidRPr="00BE2F5F" w:rsidRDefault="00A46FE4" w:rsidP="00206709">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A46FE4" w:rsidRDefault="00A46FE4" w:rsidP="00206709">
                            <w:pPr>
                              <w:pStyle w:val="ImprintText"/>
                              <w:rPr>
                                <w:sz w:val="28"/>
                                <w:szCs w:val="28"/>
                              </w:rPr>
                            </w:pPr>
                            <w:r w:rsidRPr="00750DFC">
                              <w:rPr>
                                <w:b/>
                                <w:bCs/>
                                <w:sz w:val="28"/>
                                <w:szCs w:val="28"/>
                              </w:rPr>
                              <w:t>Accessibility</w:t>
                            </w:r>
                          </w:p>
                          <w:p w:rsidR="00A46FE4" w:rsidRPr="00BE2F5F" w:rsidRDefault="00A46FE4" w:rsidP="003E5831">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30" w:history="1">
                              <w:r w:rsidRPr="00BE2F5F">
                                <w:rPr>
                                  <w:sz w:val="28"/>
                                  <w:szCs w:val="28"/>
                                </w:rPr>
                                <w:t>customer.service@delwp.vic.gov.au</w:t>
                              </w:r>
                            </w:hyperlink>
                            <w:r w:rsidRPr="00BE2F5F">
                              <w:rPr>
                                <w:sz w:val="28"/>
                                <w:szCs w:val="28"/>
                              </w:rPr>
                              <w:t xml:space="preserve">, via the National Relay Service on 133 677 </w:t>
                            </w:r>
                            <w:hyperlink r:id="rId31" w:history="1">
                              <w:r w:rsidRPr="00BE2F5F">
                                <w:rPr>
                                  <w:sz w:val="28"/>
                                  <w:szCs w:val="28"/>
                                </w:rPr>
                                <w:t>www.relayservice.com.au</w:t>
                              </w:r>
                            </w:hyperlink>
                            <w:r w:rsidRPr="00BE2F5F">
                              <w:rPr>
                                <w:sz w:val="28"/>
                                <w:szCs w:val="28"/>
                              </w:rPr>
                              <w:t xml:space="preserve">. This document is also available on the internet at </w:t>
                            </w:r>
                            <w:hyperlink r:id="rId32" w:history="1">
                              <w:r w:rsidRPr="00BE2F5F">
                                <w:rPr>
                                  <w:sz w:val="28"/>
                                  <w:szCs w:val="28"/>
                                </w:rPr>
                                <w:t>www.delwp.vic.gov.au</w:t>
                              </w:r>
                            </w:hyperlink>
                            <w:r w:rsidRPr="00BE2F5F">
                              <w:rPr>
                                <w:sz w:val="28"/>
                                <w:szCs w:val="28"/>
                              </w:rPr>
                              <w:br/>
                            </w:r>
                            <w:r w:rsidRPr="00BE2F5F">
                              <w:rPr>
                                <w:b/>
                                <w:bCs/>
                                <w:sz w:val="28"/>
                                <w:szCs w:val="28"/>
                              </w:rPr>
                              <w:br/>
                            </w:r>
                          </w:p>
                        </w:tc>
                      </w:tr>
                    </w:tbl>
                    <w:p w:rsidR="00A46FE4" w:rsidRDefault="00A46FE4" w:rsidP="001365F6"/>
                  </w:txbxContent>
                </v:textbox>
              </v:shape>
            </w:pict>
          </mc:Fallback>
        </mc:AlternateContent>
      </w:r>
    </w:p>
    <w:p w:rsidR="00827A84" w:rsidRDefault="00827A84" w:rsidP="00FC4E61">
      <w:pPr>
        <w:pStyle w:val="Body"/>
        <w:rPr>
          <w:rFonts w:eastAsia="Calibri"/>
        </w:rPr>
      </w:pPr>
    </w:p>
    <w:p w:rsidR="00827A84" w:rsidRDefault="00827A84" w:rsidP="00FC4E61">
      <w:pPr>
        <w:pStyle w:val="Body"/>
        <w:rPr>
          <w:rFonts w:eastAsia="Calibri"/>
        </w:rPr>
      </w:pPr>
    </w:p>
    <w:p w:rsidR="00827A84" w:rsidRDefault="00827A84" w:rsidP="00FC4E61">
      <w:pPr>
        <w:pStyle w:val="Body"/>
        <w:rPr>
          <w:rFonts w:eastAsia="Calibri"/>
        </w:rPr>
      </w:pPr>
    </w:p>
    <w:p w:rsidR="00827A84" w:rsidRDefault="00827A84" w:rsidP="00FC4E61">
      <w:pPr>
        <w:pStyle w:val="Body"/>
        <w:rPr>
          <w:rFonts w:eastAsia="Calibri"/>
        </w:rPr>
      </w:pPr>
    </w:p>
    <w:p w:rsidR="00827A84" w:rsidRDefault="00827A84" w:rsidP="00FC4E61">
      <w:pPr>
        <w:pStyle w:val="Body"/>
        <w:rPr>
          <w:rFonts w:eastAsia="Calibri"/>
        </w:rPr>
      </w:pPr>
    </w:p>
    <w:p w:rsidR="00827A84" w:rsidRDefault="00827A84" w:rsidP="00FC4E61">
      <w:pPr>
        <w:pStyle w:val="Body"/>
        <w:rPr>
          <w:rFonts w:eastAsia="Calibri"/>
        </w:rPr>
      </w:pPr>
    </w:p>
    <w:p w:rsidR="00750DFC" w:rsidRPr="00FC4E61" w:rsidRDefault="00750DFC" w:rsidP="00FC4E61">
      <w:pPr>
        <w:pStyle w:val="Body"/>
        <w:rPr>
          <w:rFonts w:eastAsia="Calibri"/>
        </w:rPr>
      </w:pPr>
    </w:p>
    <w:sectPr w:rsidR="00750DFC" w:rsidRPr="00FC4E61" w:rsidSect="003C574B">
      <w:headerReference w:type="default" r:id="rId33"/>
      <w:footerReference w:type="default" r:id="rId34"/>
      <w:headerReference w:type="first" r:id="rId35"/>
      <w:footerReference w:type="first" r:id="rId36"/>
      <w:footnotePr>
        <w:numFmt w:val="chicago"/>
      </w:footnotePr>
      <w:type w:val="continuous"/>
      <w:pgSz w:w="11907" w:h="16840" w:code="9"/>
      <w:pgMar w:top="1843" w:right="567" w:bottom="851" w:left="1134" w:header="284" w:footer="1020"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3E0" w:rsidRDefault="005C13E0">
      <w:r>
        <w:separator/>
      </w:r>
    </w:p>
  </w:endnote>
  <w:endnote w:type="continuationSeparator" w:id="0">
    <w:p w:rsidR="005C13E0" w:rsidRDefault="005C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171964"/>
      <w:docPartObj>
        <w:docPartGallery w:val="Page Numbers (Bottom of Page)"/>
        <w:docPartUnique/>
      </w:docPartObj>
    </w:sdtPr>
    <w:sdtEndPr/>
    <w:sdtContent>
      <w:sdt>
        <w:sdtPr>
          <w:id w:val="98381352"/>
          <w:docPartObj>
            <w:docPartGallery w:val="Page Numbers (Top of Page)"/>
            <w:docPartUnique/>
          </w:docPartObj>
        </w:sdtPr>
        <w:sdtEndPr/>
        <w:sdtContent>
          <w:p w:rsidR="006A7D3B" w:rsidRDefault="006A7D3B">
            <w:pPr>
              <w:pStyle w:val="Footer"/>
            </w:pPr>
            <w:r>
              <w:t xml:space="preserve">Page </w:t>
            </w:r>
            <w:r>
              <w:rPr>
                <w:b/>
                <w:bCs/>
                <w:sz w:val="24"/>
              </w:rPr>
              <w:fldChar w:fldCharType="begin"/>
            </w:r>
            <w:r>
              <w:rPr>
                <w:b/>
                <w:bCs/>
              </w:rPr>
              <w:instrText xml:space="preserve"> PAGE </w:instrText>
            </w:r>
            <w:r>
              <w:rPr>
                <w:b/>
                <w:bCs/>
                <w:sz w:val="24"/>
              </w:rPr>
              <w:fldChar w:fldCharType="separate"/>
            </w:r>
            <w:r w:rsidR="0060206C">
              <w:rPr>
                <w:b/>
                <w:bCs/>
                <w:noProof/>
              </w:rPr>
              <w:t>7</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60206C">
              <w:rPr>
                <w:b/>
                <w:bCs/>
                <w:noProof/>
              </w:rPr>
              <w:t>7</w:t>
            </w:r>
            <w:r>
              <w:rPr>
                <w:b/>
                <w:bCs/>
                <w:sz w:val="24"/>
              </w:rPr>
              <w:fldChar w:fldCharType="end"/>
            </w:r>
          </w:p>
        </w:sdtContent>
      </w:sdt>
    </w:sdtContent>
  </w:sdt>
  <w:p w:rsidR="00827A84" w:rsidRPr="00827A84" w:rsidRDefault="00827A84" w:rsidP="009D150F">
    <w:pPr>
      <w:pStyle w:val="Footer"/>
      <w:ind w:left="36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E4" w:rsidRDefault="00A46FE4" w:rsidP="002015AD">
    <w:pPr>
      <w:pStyle w:val="Footer"/>
    </w:pPr>
    <w:r>
      <w:rPr>
        <w:noProof/>
        <w:lang w:eastAsia="en-AU"/>
      </w:rPr>
      <w:drawing>
        <wp:anchor distT="0" distB="0" distL="114300" distR="114300" simplePos="0" relativeHeight="251660288" behindDoc="0" locked="0" layoutInCell="1" allowOverlap="1" wp14:anchorId="2B9B8410" wp14:editId="0826336E">
          <wp:simplePos x="0" y="0"/>
          <wp:positionH relativeFrom="column">
            <wp:posOffset>4563864</wp:posOffset>
          </wp:positionH>
          <wp:positionV relativeFrom="paragraph">
            <wp:posOffset>1960</wp:posOffset>
          </wp:positionV>
          <wp:extent cx="1815517" cy="54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a:extLst>
                      <a:ext uri="{28A0092B-C50C-407E-A947-70E740481C1C}">
                        <a14:useLocalDpi xmlns:a14="http://schemas.microsoft.com/office/drawing/2010/main" val="0"/>
                      </a:ext>
                    </a:extLst>
                  </a:blip>
                  <a:stretch>
                    <a:fillRect/>
                  </a:stretch>
                </pic:blipFill>
                <pic:spPr>
                  <a:xfrm>
                    <a:off x="0" y="0"/>
                    <a:ext cx="1815517" cy="540000"/>
                  </a:xfrm>
                  <a:prstGeom prst="rect">
                    <a:avLst/>
                  </a:prstGeom>
                </pic:spPr>
              </pic:pic>
            </a:graphicData>
          </a:graphic>
          <wp14:sizeRelH relativeFrom="margin">
            <wp14:pctWidth>0</wp14:pctWidth>
          </wp14:sizeRelH>
          <wp14:sizeRelV relativeFrom="margin">
            <wp14:pctHeight>0</wp14:pctHeight>
          </wp14:sizeRelV>
        </wp:anchor>
      </w:drawing>
    </w:r>
    <w:r w:rsidRPr="00BE1EA5">
      <w:rPr>
        <w:rFonts w:asciiTheme="minorHAnsi" w:hAnsiTheme="minorHAnsi" w:cstheme="minorHAnsi"/>
        <w:color w:val="636466"/>
        <w:sz w:val="26"/>
      </w:rPr>
      <w:t>www.delwp.vic.go</w:t>
    </w:r>
    <w:r>
      <w:rPr>
        <w:rFonts w:asciiTheme="minorHAnsi" w:hAnsiTheme="minorHAnsi" w:cstheme="minorHAnsi"/>
        <w:color w:val="636466"/>
        <w:sz w:val="26"/>
      </w:rPr>
      <w:t>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3E0" w:rsidRDefault="005C13E0">
      <w:r>
        <w:separator/>
      </w:r>
    </w:p>
  </w:footnote>
  <w:footnote w:type="continuationSeparator" w:id="0">
    <w:p w:rsidR="005C13E0" w:rsidRDefault="005C1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747"/>
    </w:tblGrid>
    <w:tr w:rsidR="00A46FE4" w:rsidRPr="00F83A6F" w:rsidTr="00125376">
      <w:trPr>
        <w:trHeight w:val="1286"/>
      </w:trPr>
      <w:tc>
        <w:tcPr>
          <w:tcW w:w="9747" w:type="dxa"/>
          <w:shd w:val="clear" w:color="auto" w:fill="auto"/>
          <w:vAlign w:val="center"/>
        </w:tcPr>
        <w:p w:rsidR="00A46FE4" w:rsidRDefault="00A46FE4" w:rsidP="007D06DC">
          <w:pPr>
            <w:pStyle w:val="CertHDWhite"/>
            <w:tabs>
              <w:tab w:val="left" w:pos="7513"/>
            </w:tabs>
          </w:pPr>
          <w:r>
            <w:rPr>
              <w:noProof/>
              <w:lang w:eastAsia="en-AU"/>
            </w:rPr>
            <w:drawing>
              <wp:anchor distT="0" distB="0" distL="114300" distR="114300" simplePos="0" relativeHeight="251656192" behindDoc="1" locked="0" layoutInCell="1" allowOverlap="1" wp14:anchorId="50F6D1A9" wp14:editId="27D6221A">
                <wp:simplePos x="0" y="0"/>
                <wp:positionH relativeFrom="column">
                  <wp:posOffset>-382270</wp:posOffset>
                </wp:positionH>
                <wp:positionV relativeFrom="paragraph">
                  <wp:posOffset>151130</wp:posOffset>
                </wp:positionV>
                <wp:extent cx="6868160" cy="815340"/>
                <wp:effectExtent l="0" t="0" r="8890" b="3810"/>
                <wp:wrapNone/>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1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6FE4" w:rsidRPr="00F83A6F" w:rsidRDefault="00A46FE4" w:rsidP="007F3283">
          <w:pPr>
            <w:pStyle w:val="CertHDWhite"/>
            <w:tabs>
              <w:tab w:val="left" w:pos="3544"/>
              <w:tab w:val="left" w:pos="9072"/>
            </w:tabs>
          </w:pPr>
          <w:r>
            <w:t>Customer Information Bulletin 15</w:t>
          </w:r>
          <w:r w:rsidR="007F3283">
            <w:t>9</w:t>
          </w:r>
          <w:r>
            <w:tab/>
          </w:r>
          <w:r>
            <w:fldChar w:fldCharType="begin"/>
          </w:r>
          <w:r>
            <w:instrText xml:space="preserve"> PAGE   \* MERGEFORMAT </w:instrText>
          </w:r>
          <w:r>
            <w:fldChar w:fldCharType="separate"/>
          </w:r>
          <w:r w:rsidR="0060206C">
            <w:rPr>
              <w:noProof/>
            </w:rPr>
            <w:t>7</w:t>
          </w:r>
          <w:r>
            <w:rPr>
              <w:noProof/>
            </w:rPr>
            <w:fldChar w:fldCharType="end"/>
          </w:r>
        </w:p>
      </w:tc>
    </w:tr>
  </w:tbl>
  <w:p w:rsidR="00A46FE4" w:rsidRDefault="00A46FE4"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E4" w:rsidRDefault="00A46FE4" w:rsidP="0003050C">
    <w:pPr>
      <w:pStyle w:val="Header"/>
    </w:pPr>
    <w:r>
      <w:rPr>
        <w:noProof/>
        <w:lang w:eastAsia="en-AU"/>
      </w:rPr>
      <w:drawing>
        <wp:anchor distT="0" distB="0" distL="114300" distR="114300" simplePos="0" relativeHeight="251657216" behindDoc="1" locked="0" layoutInCell="1" allowOverlap="1" wp14:anchorId="5CE713E3" wp14:editId="27F2E081">
          <wp:simplePos x="0" y="0"/>
          <wp:positionH relativeFrom="column">
            <wp:posOffset>-323850</wp:posOffset>
          </wp:positionH>
          <wp:positionV relativeFrom="paragraph">
            <wp:posOffset>236855</wp:posOffset>
          </wp:positionV>
          <wp:extent cx="6831330" cy="1808480"/>
          <wp:effectExtent l="0" t="0" r="7620" b="1270"/>
          <wp:wrapNone/>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1C42C3"/>
    <w:multiLevelType w:val="hybridMultilevel"/>
    <w:tmpl w:val="E9E6BDB2"/>
    <w:lvl w:ilvl="0" w:tplc="0C09001B">
      <w:start w:val="1"/>
      <w:numFmt w:val="lowerRoman"/>
      <w:lvlText w:val="%1."/>
      <w:lvlJc w:val="right"/>
      <w:pPr>
        <w:ind w:left="1647" w:hanging="360"/>
      </w:p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2">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765565"/>
    <w:multiLevelType w:val="hybridMultilevel"/>
    <w:tmpl w:val="056E8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9C1560E"/>
    <w:multiLevelType w:val="hybridMultilevel"/>
    <w:tmpl w:val="48FC746C"/>
    <w:lvl w:ilvl="0" w:tplc="99AE4BA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0E5F02F9"/>
    <w:multiLevelType w:val="multilevel"/>
    <w:tmpl w:val="BBDEA2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0FFE2A06"/>
    <w:multiLevelType w:val="hybridMultilevel"/>
    <w:tmpl w:val="6BF4E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E351FFD"/>
    <w:multiLevelType w:val="hybridMultilevel"/>
    <w:tmpl w:val="C0AE56FE"/>
    <w:lvl w:ilvl="0" w:tplc="02468F16">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23C1C92"/>
    <w:multiLevelType w:val="hybridMultilevel"/>
    <w:tmpl w:val="C33EDAC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2B2E330D"/>
    <w:multiLevelType w:val="hybridMultilevel"/>
    <w:tmpl w:val="6AF23FEC"/>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start w:val="1"/>
      <w:numFmt w:val="bullet"/>
      <w:lvlText w:val=""/>
      <w:lvlJc w:val="left"/>
      <w:pPr>
        <w:ind w:left="2211" w:hanging="360"/>
      </w:pPr>
      <w:rPr>
        <w:rFonts w:ascii="Wingdings" w:hAnsi="Wingdings" w:hint="default"/>
      </w:rPr>
    </w:lvl>
    <w:lvl w:ilvl="3" w:tplc="0C090001">
      <w:start w:val="1"/>
      <w:numFmt w:val="bullet"/>
      <w:lvlText w:val=""/>
      <w:lvlJc w:val="left"/>
      <w:pPr>
        <w:ind w:left="2931" w:hanging="360"/>
      </w:pPr>
      <w:rPr>
        <w:rFonts w:ascii="Symbol" w:hAnsi="Symbol" w:hint="default"/>
      </w:rPr>
    </w:lvl>
    <w:lvl w:ilvl="4" w:tplc="0C090003">
      <w:start w:val="1"/>
      <w:numFmt w:val="bullet"/>
      <w:lvlText w:val="o"/>
      <w:lvlJc w:val="left"/>
      <w:pPr>
        <w:ind w:left="3651" w:hanging="360"/>
      </w:pPr>
      <w:rPr>
        <w:rFonts w:ascii="Courier New" w:hAnsi="Courier New" w:cs="Courier New" w:hint="default"/>
      </w:rPr>
    </w:lvl>
    <w:lvl w:ilvl="5" w:tplc="0C090005">
      <w:start w:val="1"/>
      <w:numFmt w:val="bullet"/>
      <w:lvlText w:val=""/>
      <w:lvlJc w:val="left"/>
      <w:pPr>
        <w:ind w:left="4371" w:hanging="360"/>
      </w:pPr>
      <w:rPr>
        <w:rFonts w:ascii="Wingdings" w:hAnsi="Wingdings" w:hint="default"/>
      </w:rPr>
    </w:lvl>
    <w:lvl w:ilvl="6" w:tplc="0C090001">
      <w:start w:val="1"/>
      <w:numFmt w:val="bullet"/>
      <w:lvlText w:val=""/>
      <w:lvlJc w:val="left"/>
      <w:pPr>
        <w:ind w:left="5091" w:hanging="360"/>
      </w:pPr>
      <w:rPr>
        <w:rFonts w:ascii="Symbol" w:hAnsi="Symbol" w:hint="default"/>
      </w:rPr>
    </w:lvl>
    <w:lvl w:ilvl="7" w:tplc="0C090003">
      <w:start w:val="1"/>
      <w:numFmt w:val="bullet"/>
      <w:lvlText w:val="o"/>
      <w:lvlJc w:val="left"/>
      <w:pPr>
        <w:ind w:left="5811" w:hanging="360"/>
      </w:pPr>
      <w:rPr>
        <w:rFonts w:ascii="Courier New" w:hAnsi="Courier New" w:cs="Courier New" w:hint="default"/>
      </w:rPr>
    </w:lvl>
    <w:lvl w:ilvl="8" w:tplc="0C090005">
      <w:start w:val="1"/>
      <w:numFmt w:val="bullet"/>
      <w:lvlText w:val=""/>
      <w:lvlJc w:val="left"/>
      <w:pPr>
        <w:ind w:left="6531" w:hanging="360"/>
      </w:pPr>
      <w:rPr>
        <w:rFonts w:ascii="Wingdings" w:hAnsi="Wingdings" w:hint="default"/>
      </w:rPr>
    </w:lvl>
  </w:abstractNum>
  <w:abstractNum w:abstractNumId="22">
    <w:nsid w:val="2CE33356"/>
    <w:multiLevelType w:val="hybridMultilevel"/>
    <w:tmpl w:val="475024BA"/>
    <w:lvl w:ilvl="0" w:tplc="15D03E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34402940"/>
    <w:multiLevelType w:val="hybridMultilevel"/>
    <w:tmpl w:val="E8963F74"/>
    <w:lvl w:ilvl="0" w:tplc="A61E45D4">
      <w:start w:val="1"/>
      <w:numFmt w:val="lowerLetter"/>
      <w:lvlText w:val="%1."/>
      <w:lvlJc w:val="left"/>
      <w:pPr>
        <w:ind w:left="1440" w:hanging="360"/>
      </w:pPr>
      <w:rPr>
        <w:rFonts w:asciiTheme="minorHAnsi" w:eastAsiaTheme="minorHAnsi" w:hAnsiTheme="minorHAnsi" w:cstheme="minorBid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70E4E67"/>
    <w:multiLevelType w:val="hybridMultilevel"/>
    <w:tmpl w:val="7FF2F7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8FC3406"/>
    <w:multiLevelType w:val="hybridMultilevel"/>
    <w:tmpl w:val="8AF8B3BC"/>
    <w:lvl w:ilvl="0" w:tplc="337A2FB4">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B316270"/>
    <w:multiLevelType w:val="hybridMultilevel"/>
    <w:tmpl w:val="3D7070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541331D6"/>
    <w:multiLevelType w:val="hybridMultilevel"/>
    <w:tmpl w:val="329E6720"/>
    <w:lvl w:ilvl="0" w:tplc="B8F04D3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4E76D66"/>
    <w:multiLevelType w:val="hybridMultilevel"/>
    <w:tmpl w:val="E8963F74"/>
    <w:lvl w:ilvl="0" w:tplc="A61E45D4">
      <w:start w:val="1"/>
      <w:numFmt w:val="lowerLetter"/>
      <w:lvlText w:val="%1."/>
      <w:lvlJc w:val="left"/>
      <w:pPr>
        <w:ind w:left="1440" w:hanging="360"/>
      </w:pPr>
      <w:rPr>
        <w:rFonts w:asciiTheme="minorHAnsi" w:eastAsiaTheme="minorHAnsi" w:hAnsiTheme="minorHAnsi" w:cstheme="minorBid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nsid w:val="5BB45EF9"/>
    <w:multiLevelType w:val="hybridMultilevel"/>
    <w:tmpl w:val="4C6ADB4E"/>
    <w:lvl w:ilvl="0" w:tplc="7994886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F521B2B"/>
    <w:multiLevelType w:val="hybridMultilevel"/>
    <w:tmpl w:val="E9AE70D2"/>
    <w:lvl w:ilvl="0" w:tplc="E166C6C4">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nsid w:val="674B7B76"/>
    <w:multiLevelType w:val="hybridMultilevel"/>
    <w:tmpl w:val="F814CE84"/>
    <w:lvl w:ilvl="0" w:tplc="1166D8A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nsid w:val="699A0EB8"/>
    <w:multiLevelType w:val="hybridMultilevel"/>
    <w:tmpl w:val="9B604CA4"/>
    <w:lvl w:ilvl="0" w:tplc="7AFA59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6D648E2"/>
    <w:multiLevelType w:val="hybridMultilevel"/>
    <w:tmpl w:val="AA2AB456"/>
    <w:lvl w:ilvl="0" w:tplc="B3AE99A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9">
    <w:nsid w:val="79337158"/>
    <w:multiLevelType w:val="hybridMultilevel"/>
    <w:tmpl w:val="8B9EA9CC"/>
    <w:lvl w:ilvl="0" w:tplc="EC3A25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37"/>
  </w:num>
  <w:num w:numId="14">
    <w:abstractNumId w:val="23"/>
  </w:num>
  <w:num w:numId="15">
    <w:abstractNumId w:val="36"/>
  </w:num>
  <w:num w:numId="16">
    <w:abstractNumId w:val="12"/>
  </w:num>
  <w:num w:numId="17">
    <w:abstractNumId w:val="36"/>
  </w:num>
  <w:num w:numId="18">
    <w:abstractNumId w:val="36"/>
  </w:num>
  <w:num w:numId="19">
    <w:abstractNumId w:val="36"/>
  </w:num>
  <w:num w:numId="20">
    <w:abstractNumId w:val="10"/>
  </w:num>
  <w:num w:numId="21">
    <w:abstractNumId w:val="17"/>
  </w:num>
  <w:num w:numId="22">
    <w:abstractNumId w:val="25"/>
  </w:num>
  <w:num w:numId="23">
    <w:abstractNumId w:val="33"/>
  </w:num>
  <w:num w:numId="24">
    <w:abstractNumId w:val="13"/>
  </w:num>
  <w:num w:numId="25">
    <w:abstractNumId w:val="39"/>
  </w:num>
  <w:num w:numId="26">
    <w:abstractNumId w:val="19"/>
  </w:num>
  <w:num w:numId="27">
    <w:abstractNumId w:val="22"/>
  </w:num>
  <w:num w:numId="28">
    <w:abstractNumId w:val="26"/>
  </w:num>
  <w:num w:numId="29">
    <w:abstractNumId w:val="15"/>
  </w:num>
  <w:num w:numId="30">
    <w:abstractNumId w:val="27"/>
  </w:num>
  <w:num w:numId="31">
    <w:abstractNumId w:val="30"/>
  </w:num>
  <w:num w:numId="32">
    <w:abstractNumId w:val="24"/>
  </w:num>
  <w:num w:numId="33">
    <w:abstractNumId w:val="31"/>
  </w:num>
  <w:num w:numId="34">
    <w:abstractNumId w:val="38"/>
  </w:num>
  <w:num w:numId="35">
    <w:abstractNumId w:val="14"/>
  </w:num>
  <w:num w:numId="36">
    <w:abstractNumId w:val="34"/>
  </w:num>
  <w:num w:numId="37">
    <w:abstractNumId w:val="35"/>
  </w:num>
  <w:num w:numId="38">
    <w:abstractNumId w:val="16"/>
  </w:num>
  <w:num w:numId="39">
    <w:abstractNumId w:val="11"/>
  </w:num>
  <w:num w:numId="40">
    <w:abstractNumId w:val="12"/>
  </w:num>
  <w:num w:numId="41">
    <w:abstractNumId w:val="28"/>
  </w:num>
  <w:num w:numId="42">
    <w:abstractNumId w:val="21"/>
  </w:num>
  <w:num w:numId="43">
    <w:abstractNumId w:val="32"/>
  </w:num>
  <w:num w:numId="44">
    <w:abstractNumId w:val="29"/>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12793"/>
    <w:rsid w:val="00013D7A"/>
    <w:rsid w:val="0001744A"/>
    <w:rsid w:val="00025B48"/>
    <w:rsid w:val="0003050C"/>
    <w:rsid w:val="00034D96"/>
    <w:rsid w:val="0003535F"/>
    <w:rsid w:val="00055FEF"/>
    <w:rsid w:val="000576D2"/>
    <w:rsid w:val="0006346D"/>
    <w:rsid w:val="00063E31"/>
    <w:rsid w:val="00077758"/>
    <w:rsid w:val="00085FB0"/>
    <w:rsid w:val="0008754B"/>
    <w:rsid w:val="0009699E"/>
    <w:rsid w:val="000C1E27"/>
    <w:rsid w:val="000C3259"/>
    <w:rsid w:val="000C39E4"/>
    <w:rsid w:val="000C5ACD"/>
    <w:rsid w:val="00120C40"/>
    <w:rsid w:val="00120F3F"/>
    <w:rsid w:val="00125376"/>
    <w:rsid w:val="00135491"/>
    <w:rsid w:val="001365F6"/>
    <w:rsid w:val="001373E9"/>
    <w:rsid w:val="00154577"/>
    <w:rsid w:val="00177115"/>
    <w:rsid w:val="00181FBC"/>
    <w:rsid w:val="001A243B"/>
    <w:rsid w:val="001C14C3"/>
    <w:rsid w:val="001C3014"/>
    <w:rsid w:val="001E2024"/>
    <w:rsid w:val="001F2371"/>
    <w:rsid w:val="002015AD"/>
    <w:rsid w:val="0020255B"/>
    <w:rsid w:val="00206709"/>
    <w:rsid w:val="002122D2"/>
    <w:rsid w:val="00217D52"/>
    <w:rsid w:val="0023020A"/>
    <w:rsid w:val="00236DA4"/>
    <w:rsid w:val="00246D68"/>
    <w:rsid w:val="002526EA"/>
    <w:rsid w:val="00261DCB"/>
    <w:rsid w:val="00271B91"/>
    <w:rsid w:val="0027553E"/>
    <w:rsid w:val="00285925"/>
    <w:rsid w:val="00285E03"/>
    <w:rsid w:val="002C4BC3"/>
    <w:rsid w:val="002C5BA2"/>
    <w:rsid w:val="002D2478"/>
    <w:rsid w:val="002D3CC8"/>
    <w:rsid w:val="002D680B"/>
    <w:rsid w:val="002E2EC1"/>
    <w:rsid w:val="002F31D9"/>
    <w:rsid w:val="00320358"/>
    <w:rsid w:val="00321F9E"/>
    <w:rsid w:val="00330679"/>
    <w:rsid w:val="00361402"/>
    <w:rsid w:val="00361A47"/>
    <w:rsid w:val="003B43DE"/>
    <w:rsid w:val="003C2962"/>
    <w:rsid w:val="003C574B"/>
    <w:rsid w:val="003E0B9A"/>
    <w:rsid w:val="003E5831"/>
    <w:rsid w:val="003F437F"/>
    <w:rsid w:val="003F5A5C"/>
    <w:rsid w:val="00404EF3"/>
    <w:rsid w:val="00424BCE"/>
    <w:rsid w:val="0043348E"/>
    <w:rsid w:val="004426E1"/>
    <w:rsid w:val="00446E40"/>
    <w:rsid w:val="00455AC0"/>
    <w:rsid w:val="0047538B"/>
    <w:rsid w:val="004969C1"/>
    <w:rsid w:val="004E4BDF"/>
    <w:rsid w:val="004E6888"/>
    <w:rsid w:val="0050769F"/>
    <w:rsid w:val="00512102"/>
    <w:rsid w:val="005229C6"/>
    <w:rsid w:val="00524C52"/>
    <w:rsid w:val="005304F7"/>
    <w:rsid w:val="00534B38"/>
    <w:rsid w:val="00540762"/>
    <w:rsid w:val="00544B68"/>
    <w:rsid w:val="005476FE"/>
    <w:rsid w:val="00557B17"/>
    <w:rsid w:val="00573E23"/>
    <w:rsid w:val="00575F3A"/>
    <w:rsid w:val="00582724"/>
    <w:rsid w:val="005B3CE8"/>
    <w:rsid w:val="005C0C18"/>
    <w:rsid w:val="005C13E0"/>
    <w:rsid w:val="005D733D"/>
    <w:rsid w:val="0060206C"/>
    <w:rsid w:val="00603134"/>
    <w:rsid w:val="00606451"/>
    <w:rsid w:val="00623482"/>
    <w:rsid w:val="0062669A"/>
    <w:rsid w:val="00632914"/>
    <w:rsid w:val="00640CEE"/>
    <w:rsid w:val="006560E0"/>
    <w:rsid w:val="00656186"/>
    <w:rsid w:val="006643F2"/>
    <w:rsid w:val="006741C5"/>
    <w:rsid w:val="00675636"/>
    <w:rsid w:val="006A7D3B"/>
    <w:rsid w:val="006B4688"/>
    <w:rsid w:val="006F1862"/>
    <w:rsid w:val="006F53DB"/>
    <w:rsid w:val="006F707D"/>
    <w:rsid w:val="00701110"/>
    <w:rsid w:val="0070221E"/>
    <w:rsid w:val="0070362A"/>
    <w:rsid w:val="00705440"/>
    <w:rsid w:val="0072682D"/>
    <w:rsid w:val="00731631"/>
    <w:rsid w:val="00735C5A"/>
    <w:rsid w:val="00750DFC"/>
    <w:rsid w:val="00752E36"/>
    <w:rsid w:val="00756A07"/>
    <w:rsid w:val="007702BD"/>
    <w:rsid w:val="007916A5"/>
    <w:rsid w:val="007B0E45"/>
    <w:rsid w:val="007B1469"/>
    <w:rsid w:val="007B62F8"/>
    <w:rsid w:val="007B6E26"/>
    <w:rsid w:val="007D06DC"/>
    <w:rsid w:val="007E3E33"/>
    <w:rsid w:val="007F3283"/>
    <w:rsid w:val="007F5211"/>
    <w:rsid w:val="007F6D18"/>
    <w:rsid w:val="00827A84"/>
    <w:rsid w:val="00834943"/>
    <w:rsid w:val="0083541B"/>
    <w:rsid w:val="00843413"/>
    <w:rsid w:val="008605BB"/>
    <w:rsid w:val="00865A63"/>
    <w:rsid w:val="00872BAF"/>
    <w:rsid w:val="008732EE"/>
    <w:rsid w:val="008832F9"/>
    <w:rsid w:val="00887805"/>
    <w:rsid w:val="00890F27"/>
    <w:rsid w:val="008979EB"/>
    <w:rsid w:val="008A3B87"/>
    <w:rsid w:val="008A6BBA"/>
    <w:rsid w:val="008B61B5"/>
    <w:rsid w:val="008C1B1D"/>
    <w:rsid w:val="008C71DE"/>
    <w:rsid w:val="008E39E1"/>
    <w:rsid w:val="008F4932"/>
    <w:rsid w:val="00916423"/>
    <w:rsid w:val="00926BDE"/>
    <w:rsid w:val="00927E6A"/>
    <w:rsid w:val="00942CDF"/>
    <w:rsid w:val="00953344"/>
    <w:rsid w:val="00962D3B"/>
    <w:rsid w:val="00972191"/>
    <w:rsid w:val="00981EA2"/>
    <w:rsid w:val="009872FB"/>
    <w:rsid w:val="009C3B5A"/>
    <w:rsid w:val="009D150F"/>
    <w:rsid w:val="009E666D"/>
    <w:rsid w:val="009E66AE"/>
    <w:rsid w:val="009F2D92"/>
    <w:rsid w:val="00A0021E"/>
    <w:rsid w:val="00A03F08"/>
    <w:rsid w:val="00A04614"/>
    <w:rsid w:val="00A11FE6"/>
    <w:rsid w:val="00A2623B"/>
    <w:rsid w:val="00A26CA7"/>
    <w:rsid w:val="00A357C2"/>
    <w:rsid w:val="00A36BC9"/>
    <w:rsid w:val="00A37BFA"/>
    <w:rsid w:val="00A4174B"/>
    <w:rsid w:val="00A46FE4"/>
    <w:rsid w:val="00A56C4D"/>
    <w:rsid w:val="00A6450E"/>
    <w:rsid w:val="00A67D11"/>
    <w:rsid w:val="00A72CDF"/>
    <w:rsid w:val="00A730A4"/>
    <w:rsid w:val="00A80E1B"/>
    <w:rsid w:val="00A8105C"/>
    <w:rsid w:val="00A83A7C"/>
    <w:rsid w:val="00A85593"/>
    <w:rsid w:val="00AA6401"/>
    <w:rsid w:val="00AA6667"/>
    <w:rsid w:val="00AB446A"/>
    <w:rsid w:val="00AC0ECF"/>
    <w:rsid w:val="00AC372B"/>
    <w:rsid w:val="00AF4DB4"/>
    <w:rsid w:val="00B068DA"/>
    <w:rsid w:val="00B077CF"/>
    <w:rsid w:val="00B137B4"/>
    <w:rsid w:val="00B24A07"/>
    <w:rsid w:val="00B475BF"/>
    <w:rsid w:val="00B95745"/>
    <w:rsid w:val="00BB37E4"/>
    <w:rsid w:val="00BD29CD"/>
    <w:rsid w:val="00BD4BC3"/>
    <w:rsid w:val="00BE1EA5"/>
    <w:rsid w:val="00BF62F9"/>
    <w:rsid w:val="00C061DD"/>
    <w:rsid w:val="00C103F9"/>
    <w:rsid w:val="00C12A10"/>
    <w:rsid w:val="00C36059"/>
    <w:rsid w:val="00C403BA"/>
    <w:rsid w:val="00C46B5E"/>
    <w:rsid w:val="00C54805"/>
    <w:rsid w:val="00C651CE"/>
    <w:rsid w:val="00C73267"/>
    <w:rsid w:val="00C772CA"/>
    <w:rsid w:val="00C86652"/>
    <w:rsid w:val="00C86B17"/>
    <w:rsid w:val="00CA19B7"/>
    <w:rsid w:val="00CA799C"/>
    <w:rsid w:val="00CB54C5"/>
    <w:rsid w:val="00CC4218"/>
    <w:rsid w:val="00CE10A1"/>
    <w:rsid w:val="00CF23D2"/>
    <w:rsid w:val="00CF5E50"/>
    <w:rsid w:val="00D031F0"/>
    <w:rsid w:val="00D033C6"/>
    <w:rsid w:val="00D04D28"/>
    <w:rsid w:val="00D053C5"/>
    <w:rsid w:val="00D114E4"/>
    <w:rsid w:val="00D11924"/>
    <w:rsid w:val="00D13102"/>
    <w:rsid w:val="00D202B3"/>
    <w:rsid w:val="00D250A8"/>
    <w:rsid w:val="00D33BE6"/>
    <w:rsid w:val="00D408CF"/>
    <w:rsid w:val="00D54DE0"/>
    <w:rsid w:val="00D57FF0"/>
    <w:rsid w:val="00D634D8"/>
    <w:rsid w:val="00D938EF"/>
    <w:rsid w:val="00DA0042"/>
    <w:rsid w:val="00DA0958"/>
    <w:rsid w:val="00DC68E1"/>
    <w:rsid w:val="00DD0AB3"/>
    <w:rsid w:val="00DD3436"/>
    <w:rsid w:val="00DE2624"/>
    <w:rsid w:val="00DE5117"/>
    <w:rsid w:val="00DF6665"/>
    <w:rsid w:val="00E07718"/>
    <w:rsid w:val="00E15136"/>
    <w:rsid w:val="00E15BD0"/>
    <w:rsid w:val="00E232A1"/>
    <w:rsid w:val="00E2394C"/>
    <w:rsid w:val="00E30FFD"/>
    <w:rsid w:val="00E325A1"/>
    <w:rsid w:val="00E51072"/>
    <w:rsid w:val="00E51837"/>
    <w:rsid w:val="00E56D27"/>
    <w:rsid w:val="00E6278D"/>
    <w:rsid w:val="00E8448C"/>
    <w:rsid w:val="00E9178F"/>
    <w:rsid w:val="00EA31C2"/>
    <w:rsid w:val="00EB2BB2"/>
    <w:rsid w:val="00EB75EA"/>
    <w:rsid w:val="00EC4DCD"/>
    <w:rsid w:val="00EC6F19"/>
    <w:rsid w:val="00F0013D"/>
    <w:rsid w:val="00F13B95"/>
    <w:rsid w:val="00F15CF7"/>
    <w:rsid w:val="00F27E16"/>
    <w:rsid w:val="00F46148"/>
    <w:rsid w:val="00F54CCE"/>
    <w:rsid w:val="00F67782"/>
    <w:rsid w:val="00F708A6"/>
    <w:rsid w:val="00F74678"/>
    <w:rsid w:val="00F83A6F"/>
    <w:rsid w:val="00F845F4"/>
    <w:rsid w:val="00F910D5"/>
    <w:rsid w:val="00F930FD"/>
    <w:rsid w:val="00FA2BC8"/>
    <w:rsid w:val="00FC01F8"/>
    <w:rsid w:val="00FC4E61"/>
    <w:rsid w:val="00FC51FF"/>
    <w:rsid w:val="00FD34FA"/>
    <w:rsid w:val="00FD674C"/>
    <w:rsid w:val="00FD74D6"/>
    <w:rsid w:val="00FE0078"/>
    <w:rsid w:val="00FE229F"/>
    <w:rsid w:val="00FE4EB7"/>
    <w:rsid w:val="00FF0FE0"/>
    <w:rsid w:val="00FF4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A26CA7"/>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A26CA7"/>
    <w:pPr>
      <w:spacing w:after="113" w:line="240" w:lineRule="atLeast"/>
    </w:pPr>
    <w:rPr>
      <w:rFonts w:ascii="Calibri" w:hAnsi="Calibri" w:cs="Arial"/>
      <w:sz w:val="22"/>
      <w:szCs w:val="24"/>
      <w:lang w:eastAsia="en-US"/>
    </w:rPr>
  </w:style>
  <w:style w:type="paragraph" w:customStyle="1" w:styleId="Bullet">
    <w:name w:val="_Bullet"/>
    <w:link w:val="BulletChar"/>
    <w:qFormat/>
    <w:rsid w:val="00A26CA7"/>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A26CA7"/>
    <w:rPr>
      <w:rFonts w:ascii="Calibri" w:hAnsi="Calibri" w:cs="Arial"/>
      <w:sz w:val="22"/>
      <w:szCs w:val="24"/>
      <w:lang w:eastAsia="en-US"/>
    </w:rPr>
  </w:style>
  <w:style w:type="paragraph" w:customStyle="1" w:styleId="Bullet2">
    <w:name w:val="_Bullet2"/>
    <w:basedOn w:val="Bullet"/>
    <w:qFormat/>
    <w:rsid w:val="00D033C6"/>
    <w:pPr>
      <w:numPr>
        <w:ilvl w:val="1"/>
        <w:numId w:val="19"/>
      </w:numPr>
    </w:pPr>
  </w:style>
  <w:style w:type="paragraph" w:customStyle="1" w:styleId="Caption">
    <w:name w:val="_Caption"/>
    <w:qFormat/>
    <w:rsid w:val="00A26CA7"/>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A26CA7"/>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CB54C5"/>
    <w:pPr>
      <w:spacing w:before="240" w:after="360" w:line="460" w:lineRule="atLeast"/>
      <w:outlineLvl w:val="0"/>
    </w:pPr>
    <w:rPr>
      <w:rFonts w:ascii="Calibri" w:hAnsi="Calibri" w:cs="Arial"/>
      <w:color w:val="228591"/>
      <w:sz w:val="40"/>
      <w:szCs w:val="24"/>
      <w:lang w:val="en-US"/>
    </w:rPr>
  </w:style>
  <w:style w:type="paragraph" w:customStyle="1" w:styleId="HB">
    <w:name w:val="_HB"/>
    <w:next w:val="Body"/>
    <w:uiPriority w:val="2"/>
    <w:qFormat/>
    <w:rsid w:val="00A26CA7"/>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A26CA7"/>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F31D9"/>
    <w:pPr>
      <w:spacing w:before="57" w:after="57" w:line="220" w:lineRule="atLeast"/>
    </w:pPr>
    <w:rPr>
      <w:rFonts w:ascii="Calibri" w:hAnsi="Calibri" w:cs="Arial"/>
      <w:b/>
      <w:i/>
      <w:sz w:val="22"/>
      <w:szCs w:val="24"/>
      <w:lang w:eastAsia="en-US"/>
    </w:rPr>
  </w:style>
  <w:style w:type="paragraph" w:customStyle="1" w:styleId="Pullout">
    <w:name w:val="_Pullout"/>
    <w:qFormat/>
    <w:rsid w:val="006643F2"/>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A26CA7"/>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A26CA7"/>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A26CA7"/>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2F31D9"/>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5304F7"/>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5304F7"/>
    <w:pPr>
      <w:spacing w:after="60"/>
      <w:jc w:val="center"/>
      <w:outlineLvl w:val="1"/>
    </w:pPr>
    <w:rPr>
      <w:rFonts w:ascii="Arial" w:hAnsi="Arial"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643F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01744A"/>
    <w:pPr>
      <w:ind w:left="-34" w:hanging="694"/>
    </w:pPr>
    <w:rPr>
      <w:rFonts w:ascii="Calibri" w:hAnsi="Calibri" w:cs="Arial"/>
      <w:color w:val="636466"/>
      <w:sz w:val="54"/>
      <w:szCs w:val="24"/>
      <w:lang w:eastAsia="en-US"/>
    </w:rPr>
  </w:style>
  <w:style w:type="paragraph" w:styleId="FootnoteText">
    <w:name w:val="footnote text"/>
    <w:basedOn w:val="Normal"/>
    <w:link w:val="FootnoteTextChar"/>
    <w:semiHidden/>
    <w:rsid w:val="00077758"/>
    <w:rPr>
      <w:szCs w:val="20"/>
    </w:rPr>
  </w:style>
  <w:style w:type="character" w:customStyle="1" w:styleId="FootnoteTextChar">
    <w:name w:val="Footnote Text Char"/>
    <w:link w:val="FootnoteText"/>
    <w:semiHidden/>
    <w:rsid w:val="00077758"/>
    <w:rPr>
      <w:lang w:eastAsia="en-US"/>
    </w:rPr>
  </w:style>
  <w:style w:type="character" w:styleId="FootnoteReference">
    <w:name w:val="footnote reference"/>
    <w:semiHidden/>
    <w:rsid w:val="00077758"/>
    <w:rPr>
      <w:rFonts w:ascii="Arial" w:hAnsi="Arial"/>
      <w:vertAlign w:val="superscript"/>
    </w:rPr>
  </w:style>
  <w:style w:type="table" w:customStyle="1" w:styleId="TableGrid10">
    <w:name w:val="Table Grid1"/>
    <w:basedOn w:val="TableNormal"/>
    <w:next w:val="TableGrid"/>
    <w:uiPriority w:val="59"/>
    <w:rsid w:val="0020670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7268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1F2371"/>
    <w:rPr>
      <w:sz w:val="16"/>
      <w:szCs w:val="16"/>
    </w:rPr>
  </w:style>
  <w:style w:type="paragraph" w:styleId="CommentText">
    <w:name w:val="annotation text"/>
    <w:basedOn w:val="Normal"/>
    <w:link w:val="CommentTextChar"/>
    <w:semiHidden/>
    <w:rsid w:val="001F2371"/>
    <w:rPr>
      <w:sz w:val="20"/>
      <w:szCs w:val="20"/>
    </w:rPr>
  </w:style>
  <w:style w:type="character" w:customStyle="1" w:styleId="CommentTextChar">
    <w:name w:val="Comment Text Char"/>
    <w:basedOn w:val="DefaultParagraphFont"/>
    <w:link w:val="CommentText"/>
    <w:semiHidden/>
    <w:rsid w:val="001F2371"/>
    <w:rPr>
      <w:rFonts w:ascii="Calibri" w:hAnsi="Calibri"/>
      <w:lang w:eastAsia="en-US"/>
    </w:rPr>
  </w:style>
  <w:style w:type="paragraph" w:styleId="CommentSubject">
    <w:name w:val="annotation subject"/>
    <w:basedOn w:val="CommentText"/>
    <w:next w:val="CommentText"/>
    <w:link w:val="CommentSubjectChar"/>
    <w:semiHidden/>
    <w:rsid w:val="001F2371"/>
    <w:rPr>
      <w:b/>
      <w:bCs/>
    </w:rPr>
  </w:style>
  <w:style w:type="character" w:customStyle="1" w:styleId="CommentSubjectChar">
    <w:name w:val="Comment Subject Char"/>
    <w:basedOn w:val="CommentTextChar"/>
    <w:link w:val="CommentSubject"/>
    <w:semiHidden/>
    <w:rsid w:val="001F2371"/>
    <w:rPr>
      <w:rFonts w:ascii="Calibri" w:hAnsi="Calibri"/>
      <w:b/>
      <w:bCs/>
      <w:lang w:eastAsia="en-US"/>
    </w:rPr>
  </w:style>
  <w:style w:type="paragraph" w:styleId="ListParagraph">
    <w:name w:val="List Paragraph"/>
    <w:basedOn w:val="Normal"/>
    <w:uiPriority w:val="34"/>
    <w:qFormat/>
    <w:rsid w:val="008C71DE"/>
    <w:pPr>
      <w:spacing w:after="200" w:line="276" w:lineRule="auto"/>
      <w:ind w:left="720"/>
      <w:contextualSpacing/>
    </w:pPr>
    <w:rPr>
      <w:rFonts w:asciiTheme="minorHAnsi" w:eastAsiaTheme="minorEastAsia" w:hAnsiTheme="minorHAnsi" w:cstheme="minorBidi"/>
      <w:szCs w:val="22"/>
      <w:lang w:eastAsia="en-AU"/>
    </w:rPr>
  </w:style>
  <w:style w:type="paragraph" w:styleId="EndnoteText">
    <w:name w:val="endnote text"/>
    <w:basedOn w:val="Normal"/>
    <w:link w:val="EndnoteTextChar"/>
    <w:semiHidden/>
    <w:rsid w:val="00827A84"/>
    <w:rPr>
      <w:sz w:val="20"/>
      <w:szCs w:val="20"/>
    </w:rPr>
  </w:style>
  <w:style w:type="character" w:customStyle="1" w:styleId="EndnoteTextChar">
    <w:name w:val="Endnote Text Char"/>
    <w:basedOn w:val="DefaultParagraphFont"/>
    <w:link w:val="EndnoteText"/>
    <w:semiHidden/>
    <w:rsid w:val="00827A84"/>
    <w:rPr>
      <w:rFonts w:ascii="Calibri" w:hAnsi="Calibri"/>
      <w:lang w:eastAsia="en-US"/>
    </w:rPr>
  </w:style>
  <w:style w:type="character" w:styleId="EndnoteReference">
    <w:name w:val="endnote reference"/>
    <w:basedOn w:val="DefaultParagraphFont"/>
    <w:semiHidden/>
    <w:rsid w:val="00827A84"/>
    <w:rPr>
      <w:vertAlign w:val="superscript"/>
    </w:rPr>
  </w:style>
  <w:style w:type="character" w:customStyle="1" w:styleId="FooterChar">
    <w:name w:val="Footer Char"/>
    <w:basedOn w:val="DefaultParagraphFont"/>
    <w:link w:val="Footer"/>
    <w:uiPriority w:val="99"/>
    <w:rsid w:val="00827A84"/>
    <w:rPr>
      <w:rFonts w:ascii="Calibri" w:hAnsi="Calibri"/>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foot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A26CA7"/>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A26CA7"/>
    <w:pPr>
      <w:spacing w:after="113" w:line="240" w:lineRule="atLeast"/>
    </w:pPr>
    <w:rPr>
      <w:rFonts w:ascii="Calibri" w:hAnsi="Calibri" w:cs="Arial"/>
      <w:sz w:val="22"/>
      <w:szCs w:val="24"/>
      <w:lang w:eastAsia="en-US"/>
    </w:rPr>
  </w:style>
  <w:style w:type="paragraph" w:customStyle="1" w:styleId="Bullet">
    <w:name w:val="_Bullet"/>
    <w:link w:val="BulletChar"/>
    <w:qFormat/>
    <w:rsid w:val="00A26CA7"/>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A26CA7"/>
    <w:rPr>
      <w:rFonts w:ascii="Calibri" w:hAnsi="Calibri" w:cs="Arial"/>
      <w:sz w:val="22"/>
      <w:szCs w:val="24"/>
      <w:lang w:eastAsia="en-US"/>
    </w:rPr>
  </w:style>
  <w:style w:type="paragraph" w:customStyle="1" w:styleId="Bullet2">
    <w:name w:val="_Bullet2"/>
    <w:basedOn w:val="Bullet"/>
    <w:qFormat/>
    <w:rsid w:val="00D033C6"/>
    <w:pPr>
      <w:numPr>
        <w:ilvl w:val="1"/>
        <w:numId w:val="19"/>
      </w:numPr>
    </w:pPr>
  </w:style>
  <w:style w:type="paragraph" w:customStyle="1" w:styleId="Caption">
    <w:name w:val="_Caption"/>
    <w:qFormat/>
    <w:rsid w:val="00A26CA7"/>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A26CA7"/>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CB54C5"/>
    <w:pPr>
      <w:spacing w:before="240" w:after="360" w:line="460" w:lineRule="atLeast"/>
      <w:outlineLvl w:val="0"/>
    </w:pPr>
    <w:rPr>
      <w:rFonts w:ascii="Calibri" w:hAnsi="Calibri" w:cs="Arial"/>
      <w:color w:val="228591"/>
      <w:sz w:val="40"/>
      <w:szCs w:val="24"/>
      <w:lang w:val="en-US"/>
    </w:rPr>
  </w:style>
  <w:style w:type="paragraph" w:customStyle="1" w:styleId="HB">
    <w:name w:val="_HB"/>
    <w:next w:val="Body"/>
    <w:uiPriority w:val="2"/>
    <w:qFormat/>
    <w:rsid w:val="00A26CA7"/>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A26CA7"/>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F31D9"/>
    <w:pPr>
      <w:spacing w:before="57" w:after="57" w:line="220" w:lineRule="atLeast"/>
    </w:pPr>
    <w:rPr>
      <w:rFonts w:ascii="Calibri" w:hAnsi="Calibri" w:cs="Arial"/>
      <w:b/>
      <w:i/>
      <w:sz w:val="22"/>
      <w:szCs w:val="24"/>
      <w:lang w:eastAsia="en-US"/>
    </w:rPr>
  </w:style>
  <w:style w:type="paragraph" w:customStyle="1" w:styleId="Pullout">
    <w:name w:val="_Pullout"/>
    <w:qFormat/>
    <w:rsid w:val="006643F2"/>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A26CA7"/>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A26CA7"/>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link w:val="FooterChar"/>
    <w:uiPriority w:val="99"/>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A26CA7"/>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2F31D9"/>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5304F7"/>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5304F7"/>
    <w:pPr>
      <w:spacing w:after="60"/>
      <w:jc w:val="center"/>
      <w:outlineLvl w:val="1"/>
    </w:pPr>
    <w:rPr>
      <w:rFonts w:ascii="Arial" w:hAnsi="Arial"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643F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01744A"/>
    <w:pPr>
      <w:ind w:left="-34" w:hanging="694"/>
    </w:pPr>
    <w:rPr>
      <w:rFonts w:ascii="Calibri" w:hAnsi="Calibri" w:cs="Arial"/>
      <w:color w:val="636466"/>
      <w:sz w:val="54"/>
      <w:szCs w:val="24"/>
      <w:lang w:eastAsia="en-US"/>
    </w:rPr>
  </w:style>
  <w:style w:type="paragraph" w:styleId="FootnoteText">
    <w:name w:val="footnote text"/>
    <w:basedOn w:val="Normal"/>
    <w:link w:val="FootnoteTextChar"/>
    <w:semiHidden/>
    <w:rsid w:val="00077758"/>
    <w:rPr>
      <w:szCs w:val="20"/>
    </w:rPr>
  </w:style>
  <w:style w:type="character" w:customStyle="1" w:styleId="FootnoteTextChar">
    <w:name w:val="Footnote Text Char"/>
    <w:link w:val="FootnoteText"/>
    <w:semiHidden/>
    <w:rsid w:val="00077758"/>
    <w:rPr>
      <w:lang w:eastAsia="en-US"/>
    </w:rPr>
  </w:style>
  <w:style w:type="character" w:styleId="FootnoteReference">
    <w:name w:val="footnote reference"/>
    <w:semiHidden/>
    <w:rsid w:val="00077758"/>
    <w:rPr>
      <w:rFonts w:ascii="Arial" w:hAnsi="Arial"/>
      <w:vertAlign w:val="superscript"/>
    </w:rPr>
  </w:style>
  <w:style w:type="table" w:customStyle="1" w:styleId="TableGrid10">
    <w:name w:val="Table Grid1"/>
    <w:basedOn w:val="TableNormal"/>
    <w:next w:val="TableGrid"/>
    <w:uiPriority w:val="59"/>
    <w:rsid w:val="0020670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7268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1F2371"/>
    <w:rPr>
      <w:sz w:val="16"/>
      <w:szCs w:val="16"/>
    </w:rPr>
  </w:style>
  <w:style w:type="paragraph" w:styleId="CommentText">
    <w:name w:val="annotation text"/>
    <w:basedOn w:val="Normal"/>
    <w:link w:val="CommentTextChar"/>
    <w:semiHidden/>
    <w:rsid w:val="001F2371"/>
    <w:rPr>
      <w:sz w:val="20"/>
      <w:szCs w:val="20"/>
    </w:rPr>
  </w:style>
  <w:style w:type="character" w:customStyle="1" w:styleId="CommentTextChar">
    <w:name w:val="Comment Text Char"/>
    <w:basedOn w:val="DefaultParagraphFont"/>
    <w:link w:val="CommentText"/>
    <w:semiHidden/>
    <w:rsid w:val="001F2371"/>
    <w:rPr>
      <w:rFonts w:ascii="Calibri" w:hAnsi="Calibri"/>
      <w:lang w:eastAsia="en-US"/>
    </w:rPr>
  </w:style>
  <w:style w:type="paragraph" w:styleId="CommentSubject">
    <w:name w:val="annotation subject"/>
    <w:basedOn w:val="CommentText"/>
    <w:next w:val="CommentText"/>
    <w:link w:val="CommentSubjectChar"/>
    <w:semiHidden/>
    <w:rsid w:val="001F2371"/>
    <w:rPr>
      <w:b/>
      <w:bCs/>
    </w:rPr>
  </w:style>
  <w:style w:type="character" w:customStyle="1" w:styleId="CommentSubjectChar">
    <w:name w:val="Comment Subject Char"/>
    <w:basedOn w:val="CommentTextChar"/>
    <w:link w:val="CommentSubject"/>
    <w:semiHidden/>
    <w:rsid w:val="001F2371"/>
    <w:rPr>
      <w:rFonts w:ascii="Calibri" w:hAnsi="Calibri"/>
      <w:b/>
      <w:bCs/>
      <w:lang w:eastAsia="en-US"/>
    </w:rPr>
  </w:style>
  <w:style w:type="paragraph" w:styleId="ListParagraph">
    <w:name w:val="List Paragraph"/>
    <w:basedOn w:val="Normal"/>
    <w:uiPriority w:val="34"/>
    <w:qFormat/>
    <w:rsid w:val="008C71DE"/>
    <w:pPr>
      <w:spacing w:after="200" w:line="276" w:lineRule="auto"/>
      <w:ind w:left="720"/>
      <w:contextualSpacing/>
    </w:pPr>
    <w:rPr>
      <w:rFonts w:asciiTheme="minorHAnsi" w:eastAsiaTheme="minorEastAsia" w:hAnsiTheme="minorHAnsi" w:cstheme="minorBidi"/>
      <w:szCs w:val="22"/>
      <w:lang w:eastAsia="en-AU"/>
    </w:rPr>
  </w:style>
  <w:style w:type="paragraph" w:styleId="EndnoteText">
    <w:name w:val="endnote text"/>
    <w:basedOn w:val="Normal"/>
    <w:link w:val="EndnoteTextChar"/>
    <w:semiHidden/>
    <w:rsid w:val="00827A84"/>
    <w:rPr>
      <w:sz w:val="20"/>
      <w:szCs w:val="20"/>
    </w:rPr>
  </w:style>
  <w:style w:type="character" w:customStyle="1" w:styleId="EndnoteTextChar">
    <w:name w:val="Endnote Text Char"/>
    <w:basedOn w:val="DefaultParagraphFont"/>
    <w:link w:val="EndnoteText"/>
    <w:semiHidden/>
    <w:rsid w:val="00827A84"/>
    <w:rPr>
      <w:rFonts w:ascii="Calibri" w:hAnsi="Calibri"/>
      <w:lang w:eastAsia="en-US"/>
    </w:rPr>
  </w:style>
  <w:style w:type="character" w:styleId="EndnoteReference">
    <w:name w:val="endnote reference"/>
    <w:basedOn w:val="DefaultParagraphFont"/>
    <w:semiHidden/>
    <w:rsid w:val="00827A84"/>
    <w:rPr>
      <w:vertAlign w:val="superscript"/>
    </w:rPr>
  </w:style>
  <w:style w:type="character" w:customStyle="1" w:styleId="FooterChar">
    <w:name w:val="Footer Char"/>
    <w:basedOn w:val="DefaultParagraphFont"/>
    <w:link w:val="Footer"/>
    <w:uiPriority w:val="99"/>
    <w:rsid w:val="00827A84"/>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3435">
      <w:bodyDiv w:val="1"/>
      <w:marLeft w:val="0"/>
      <w:marRight w:val="0"/>
      <w:marTop w:val="0"/>
      <w:marBottom w:val="0"/>
      <w:divBdr>
        <w:top w:val="none" w:sz="0" w:space="0" w:color="auto"/>
        <w:left w:val="none" w:sz="0" w:space="0" w:color="auto"/>
        <w:bottom w:val="none" w:sz="0" w:space="0" w:color="auto"/>
        <w:right w:val="none" w:sz="0" w:space="0" w:color="auto"/>
      </w:divBdr>
    </w:div>
    <w:div w:id="395319195">
      <w:bodyDiv w:val="1"/>
      <w:marLeft w:val="0"/>
      <w:marRight w:val="0"/>
      <w:marTop w:val="0"/>
      <w:marBottom w:val="0"/>
      <w:divBdr>
        <w:top w:val="none" w:sz="0" w:space="0" w:color="auto"/>
        <w:left w:val="none" w:sz="0" w:space="0" w:color="auto"/>
        <w:bottom w:val="none" w:sz="0" w:space="0" w:color="auto"/>
        <w:right w:val="none" w:sz="0" w:space="0" w:color="auto"/>
      </w:divBdr>
    </w:div>
    <w:div w:id="612979449">
      <w:bodyDiv w:val="1"/>
      <w:marLeft w:val="0"/>
      <w:marRight w:val="0"/>
      <w:marTop w:val="0"/>
      <w:marBottom w:val="0"/>
      <w:divBdr>
        <w:top w:val="none" w:sz="0" w:space="0" w:color="auto"/>
        <w:left w:val="none" w:sz="0" w:space="0" w:color="auto"/>
        <w:bottom w:val="none" w:sz="0" w:space="0" w:color="auto"/>
        <w:right w:val="none" w:sz="0" w:space="0" w:color="auto"/>
      </w:divBdr>
    </w:div>
    <w:div w:id="617299117">
      <w:bodyDiv w:val="1"/>
      <w:marLeft w:val="0"/>
      <w:marRight w:val="0"/>
      <w:marTop w:val="0"/>
      <w:marBottom w:val="0"/>
      <w:divBdr>
        <w:top w:val="none" w:sz="0" w:space="0" w:color="auto"/>
        <w:left w:val="none" w:sz="0" w:space="0" w:color="auto"/>
        <w:bottom w:val="none" w:sz="0" w:space="0" w:color="auto"/>
        <w:right w:val="none" w:sz="0" w:space="0" w:color="auto"/>
      </w:divBdr>
    </w:div>
    <w:div w:id="961032561">
      <w:bodyDiv w:val="1"/>
      <w:marLeft w:val="0"/>
      <w:marRight w:val="0"/>
      <w:marTop w:val="0"/>
      <w:marBottom w:val="0"/>
      <w:divBdr>
        <w:top w:val="none" w:sz="0" w:space="0" w:color="auto"/>
        <w:left w:val="none" w:sz="0" w:space="0" w:color="auto"/>
        <w:bottom w:val="none" w:sz="0" w:space="0" w:color="auto"/>
        <w:right w:val="none" w:sz="0" w:space="0" w:color="auto"/>
      </w:divBdr>
    </w:div>
    <w:div w:id="1405950490">
      <w:bodyDiv w:val="1"/>
      <w:marLeft w:val="0"/>
      <w:marRight w:val="0"/>
      <w:marTop w:val="0"/>
      <w:marBottom w:val="0"/>
      <w:divBdr>
        <w:top w:val="none" w:sz="0" w:space="0" w:color="auto"/>
        <w:left w:val="none" w:sz="0" w:space="0" w:color="auto"/>
        <w:bottom w:val="none" w:sz="0" w:space="0" w:color="auto"/>
        <w:right w:val="none" w:sz="0" w:space="0" w:color="auto"/>
      </w:divBdr>
    </w:div>
    <w:div w:id="1587181171">
      <w:bodyDiv w:val="1"/>
      <w:marLeft w:val="0"/>
      <w:marRight w:val="0"/>
      <w:marTop w:val="0"/>
      <w:marBottom w:val="0"/>
      <w:divBdr>
        <w:top w:val="none" w:sz="0" w:space="0" w:color="auto"/>
        <w:left w:val="none" w:sz="0" w:space="0" w:color="auto"/>
        <w:bottom w:val="none" w:sz="0" w:space="0" w:color="auto"/>
        <w:right w:val="none" w:sz="0" w:space="0" w:color="auto"/>
      </w:divBdr>
    </w:div>
    <w:div w:id="1619070317">
      <w:bodyDiv w:val="1"/>
      <w:marLeft w:val="0"/>
      <w:marRight w:val="0"/>
      <w:marTop w:val="0"/>
      <w:marBottom w:val="0"/>
      <w:divBdr>
        <w:top w:val="none" w:sz="0" w:space="0" w:color="auto"/>
        <w:left w:val="none" w:sz="0" w:space="0" w:color="auto"/>
        <w:bottom w:val="none" w:sz="0" w:space="0" w:color="auto"/>
        <w:right w:val="none" w:sz="0" w:space="0" w:color="auto"/>
      </w:divBdr>
    </w:div>
    <w:div w:id="21448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lwp.vic.gov.au/property-forms" TargetMode="External"/><Relationship Id="rId18" Type="http://schemas.openxmlformats.org/officeDocument/2006/relationships/hyperlink" Target="http://www.arnecc.gov.au/publications/mpr_guidance_notes" TargetMode="External"/><Relationship Id="rId26"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hyperlink" Target="http://www.delwp.vic.gov.au/property"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delwp.vic.gov.au/property-forms" TargetMode="External"/><Relationship Id="rId17" Type="http://schemas.openxmlformats.org/officeDocument/2006/relationships/hyperlink" Target="http://www.delwp.vic.gov.au/property-forms" TargetMode="External"/><Relationship Id="rId25" Type="http://schemas.openxmlformats.org/officeDocument/2006/relationships/hyperlink" Target="mailto:customer.service@delwp.vic.gov.au"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elwp.vic.gov.au/property-and-land-titles/forms,-guides-and-fees/subdivision-act" TargetMode="External"/><Relationship Id="rId20" Type="http://schemas.openxmlformats.org/officeDocument/2006/relationships/hyperlink" Target="http://www.dtpli.vic.gov.au/property-and-land-titles/contact-us" TargetMode="External"/><Relationship Id="rId29"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lwp.vic.gov.au/property-and-land-titles/forms,-guides-and-fees/certificate-of-title-management-and-electronic-conveyancing" TargetMode="External"/><Relationship Id="rId24" Type="http://schemas.openxmlformats.org/officeDocument/2006/relationships/hyperlink" Target="http://creativecommons.org/licenses/by/4.0/" TargetMode="External"/><Relationship Id="rId32" Type="http://schemas.openxmlformats.org/officeDocument/2006/relationships/hyperlink" Target="http://www.delwp.vic.gov.a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elwp.vic.gov.au/property-forms" TargetMode="External"/><Relationship Id="rId23" Type="http://schemas.openxmlformats.org/officeDocument/2006/relationships/hyperlink" Target="http://creativecommons.org/licenses/by/4.0/" TargetMode="External"/><Relationship Id="rId28" Type="http://schemas.openxmlformats.org/officeDocument/2006/relationships/hyperlink" Target="http://creativecommons.org/licenses/by/4.0/" TargetMode="External"/><Relationship Id="rId36" Type="http://schemas.openxmlformats.org/officeDocument/2006/relationships/footer" Target="footer2.xml"/><Relationship Id="rId10" Type="http://schemas.openxmlformats.org/officeDocument/2006/relationships/hyperlink" Target="http://www.delwp.vic.gov.au/property-forms" TargetMode="External"/><Relationship Id="rId19" Type="http://schemas.openxmlformats.org/officeDocument/2006/relationships/hyperlink" Target="http://www.arnecc.gov.au/publications" TargetMode="External"/><Relationship Id="rId31" Type="http://schemas.openxmlformats.org/officeDocument/2006/relationships/hyperlink" Target="http://www.relayservice.com.au" TargetMode="External"/><Relationship Id="rId4" Type="http://schemas.microsoft.com/office/2007/relationships/stylesWithEffects" Target="stylesWithEffects.xml"/><Relationship Id="rId9" Type="http://schemas.openxmlformats.org/officeDocument/2006/relationships/hyperlink" Target="http://www.delwp.vic.gov.au/property-and-land-titles/forms,-guides-and-fees/transfer-of-land-act" TargetMode="External"/><Relationship Id="rId14" Type="http://schemas.openxmlformats.org/officeDocument/2006/relationships/hyperlink" Target="http://www.delwp.vic.gov.au/property-and-land-titles/forms,-guides-and-fees/transfer-of-land-act" TargetMode="External"/><Relationship Id="rId22" Type="http://schemas.openxmlformats.org/officeDocument/2006/relationships/image" Target="media/image1.emf"/><Relationship Id="rId27" Type="http://schemas.openxmlformats.org/officeDocument/2006/relationships/hyperlink" Target="http://www.delwp.vic.gov.au" TargetMode="External"/><Relationship Id="rId30" Type="http://schemas.openxmlformats.org/officeDocument/2006/relationships/hyperlink" Target="mailto:customer.service@delwp.vic.gov.au"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1F541-A864-4EFB-9FF2-9369D7FDF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7</Pages>
  <Words>2303</Words>
  <Characters>13717</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2016-08-29T02:38:00Z</dcterms:created>
  <dcterms:modified xsi:type="dcterms:W3CDTF">2016-08-31T05:56:00Z</dcterms:modified>
</cp:coreProperties>
</file>