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959"/>
      </w:tblGrid>
      <w:tr w:rsidR="00975ED3" w:rsidRPr="00975ED3" w14:paraId="05C698DD" w14:textId="77777777" w:rsidTr="00082CA2">
        <w:trPr>
          <w:trHeight w:hRule="exact" w:val="1398"/>
        </w:trPr>
        <w:tc>
          <w:tcPr>
            <w:tcW w:w="7959" w:type="dxa"/>
            <w:vAlign w:val="center"/>
          </w:tcPr>
          <w:p w14:paraId="66A93E44" w14:textId="402802C7" w:rsidR="009B1003" w:rsidRPr="009B1003" w:rsidRDefault="00BA4D69" w:rsidP="009B1003">
            <w:pPr>
              <w:pStyle w:val="Title"/>
            </w:pPr>
            <w:r>
              <w:t>Land Use Victoria</w:t>
            </w:r>
            <w:r>
              <w:br/>
              <w:t>Customer Information Bulletin 1</w:t>
            </w:r>
            <w:r w:rsidR="00C4767A">
              <w:t>86</w:t>
            </w:r>
            <w:r>
              <w:br/>
            </w:r>
            <w:r w:rsidR="00DB0B4D">
              <w:t xml:space="preserve">April </w:t>
            </w:r>
            <w:r>
              <w:t>201</w:t>
            </w:r>
            <w:r w:rsidR="00C4767A">
              <w:t>9</w:t>
            </w:r>
          </w:p>
        </w:tc>
      </w:tr>
      <w:tr w:rsidR="00975ED3" w14:paraId="56AF92E0" w14:textId="77777777" w:rsidTr="00082CA2">
        <w:trPr>
          <w:trHeight w:val="77"/>
        </w:trPr>
        <w:tc>
          <w:tcPr>
            <w:tcW w:w="7959" w:type="dxa"/>
            <w:vAlign w:val="center"/>
          </w:tcPr>
          <w:p w14:paraId="2EE307D0" w14:textId="77777777" w:rsidR="009B1003" w:rsidRPr="009B1003" w:rsidRDefault="009B1003" w:rsidP="009B1003">
            <w:pPr>
              <w:pStyle w:val="Subtitle"/>
            </w:pPr>
          </w:p>
        </w:tc>
      </w:tr>
    </w:tbl>
    <w:p w14:paraId="4C872465" w14:textId="77777777" w:rsidR="00082CA2" w:rsidRDefault="00082CA2" w:rsidP="003D0914">
      <w:pPr>
        <w:pStyle w:val="Heading1"/>
        <w:numPr>
          <w:ilvl w:val="0"/>
          <w:numId w:val="0"/>
        </w:numPr>
      </w:pPr>
      <w:bookmarkStart w:id="0" w:name="Here"/>
      <w:bookmarkEnd w:id="0"/>
    </w:p>
    <w:p w14:paraId="7626DC4D" w14:textId="02BDE70B" w:rsidR="002A30B8" w:rsidRDefault="00BA4D69" w:rsidP="003D0914">
      <w:pPr>
        <w:pStyle w:val="Heading1"/>
        <w:numPr>
          <w:ilvl w:val="0"/>
          <w:numId w:val="0"/>
        </w:numPr>
      </w:pPr>
      <w:bookmarkStart w:id="1" w:name="_GoBack"/>
      <w:bookmarkEnd w:id="1"/>
      <w:r w:rsidRPr="00C4767A">
        <w:t>Bulk conversion of paper Certificates of Title to electronic Certificates of Title</w:t>
      </w:r>
    </w:p>
    <w:p w14:paraId="4BDE670A" w14:textId="5994FA06" w:rsidR="00BA4D69" w:rsidRPr="00D56375" w:rsidRDefault="00BA4D69" w:rsidP="00D3714C">
      <w:pPr>
        <w:pStyle w:val="BodyText"/>
      </w:pPr>
      <w:r w:rsidRPr="00D56375">
        <w:t>On 2</w:t>
      </w:r>
      <w:r w:rsidR="009B0A8D">
        <w:t>2</w:t>
      </w:r>
      <w:r w:rsidRPr="00D56375">
        <w:t xml:space="preserve"> </w:t>
      </w:r>
      <w:r w:rsidR="009B0A8D">
        <w:t xml:space="preserve">March </w:t>
      </w:r>
      <w:r w:rsidRPr="00D56375">
        <w:t>201</w:t>
      </w:r>
      <w:r w:rsidR="009B0A8D">
        <w:t>9</w:t>
      </w:r>
      <w:r w:rsidRPr="00D56375">
        <w:t>, Land Use Victoria facilitate</w:t>
      </w:r>
      <w:r w:rsidR="00791AB5">
        <w:t>d</w:t>
      </w:r>
      <w:r w:rsidRPr="00D56375">
        <w:t xml:space="preserve"> a bulk conversion of paper C</w:t>
      </w:r>
      <w:r w:rsidR="001C58C1">
        <w:t xml:space="preserve">ertificates of </w:t>
      </w:r>
      <w:r w:rsidRPr="00D56375">
        <w:t>T</w:t>
      </w:r>
      <w:r w:rsidR="001C58C1">
        <w:t>itle</w:t>
      </w:r>
      <w:r w:rsidRPr="00D56375">
        <w:t xml:space="preserve"> (</w:t>
      </w:r>
      <w:proofErr w:type="spellStart"/>
      <w:r w:rsidRPr="00D56375">
        <w:t>pCTs</w:t>
      </w:r>
      <w:proofErr w:type="spellEnd"/>
      <w:r w:rsidRPr="00D56375">
        <w:t>)</w:t>
      </w:r>
      <w:r w:rsidR="00FF1B9A">
        <w:t xml:space="preserve"> to electronic Certificates of Titles (</w:t>
      </w:r>
      <w:proofErr w:type="spellStart"/>
      <w:r w:rsidR="00FF1B9A">
        <w:t>eCTs</w:t>
      </w:r>
      <w:proofErr w:type="spellEnd"/>
      <w:r w:rsidR="00FF1B9A">
        <w:t>)</w:t>
      </w:r>
      <w:r w:rsidRPr="00D56375">
        <w:t xml:space="preserve"> </w:t>
      </w:r>
      <w:r w:rsidR="00FF1B9A">
        <w:t>when</w:t>
      </w:r>
      <w:r w:rsidRPr="00D56375">
        <w:t xml:space="preserve"> any of the</w:t>
      </w:r>
      <w:r w:rsidR="0034721E">
        <w:t xml:space="preserve"> </w:t>
      </w:r>
      <w:r w:rsidRPr="00D56375">
        <w:t>following banks are recorded as the first mortgagee:</w:t>
      </w:r>
    </w:p>
    <w:p w14:paraId="2E23C838" w14:textId="77777777" w:rsidR="002A30B8" w:rsidRDefault="00524C7A" w:rsidP="003D0914">
      <w:pPr>
        <w:pStyle w:val="BodyText"/>
        <w:numPr>
          <w:ilvl w:val="0"/>
          <w:numId w:val="47"/>
        </w:numPr>
      </w:pPr>
      <w:r>
        <w:t>AMP Bank Limited</w:t>
      </w:r>
    </w:p>
    <w:p w14:paraId="2DC4E12A" w14:textId="77777777" w:rsidR="002A30B8" w:rsidRDefault="009B0A8D" w:rsidP="003D0914">
      <w:pPr>
        <w:pStyle w:val="BodyText"/>
        <w:numPr>
          <w:ilvl w:val="0"/>
          <w:numId w:val="47"/>
        </w:numPr>
      </w:pPr>
      <w:r>
        <w:t>Credit Suisse AG</w:t>
      </w:r>
    </w:p>
    <w:p w14:paraId="74FED368" w14:textId="77777777" w:rsidR="002A30B8" w:rsidRDefault="009B0A8D" w:rsidP="003D0914">
      <w:pPr>
        <w:pStyle w:val="BodyText"/>
        <w:numPr>
          <w:ilvl w:val="0"/>
          <w:numId w:val="47"/>
        </w:numPr>
      </w:pPr>
      <w:r>
        <w:t>HSBC</w:t>
      </w:r>
      <w:r w:rsidR="00D3714C">
        <w:t xml:space="preserve"> Bank Australia Limited</w:t>
      </w:r>
      <w:r w:rsidR="00BA4D69" w:rsidRPr="00D56375">
        <w:t xml:space="preserve"> </w:t>
      </w:r>
    </w:p>
    <w:p w14:paraId="6F014419" w14:textId="2D39372F" w:rsidR="00BA4D69" w:rsidRPr="00D56375" w:rsidRDefault="00BA4D69" w:rsidP="00D3714C">
      <w:pPr>
        <w:pStyle w:val="BodyText"/>
      </w:pPr>
      <w:r w:rsidRPr="00D56375">
        <w:t xml:space="preserve">Under section 27BAA of the </w:t>
      </w:r>
      <w:r w:rsidRPr="003C2384">
        <w:rPr>
          <w:i/>
        </w:rPr>
        <w:t>Transfer of Land Act 1958</w:t>
      </w:r>
      <w:r w:rsidRPr="00D56375">
        <w:t xml:space="preserve">, the Registrar of Titles </w:t>
      </w:r>
      <w:r w:rsidR="00791AB5">
        <w:t>has</w:t>
      </w:r>
      <w:r w:rsidR="00B57E19">
        <w:t xml:space="preserve"> </w:t>
      </w:r>
      <w:r w:rsidRPr="00D56375">
        <w:t>declare</w:t>
      </w:r>
      <w:r w:rsidR="00791AB5">
        <w:t>d</w:t>
      </w:r>
      <w:r w:rsidRPr="00D56375">
        <w:t xml:space="preserve"> by notice in the </w:t>
      </w:r>
      <w:r w:rsidRPr="003C2384">
        <w:rPr>
          <w:i/>
        </w:rPr>
        <w:t>Victoria Government</w:t>
      </w:r>
      <w:r w:rsidRPr="00D56375">
        <w:t xml:space="preserve"> </w:t>
      </w:r>
      <w:r w:rsidRPr="003C2384">
        <w:rPr>
          <w:i/>
        </w:rPr>
        <w:t>Gazette</w:t>
      </w:r>
      <w:r w:rsidRPr="00D56375">
        <w:t xml:space="preserve"> that these </w:t>
      </w:r>
      <w:proofErr w:type="spellStart"/>
      <w:r w:rsidRPr="00D56375">
        <w:t>pCTs</w:t>
      </w:r>
      <w:proofErr w:type="spellEnd"/>
      <w:r w:rsidRPr="00D56375">
        <w:t xml:space="preserve"> will be void and of no effect after 2</w:t>
      </w:r>
      <w:r w:rsidR="009B0A8D">
        <w:t>2</w:t>
      </w:r>
      <w:r>
        <w:t xml:space="preserve"> </w:t>
      </w:r>
      <w:r w:rsidR="009B0A8D">
        <w:t xml:space="preserve">March </w:t>
      </w:r>
      <w:r w:rsidRPr="00D56375">
        <w:t>201</w:t>
      </w:r>
      <w:r w:rsidR="009B0A8D">
        <w:t>9</w:t>
      </w:r>
      <w:r w:rsidRPr="00D56375">
        <w:t xml:space="preserve">.  </w:t>
      </w:r>
      <w:r w:rsidR="00E26B33">
        <w:t>T</w:t>
      </w:r>
      <w:r w:rsidRPr="00D56375">
        <w:t>he C</w:t>
      </w:r>
      <w:r w:rsidR="001C58C1">
        <w:t xml:space="preserve">ertificates of </w:t>
      </w:r>
      <w:r w:rsidRPr="00D56375">
        <w:t>T</w:t>
      </w:r>
      <w:r w:rsidR="001C58C1">
        <w:t>itle</w:t>
      </w:r>
      <w:r w:rsidRPr="00D56375">
        <w:t xml:space="preserve"> held by these banks will be </w:t>
      </w:r>
      <w:proofErr w:type="spellStart"/>
      <w:r w:rsidRPr="00D56375">
        <w:t>eCTs</w:t>
      </w:r>
      <w:proofErr w:type="spellEnd"/>
      <w:r w:rsidRPr="00D56375">
        <w:t xml:space="preserve"> and the relevant bank</w:t>
      </w:r>
      <w:r w:rsidR="00063B2D">
        <w:t>, its conveyancers or lawyers</w:t>
      </w:r>
      <w:r w:rsidRPr="00D56375">
        <w:t xml:space="preserve"> will be recorded as the </w:t>
      </w:r>
      <w:proofErr w:type="spellStart"/>
      <w:r w:rsidRPr="00D56375">
        <w:t>eCT</w:t>
      </w:r>
      <w:proofErr w:type="spellEnd"/>
      <w:r w:rsidRPr="00D56375">
        <w:t xml:space="preserve"> Control </w:t>
      </w:r>
      <w:r w:rsidR="001C58C1">
        <w:t>–</w:t>
      </w:r>
      <w:r w:rsidR="001C58C1" w:rsidRPr="00D56375">
        <w:t xml:space="preserve"> </w:t>
      </w:r>
      <w:r w:rsidRPr="00D56375">
        <w:t xml:space="preserve">the party entitled to control the </w:t>
      </w:r>
      <w:proofErr w:type="spellStart"/>
      <w:r w:rsidRPr="00D56375">
        <w:t>eCT</w:t>
      </w:r>
      <w:proofErr w:type="spellEnd"/>
      <w:r w:rsidRPr="00D56375">
        <w:t>.</w:t>
      </w:r>
    </w:p>
    <w:p w14:paraId="1E9E7516" w14:textId="77777777" w:rsidR="00BA4D69" w:rsidRDefault="00BA4D69" w:rsidP="00D3714C">
      <w:pPr>
        <w:pStyle w:val="BodyText"/>
      </w:pPr>
      <w:r w:rsidRPr="00D56375">
        <w:t>Transactions lodged on or after 2</w:t>
      </w:r>
      <w:r w:rsidR="009B0A8D">
        <w:t>2</w:t>
      </w:r>
      <w:r w:rsidRPr="00D56375">
        <w:t xml:space="preserve"> </w:t>
      </w:r>
      <w:r w:rsidR="009B0A8D">
        <w:t xml:space="preserve">March </w:t>
      </w:r>
      <w:r w:rsidRPr="00D56375">
        <w:t>201</w:t>
      </w:r>
      <w:r w:rsidR="009B0A8D">
        <w:t>9</w:t>
      </w:r>
      <w:r w:rsidRPr="00D56375">
        <w:t xml:space="preserve"> involving a folio of the Register, where </w:t>
      </w:r>
      <w:r w:rsidR="00524C7A">
        <w:t xml:space="preserve">one of </w:t>
      </w:r>
      <w:r w:rsidRPr="00D56375">
        <w:t xml:space="preserve">these banks are first mortgagee, will be supported by an </w:t>
      </w:r>
      <w:proofErr w:type="spellStart"/>
      <w:r w:rsidRPr="00D56375">
        <w:t>eCT</w:t>
      </w:r>
      <w:proofErr w:type="spellEnd"/>
      <w:r w:rsidRPr="00D56375">
        <w:t>.</w:t>
      </w:r>
      <w:r w:rsidR="00DA310D">
        <w:t xml:space="preserve"> </w:t>
      </w:r>
      <w:r w:rsidRPr="00D56375">
        <w:t xml:space="preserve"> Only an </w:t>
      </w:r>
      <w:proofErr w:type="spellStart"/>
      <w:r w:rsidRPr="00D56375">
        <w:t>eCT</w:t>
      </w:r>
      <w:proofErr w:type="spellEnd"/>
      <w:r w:rsidRPr="00D56375">
        <w:t xml:space="preserve"> will issue after a transaction is registered if one of these banks is the incoming first mortgagee.</w:t>
      </w:r>
    </w:p>
    <w:p w14:paraId="3FFE862A" w14:textId="77777777" w:rsidR="00C4767A" w:rsidRPr="00C4767A" w:rsidRDefault="00C4767A" w:rsidP="00D3714C">
      <w:pPr>
        <w:pStyle w:val="Heading1"/>
      </w:pPr>
      <w:r w:rsidRPr="00C4767A">
        <w:t xml:space="preserve">National electronic conveyancing - Model Participation Rules Guidance Notes </w:t>
      </w:r>
    </w:p>
    <w:p w14:paraId="226DC370" w14:textId="77777777" w:rsidR="00C4767A" w:rsidRPr="00D3714C" w:rsidRDefault="00C4767A" w:rsidP="00D3714C">
      <w:pPr>
        <w:pStyle w:val="BodyText100ThemeColour"/>
        <w:rPr>
          <w:rFonts w:cstheme="minorBidi"/>
          <w:color w:val="auto"/>
          <w:lang w:eastAsia="en-AU"/>
        </w:rPr>
      </w:pPr>
      <w:r w:rsidRPr="00D3714C">
        <w:rPr>
          <w:color w:val="auto"/>
          <w:lang w:eastAsia="en-AU"/>
        </w:rPr>
        <w:t xml:space="preserve">The Australian Registrars' National Electronic Conveyancing Council (ARNECC) </w:t>
      </w:r>
      <w:r w:rsidRPr="00D3714C">
        <w:rPr>
          <w:color w:val="auto"/>
        </w:rPr>
        <w:t xml:space="preserve">publishes Guidance Notes based on its Model Participation Rules (MPR) to assist Subscribers in understanding what is expected of them in complying with the </w:t>
      </w:r>
      <w:r w:rsidR="00835C76">
        <w:rPr>
          <w:color w:val="auto"/>
        </w:rPr>
        <w:t xml:space="preserve">MPR.  In Victoria the </w:t>
      </w:r>
      <w:r w:rsidRPr="00D3714C">
        <w:rPr>
          <w:color w:val="auto"/>
        </w:rPr>
        <w:t>Registrar</w:t>
      </w:r>
      <w:r w:rsidR="00835C76">
        <w:rPr>
          <w:color w:val="auto"/>
        </w:rPr>
        <w:t xml:space="preserve"> has adopted the MPR as</w:t>
      </w:r>
      <w:r w:rsidRPr="00D3714C">
        <w:rPr>
          <w:color w:val="auto"/>
        </w:rPr>
        <w:t xml:space="preserve"> </w:t>
      </w:r>
      <w:r w:rsidR="00835C76">
        <w:rPr>
          <w:color w:val="auto"/>
        </w:rPr>
        <w:t xml:space="preserve">the Victorian </w:t>
      </w:r>
      <w:r w:rsidRPr="00D3714C">
        <w:rPr>
          <w:color w:val="auto"/>
        </w:rPr>
        <w:t>Participation Rules. </w:t>
      </w:r>
    </w:p>
    <w:p w14:paraId="67EF72C8" w14:textId="77777777" w:rsidR="00C4767A" w:rsidRPr="00D3714C" w:rsidRDefault="00C4767A" w:rsidP="00D3714C">
      <w:pPr>
        <w:pStyle w:val="BodyText100ThemeColour"/>
        <w:rPr>
          <w:color w:val="auto"/>
        </w:rPr>
      </w:pPr>
      <w:r w:rsidRPr="00D3714C">
        <w:rPr>
          <w:color w:val="auto"/>
        </w:rPr>
        <w:t xml:space="preserve">ARNECC has published version 5 of each of the following guidance notes available at </w:t>
      </w:r>
      <w:hyperlink r:id="rId8" w:history="1">
        <w:r w:rsidRPr="00D3714C">
          <w:t>www.arnecc.gov.au</w:t>
        </w:r>
      </w:hyperlink>
      <w:r w:rsidR="00524C7A">
        <w:t>/p</w:t>
      </w:r>
      <w:r w:rsidRPr="00D3714C">
        <w:t>ublications</w:t>
      </w:r>
      <w:r w:rsidR="00524C7A">
        <w:t xml:space="preserve"> </w:t>
      </w:r>
      <w:r w:rsidR="007A42CF" w:rsidRPr="003D0914">
        <w:rPr>
          <w:color w:val="auto"/>
        </w:rPr>
        <w:t>– under</w:t>
      </w:r>
      <w:r w:rsidR="00524C7A">
        <w:t xml:space="preserve"> </w:t>
      </w:r>
      <w:r w:rsidRPr="00D3714C">
        <w:rPr>
          <w:color w:val="auto"/>
        </w:rPr>
        <w:t>MPR Guidance Notes</w:t>
      </w:r>
      <w:r w:rsidR="004E5F2E">
        <w:rPr>
          <w:color w:val="auto"/>
        </w:rPr>
        <w:t>:</w:t>
      </w:r>
    </w:p>
    <w:p w14:paraId="68134D5A" w14:textId="77777777" w:rsidR="00C4767A" w:rsidRPr="00D3714C" w:rsidRDefault="00C4767A" w:rsidP="00D3714C">
      <w:pPr>
        <w:pStyle w:val="BodyText100ThemeColour"/>
        <w:rPr>
          <w:i/>
          <w:color w:val="auto"/>
          <w:lang w:val="en-US"/>
        </w:rPr>
      </w:pPr>
      <w:r w:rsidRPr="00D3714C">
        <w:rPr>
          <w:i/>
          <w:color w:val="auto"/>
          <w:lang w:val="en-US"/>
        </w:rPr>
        <w:t xml:space="preserve">Guidance Note #1 – Client </w:t>
      </w:r>
      <w:proofErr w:type="spellStart"/>
      <w:r w:rsidRPr="00D3714C">
        <w:rPr>
          <w:i/>
          <w:color w:val="auto"/>
          <w:lang w:val="en-US"/>
        </w:rPr>
        <w:t>Authorisation</w:t>
      </w:r>
      <w:proofErr w:type="spellEnd"/>
    </w:p>
    <w:p w14:paraId="478B68B6" w14:textId="77777777" w:rsidR="00C4767A" w:rsidRPr="00D3714C" w:rsidRDefault="00C4767A" w:rsidP="00D3714C">
      <w:pPr>
        <w:pStyle w:val="BodyText100ThemeColour"/>
        <w:rPr>
          <w:i/>
          <w:color w:val="auto"/>
          <w:lang w:val="en-US"/>
        </w:rPr>
      </w:pPr>
      <w:r w:rsidRPr="00D3714C">
        <w:rPr>
          <w:i/>
          <w:color w:val="auto"/>
          <w:lang w:val="en-US"/>
        </w:rPr>
        <w:t>Guidance Note #2 – Verification of Identity</w:t>
      </w:r>
    </w:p>
    <w:p w14:paraId="4A3CE0FD" w14:textId="77777777" w:rsidR="00C4767A" w:rsidRPr="00D3714C" w:rsidRDefault="00C4767A" w:rsidP="00D3714C">
      <w:pPr>
        <w:pStyle w:val="BodyText100ThemeColour"/>
        <w:rPr>
          <w:i/>
          <w:color w:val="auto"/>
          <w:lang w:val="en-US"/>
        </w:rPr>
      </w:pPr>
      <w:r w:rsidRPr="00D3714C">
        <w:rPr>
          <w:i/>
          <w:color w:val="auto"/>
          <w:lang w:val="en-US"/>
        </w:rPr>
        <w:t>Guidance Note #3 – Certifications</w:t>
      </w:r>
    </w:p>
    <w:p w14:paraId="1C901FB5" w14:textId="77777777" w:rsidR="00C4767A" w:rsidRPr="00D3714C" w:rsidRDefault="00C4767A" w:rsidP="00D3714C">
      <w:pPr>
        <w:pStyle w:val="BodyText100ThemeColour"/>
        <w:rPr>
          <w:i/>
          <w:color w:val="auto"/>
          <w:lang w:val="en-US"/>
        </w:rPr>
      </w:pPr>
      <w:r w:rsidRPr="00D3714C">
        <w:rPr>
          <w:color w:val="auto"/>
          <w:lang w:val="en-US"/>
        </w:rPr>
        <w:t xml:space="preserve">Guidance Note #4 – </w:t>
      </w:r>
      <w:r w:rsidRPr="00D3714C">
        <w:rPr>
          <w:i/>
          <w:color w:val="auto"/>
          <w:lang w:val="en-US"/>
        </w:rPr>
        <w:t>Right to Deal</w:t>
      </w:r>
    </w:p>
    <w:p w14:paraId="601D1567" w14:textId="77777777" w:rsidR="00C4767A" w:rsidRPr="00D3714C" w:rsidRDefault="00C4767A" w:rsidP="00D3714C">
      <w:pPr>
        <w:pStyle w:val="BodyText100ThemeColour"/>
        <w:rPr>
          <w:i/>
          <w:color w:val="auto"/>
          <w:lang w:val="en-US"/>
        </w:rPr>
      </w:pPr>
      <w:r w:rsidRPr="00D3714C">
        <w:rPr>
          <w:color w:val="auto"/>
          <w:lang w:val="en-US"/>
        </w:rPr>
        <w:t xml:space="preserve">Guidance Note #5 – </w:t>
      </w:r>
      <w:r w:rsidRPr="00D3714C">
        <w:rPr>
          <w:i/>
          <w:color w:val="auto"/>
          <w:lang w:val="en-US"/>
        </w:rPr>
        <w:t>Retention of Evidence.</w:t>
      </w:r>
    </w:p>
    <w:p w14:paraId="56CB0887" w14:textId="77777777" w:rsidR="00C4767A" w:rsidRPr="00D3714C" w:rsidRDefault="00C4767A" w:rsidP="00D3714C">
      <w:pPr>
        <w:pStyle w:val="BodyText100ThemeColour"/>
        <w:rPr>
          <w:i/>
          <w:color w:val="auto"/>
          <w:lang w:val="en-US"/>
        </w:rPr>
      </w:pPr>
      <w:r w:rsidRPr="00D3714C">
        <w:rPr>
          <w:color w:val="auto"/>
          <w:lang w:val="en-US"/>
        </w:rPr>
        <w:t xml:space="preserve">Guidance Note #6 – </w:t>
      </w:r>
      <w:r w:rsidRPr="00D3714C">
        <w:rPr>
          <w:i/>
          <w:color w:val="auto"/>
          <w:lang w:val="en-US"/>
        </w:rPr>
        <w:t>Compliance Examinations</w:t>
      </w:r>
    </w:p>
    <w:p w14:paraId="46130367" w14:textId="77777777" w:rsidR="00C4767A" w:rsidRPr="003D0914" w:rsidRDefault="004E5F2E" w:rsidP="003D0914">
      <w:pPr>
        <w:pStyle w:val="Body"/>
        <w:rPr>
          <w:rFonts w:asciiTheme="minorHAnsi" w:hAnsiTheme="minorHAnsi" w:cstheme="minorHAnsi"/>
          <w:sz w:val="20"/>
          <w:szCs w:val="20"/>
        </w:rPr>
      </w:pPr>
      <w:r w:rsidRPr="003D0914">
        <w:rPr>
          <w:rFonts w:asciiTheme="minorHAnsi" w:hAnsiTheme="minorHAnsi" w:cstheme="minorHAnsi"/>
          <w:sz w:val="20"/>
          <w:szCs w:val="20"/>
        </w:rPr>
        <w:t xml:space="preserve">Subscribers should read the updated </w:t>
      </w:r>
      <w:r w:rsidR="005E3A33" w:rsidRPr="003D0914">
        <w:rPr>
          <w:rFonts w:asciiTheme="minorHAnsi" w:hAnsiTheme="minorHAnsi" w:cstheme="minorHAnsi"/>
          <w:sz w:val="20"/>
          <w:szCs w:val="20"/>
        </w:rPr>
        <w:t>MPR Guidance N</w:t>
      </w:r>
      <w:r w:rsidRPr="003D0914">
        <w:rPr>
          <w:rFonts w:asciiTheme="minorHAnsi" w:hAnsiTheme="minorHAnsi" w:cstheme="minorHAnsi"/>
          <w:sz w:val="20"/>
          <w:szCs w:val="20"/>
        </w:rPr>
        <w:t>otes carefully.</w:t>
      </w:r>
    </w:p>
    <w:p w14:paraId="62765085" w14:textId="77777777" w:rsidR="00D3714C" w:rsidRPr="002601E2" w:rsidRDefault="00D3714C" w:rsidP="00D3714C">
      <w:pPr>
        <w:pStyle w:val="Heading1"/>
      </w:pPr>
      <w:r>
        <w:lastRenderedPageBreak/>
        <w:t xml:space="preserve">A </w:t>
      </w:r>
      <w:r w:rsidR="007F40BE">
        <w:t>conveyancer’s and lawyer’s</w:t>
      </w:r>
      <w:r>
        <w:t xml:space="preserve"> obligation </w:t>
      </w:r>
      <w:r w:rsidR="00F71F0F">
        <w:t>to</w:t>
      </w:r>
      <w:r>
        <w:t xml:space="preserve"> </w:t>
      </w:r>
      <w:r w:rsidR="00F71F0F">
        <w:t>k</w:t>
      </w:r>
      <w:r>
        <w:t xml:space="preserve">now who </w:t>
      </w:r>
      <w:r w:rsidR="00F71F0F">
        <w:t>their</w:t>
      </w:r>
      <w:r>
        <w:t xml:space="preserve"> client is</w:t>
      </w:r>
    </w:p>
    <w:p w14:paraId="6FFBF0CE" w14:textId="77777777" w:rsidR="00D3714C" w:rsidRPr="00D3714C" w:rsidRDefault="00D3714C" w:rsidP="00D3714C">
      <w:pPr>
        <w:pStyle w:val="BodyText100ThemeColour"/>
        <w:rPr>
          <w:color w:val="auto"/>
        </w:rPr>
      </w:pPr>
      <w:r w:rsidRPr="00D3714C">
        <w:rPr>
          <w:color w:val="auto"/>
        </w:rPr>
        <w:t xml:space="preserve">It is important that a conveyancer or lawyer </w:t>
      </w:r>
      <w:r w:rsidR="007F40BE">
        <w:rPr>
          <w:color w:val="auto"/>
        </w:rPr>
        <w:t>know who they are acting for</w:t>
      </w:r>
      <w:r w:rsidRPr="00D3714C">
        <w:rPr>
          <w:color w:val="auto"/>
        </w:rPr>
        <w:t xml:space="preserve"> </w:t>
      </w:r>
      <w:r w:rsidRPr="00D3714C">
        <w:rPr>
          <w:b/>
          <w:color w:val="auto"/>
        </w:rPr>
        <w:t>before</w:t>
      </w:r>
      <w:r w:rsidRPr="00D3714C">
        <w:rPr>
          <w:color w:val="auto"/>
        </w:rPr>
        <w:t xml:space="preserve"> they sign instruments on </w:t>
      </w:r>
      <w:r w:rsidR="00F601EA">
        <w:rPr>
          <w:color w:val="auto"/>
        </w:rPr>
        <w:t>a</w:t>
      </w:r>
      <w:r w:rsidRPr="00D3714C">
        <w:rPr>
          <w:color w:val="auto"/>
        </w:rPr>
        <w:t xml:space="preserve"> client’s behalf.  </w:t>
      </w:r>
    </w:p>
    <w:p w14:paraId="2F51FDA8" w14:textId="54FE989D" w:rsidR="00D3714C" w:rsidRPr="00D3714C" w:rsidRDefault="00D3714C" w:rsidP="00D3714C">
      <w:pPr>
        <w:pStyle w:val="BodyText100ThemeColour"/>
        <w:rPr>
          <w:color w:val="auto"/>
        </w:rPr>
      </w:pPr>
      <w:r w:rsidRPr="00D3714C">
        <w:rPr>
          <w:color w:val="auto"/>
        </w:rPr>
        <w:t>The examples</w:t>
      </w:r>
      <w:r w:rsidR="00E26B33">
        <w:rPr>
          <w:color w:val="auto"/>
        </w:rPr>
        <w:t xml:space="preserve"> below show</w:t>
      </w:r>
      <w:r w:rsidRPr="00D3714C">
        <w:rPr>
          <w:color w:val="auto"/>
        </w:rPr>
        <w:t xml:space="preserve"> when confusion has </w:t>
      </w:r>
      <w:r w:rsidR="00E26B33">
        <w:rPr>
          <w:color w:val="auto"/>
        </w:rPr>
        <w:t>occurred</w:t>
      </w:r>
      <w:r w:rsidRPr="00D3714C">
        <w:rPr>
          <w:color w:val="auto"/>
        </w:rPr>
        <w:t>:</w:t>
      </w:r>
    </w:p>
    <w:p w14:paraId="777CE261" w14:textId="77777777" w:rsidR="00D3714C" w:rsidRPr="00D3714C" w:rsidRDefault="00D3714C" w:rsidP="00D3714C">
      <w:pPr>
        <w:pStyle w:val="BodyText100ThemeColour"/>
        <w:rPr>
          <w:b/>
          <w:color w:val="auto"/>
        </w:rPr>
      </w:pPr>
      <w:r w:rsidRPr="00D3714C">
        <w:rPr>
          <w:b/>
          <w:color w:val="auto"/>
        </w:rPr>
        <w:t>Example 1:</w:t>
      </w:r>
    </w:p>
    <w:p w14:paraId="0D05A6F7" w14:textId="43489ADC" w:rsidR="007F40BE" w:rsidRDefault="007F40BE" w:rsidP="00D3714C">
      <w:pPr>
        <w:pStyle w:val="BodyText100ThemeColour"/>
        <w:rPr>
          <w:color w:val="auto"/>
        </w:rPr>
      </w:pPr>
      <w:r>
        <w:rPr>
          <w:color w:val="auto"/>
        </w:rPr>
        <w:t xml:space="preserve">If </w:t>
      </w:r>
      <w:r w:rsidR="00A50816" w:rsidRPr="00A50816">
        <w:rPr>
          <w:color w:val="auto"/>
        </w:rPr>
        <w:t>conveyancer or lawyer</w:t>
      </w:r>
      <w:r w:rsidR="00A50816">
        <w:rPr>
          <w:color w:val="auto"/>
        </w:rPr>
        <w:t xml:space="preserve"> is</w:t>
      </w:r>
      <w:r>
        <w:rPr>
          <w:color w:val="auto"/>
        </w:rPr>
        <w:t xml:space="preserve"> </w:t>
      </w:r>
      <w:r w:rsidR="00B42227">
        <w:rPr>
          <w:color w:val="auto"/>
        </w:rPr>
        <w:t>acting</w:t>
      </w:r>
      <w:r>
        <w:rPr>
          <w:color w:val="auto"/>
        </w:rPr>
        <w:t xml:space="preserve"> for a vendor </w:t>
      </w:r>
      <w:r w:rsidR="00B42227">
        <w:rPr>
          <w:color w:val="auto"/>
        </w:rPr>
        <w:t xml:space="preserve">in the sale of a caveat affected property, in most cases </w:t>
      </w:r>
      <w:r w:rsidR="00A50816">
        <w:rPr>
          <w:color w:val="auto"/>
        </w:rPr>
        <w:t>they</w:t>
      </w:r>
      <w:r w:rsidR="00B42227">
        <w:rPr>
          <w:color w:val="auto"/>
        </w:rPr>
        <w:t xml:space="preserve"> will not </w:t>
      </w:r>
      <w:r w:rsidR="00437289">
        <w:rPr>
          <w:color w:val="auto"/>
        </w:rPr>
        <w:t xml:space="preserve">also </w:t>
      </w:r>
      <w:r w:rsidR="00B42227">
        <w:rPr>
          <w:color w:val="auto"/>
        </w:rPr>
        <w:t xml:space="preserve">act for the </w:t>
      </w:r>
      <w:proofErr w:type="spellStart"/>
      <w:r w:rsidR="00B42227">
        <w:rPr>
          <w:color w:val="auto"/>
        </w:rPr>
        <w:t>caveator</w:t>
      </w:r>
      <w:proofErr w:type="spellEnd"/>
      <w:r w:rsidR="00B42227">
        <w:rPr>
          <w:color w:val="auto"/>
        </w:rPr>
        <w:t>.</w:t>
      </w:r>
    </w:p>
    <w:p w14:paraId="2CE311CC" w14:textId="73F7F59F" w:rsidR="00D3714C" w:rsidRPr="00D3714C" w:rsidRDefault="00D3714C" w:rsidP="00D3714C">
      <w:pPr>
        <w:pStyle w:val="BodyText100ThemeColour"/>
        <w:rPr>
          <w:color w:val="auto"/>
        </w:rPr>
      </w:pPr>
      <w:r w:rsidRPr="00D3714C">
        <w:rPr>
          <w:color w:val="auto"/>
        </w:rPr>
        <w:t>A conveyancer or lawyer acted for the registered proprietor of land that had been sold.  The land was affected by a caveat and a withdrawal of caveat was needed.  The caveat was for a leasehold interest (</w:t>
      </w:r>
      <w:proofErr w:type="spellStart"/>
      <w:r w:rsidRPr="00D3714C">
        <w:rPr>
          <w:color w:val="auto"/>
        </w:rPr>
        <w:t>caveator</w:t>
      </w:r>
      <w:proofErr w:type="spellEnd"/>
      <w:r w:rsidRPr="00D3714C">
        <w:rPr>
          <w:color w:val="auto"/>
        </w:rPr>
        <w:t xml:space="preserve"> was the tenant).  Further enquiries revealed that the lease had ended some time ago and the </w:t>
      </w:r>
      <w:proofErr w:type="spellStart"/>
      <w:r w:rsidRPr="00D3714C">
        <w:rPr>
          <w:color w:val="auto"/>
        </w:rPr>
        <w:t>caveator</w:t>
      </w:r>
      <w:proofErr w:type="spellEnd"/>
      <w:r w:rsidRPr="00D3714C">
        <w:rPr>
          <w:color w:val="auto"/>
        </w:rPr>
        <w:t xml:space="preserve"> company was de-registered. The person handling the file prepared an electronic withdrawal of caveat. Another person within the firm signed the withdrawal of caveat, which was then lodged.  </w:t>
      </w:r>
      <w:bookmarkStart w:id="2" w:name="_Hlk4076167"/>
      <w:r w:rsidRPr="00D3714C">
        <w:rPr>
          <w:color w:val="auto"/>
        </w:rPr>
        <w:t xml:space="preserve">The </w:t>
      </w:r>
      <w:proofErr w:type="spellStart"/>
      <w:r w:rsidRPr="00D3714C">
        <w:rPr>
          <w:color w:val="auto"/>
        </w:rPr>
        <w:t>caveator</w:t>
      </w:r>
      <w:proofErr w:type="spellEnd"/>
      <w:r w:rsidRPr="00D3714C">
        <w:rPr>
          <w:color w:val="auto"/>
        </w:rPr>
        <w:t xml:space="preserve"> was not a client</w:t>
      </w:r>
      <w:bookmarkEnd w:id="2"/>
      <w:r w:rsidR="00F56F2D">
        <w:rPr>
          <w:color w:val="auto"/>
        </w:rPr>
        <w:t>.</w:t>
      </w:r>
      <w:r w:rsidRPr="00D3714C">
        <w:rPr>
          <w:color w:val="auto"/>
        </w:rPr>
        <w:t xml:space="preserve"> </w:t>
      </w:r>
      <w:r w:rsidR="00F56F2D">
        <w:rPr>
          <w:color w:val="auto"/>
        </w:rPr>
        <w:t>T</w:t>
      </w:r>
      <w:r w:rsidRPr="00D3714C">
        <w:rPr>
          <w:color w:val="auto"/>
        </w:rPr>
        <w:t xml:space="preserve">here was no client authorisation, </w:t>
      </w:r>
      <w:r w:rsidR="00F56F2D">
        <w:rPr>
          <w:color w:val="auto"/>
        </w:rPr>
        <w:t>no</w:t>
      </w:r>
      <w:r w:rsidRPr="00D3714C">
        <w:rPr>
          <w:color w:val="auto"/>
        </w:rPr>
        <w:t xml:space="preserve"> </w:t>
      </w:r>
      <w:r w:rsidR="00B57E19">
        <w:rPr>
          <w:color w:val="auto"/>
        </w:rPr>
        <w:t>verification of identity</w:t>
      </w:r>
      <w:r w:rsidR="00F56F2D">
        <w:rPr>
          <w:color w:val="auto"/>
        </w:rPr>
        <w:t xml:space="preserve"> and no</w:t>
      </w:r>
      <w:r w:rsidR="00B57E19">
        <w:rPr>
          <w:color w:val="auto"/>
        </w:rPr>
        <w:t xml:space="preserve"> </w:t>
      </w:r>
      <w:r w:rsidRPr="00D3714C">
        <w:rPr>
          <w:color w:val="auto"/>
        </w:rPr>
        <w:t>evidence of right to deal</w:t>
      </w:r>
      <w:r w:rsidR="00B57E19">
        <w:rPr>
          <w:color w:val="auto"/>
        </w:rPr>
        <w:t xml:space="preserve"> for the </w:t>
      </w:r>
      <w:proofErr w:type="spellStart"/>
      <w:r w:rsidR="00B57E19">
        <w:rPr>
          <w:color w:val="auto"/>
        </w:rPr>
        <w:t>caveator</w:t>
      </w:r>
      <w:proofErr w:type="spellEnd"/>
      <w:r w:rsidRPr="00D3714C">
        <w:rPr>
          <w:color w:val="auto"/>
        </w:rPr>
        <w:t>.</w:t>
      </w:r>
    </w:p>
    <w:p w14:paraId="1E2E7E34" w14:textId="77777777" w:rsidR="00D3714C" w:rsidRPr="00D3714C" w:rsidRDefault="00D3714C" w:rsidP="00D3714C">
      <w:pPr>
        <w:pStyle w:val="BodyText100ThemeColour"/>
        <w:rPr>
          <w:b/>
          <w:color w:val="auto"/>
        </w:rPr>
      </w:pPr>
      <w:r w:rsidRPr="00D3714C">
        <w:rPr>
          <w:b/>
          <w:color w:val="auto"/>
        </w:rPr>
        <w:t>Example 2:</w:t>
      </w:r>
    </w:p>
    <w:p w14:paraId="78AC421E" w14:textId="77777777" w:rsidR="00B42227" w:rsidRDefault="00B42227" w:rsidP="00D3714C">
      <w:pPr>
        <w:pStyle w:val="BodyText100ThemeColour"/>
        <w:rPr>
          <w:color w:val="auto"/>
        </w:rPr>
      </w:pPr>
      <w:r>
        <w:rPr>
          <w:color w:val="auto"/>
        </w:rPr>
        <w:t xml:space="preserve">If </w:t>
      </w:r>
      <w:r w:rsidR="004C3427" w:rsidRPr="004C3427">
        <w:rPr>
          <w:color w:val="auto"/>
        </w:rPr>
        <w:t xml:space="preserve">conveyancer or lawyer </w:t>
      </w:r>
      <w:r>
        <w:rPr>
          <w:color w:val="auto"/>
        </w:rPr>
        <w:t>receive</w:t>
      </w:r>
      <w:r w:rsidR="004C3427">
        <w:rPr>
          <w:color w:val="auto"/>
        </w:rPr>
        <w:t>s</w:t>
      </w:r>
      <w:r>
        <w:rPr>
          <w:color w:val="auto"/>
        </w:rPr>
        <w:t xml:space="preserve"> a paper withdrawal of caveat from another party, </w:t>
      </w:r>
      <w:r w:rsidR="004C3427">
        <w:rPr>
          <w:color w:val="auto"/>
        </w:rPr>
        <w:t>they</w:t>
      </w:r>
      <w:r>
        <w:rPr>
          <w:color w:val="auto"/>
        </w:rPr>
        <w:t xml:space="preserve"> do not act for the </w:t>
      </w:r>
      <w:proofErr w:type="spellStart"/>
      <w:r>
        <w:rPr>
          <w:color w:val="auto"/>
        </w:rPr>
        <w:t>caveator</w:t>
      </w:r>
      <w:proofErr w:type="spellEnd"/>
      <w:r>
        <w:rPr>
          <w:color w:val="auto"/>
        </w:rPr>
        <w:t>.</w:t>
      </w:r>
    </w:p>
    <w:p w14:paraId="03715FB4" w14:textId="0A96CD53" w:rsidR="00D3714C" w:rsidRPr="00D3714C" w:rsidRDefault="00D3714C" w:rsidP="00D3714C">
      <w:pPr>
        <w:pStyle w:val="BodyText100ThemeColour"/>
        <w:rPr>
          <w:color w:val="auto"/>
        </w:rPr>
      </w:pPr>
      <w:r w:rsidRPr="00D3714C">
        <w:rPr>
          <w:color w:val="auto"/>
        </w:rPr>
        <w:t xml:space="preserve">A conveyancer or lawyer was provided with a paper withdrawal of caveat pursuant to court orders. Instead of lodging the withdrawal in paper or asking the </w:t>
      </w:r>
      <w:proofErr w:type="spellStart"/>
      <w:r w:rsidRPr="00D3714C">
        <w:rPr>
          <w:color w:val="auto"/>
        </w:rPr>
        <w:t>caveator’s</w:t>
      </w:r>
      <w:proofErr w:type="spellEnd"/>
      <w:r w:rsidRPr="00D3714C">
        <w:rPr>
          <w:color w:val="auto"/>
        </w:rPr>
        <w:t xml:space="preserve"> representative </w:t>
      </w:r>
      <w:r w:rsidR="004C3427">
        <w:rPr>
          <w:color w:val="auto"/>
        </w:rPr>
        <w:t xml:space="preserve">to </w:t>
      </w:r>
      <w:r w:rsidRPr="00D3714C">
        <w:rPr>
          <w:color w:val="auto"/>
        </w:rPr>
        <w:t xml:space="preserve">prepare and lodge the caveat using an Electronic </w:t>
      </w:r>
      <w:proofErr w:type="spellStart"/>
      <w:r w:rsidRPr="00D3714C">
        <w:rPr>
          <w:color w:val="auto"/>
        </w:rPr>
        <w:t>Lodgment</w:t>
      </w:r>
      <w:proofErr w:type="spellEnd"/>
      <w:r w:rsidRPr="00D3714C">
        <w:rPr>
          <w:color w:val="auto"/>
        </w:rPr>
        <w:t xml:space="preserve"> Network (ELN), the conveyancer or lawyer prepared and signed a</w:t>
      </w:r>
      <w:r w:rsidR="00B42227">
        <w:rPr>
          <w:color w:val="auto"/>
        </w:rPr>
        <w:t xml:space="preserve">n electronic </w:t>
      </w:r>
      <w:r w:rsidRPr="00D3714C">
        <w:rPr>
          <w:color w:val="auto"/>
        </w:rPr>
        <w:t xml:space="preserve">withdrawal of caveat.  The withdrawal was then lodged.  </w:t>
      </w:r>
      <w:r w:rsidR="00B42227" w:rsidRPr="00B42227">
        <w:rPr>
          <w:color w:val="auto"/>
        </w:rPr>
        <w:t xml:space="preserve">The </w:t>
      </w:r>
      <w:proofErr w:type="spellStart"/>
      <w:r w:rsidR="00B42227" w:rsidRPr="00B42227">
        <w:rPr>
          <w:color w:val="auto"/>
        </w:rPr>
        <w:t>caveator</w:t>
      </w:r>
      <w:proofErr w:type="spellEnd"/>
      <w:r w:rsidR="00B42227" w:rsidRPr="00B42227">
        <w:rPr>
          <w:color w:val="auto"/>
        </w:rPr>
        <w:t xml:space="preserve"> was not a client</w:t>
      </w:r>
      <w:r w:rsidR="00E26B33">
        <w:rPr>
          <w:color w:val="auto"/>
        </w:rPr>
        <w:t>.</w:t>
      </w:r>
      <w:r w:rsidR="00B57E19">
        <w:rPr>
          <w:color w:val="auto"/>
        </w:rPr>
        <w:t xml:space="preserve">  T</w:t>
      </w:r>
      <w:r w:rsidRPr="00D3714C">
        <w:rPr>
          <w:color w:val="auto"/>
        </w:rPr>
        <w:t xml:space="preserve">here was no client authorisation, </w:t>
      </w:r>
      <w:r w:rsidR="00F56F2D">
        <w:rPr>
          <w:color w:val="auto"/>
        </w:rPr>
        <w:t xml:space="preserve">no </w:t>
      </w:r>
      <w:r w:rsidR="00B57E19">
        <w:rPr>
          <w:color w:val="auto"/>
        </w:rPr>
        <w:t xml:space="preserve">verification of identity </w:t>
      </w:r>
      <w:r w:rsidR="00F56F2D">
        <w:rPr>
          <w:color w:val="auto"/>
        </w:rPr>
        <w:t>and no</w:t>
      </w:r>
      <w:r w:rsidRPr="00D3714C">
        <w:rPr>
          <w:color w:val="auto"/>
        </w:rPr>
        <w:t xml:space="preserve"> evidence of right to deal</w:t>
      </w:r>
      <w:r w:rsidR="00B57E19">
        <w:rPr>
          <w:color w:val="auto"/>
        </w:rPr>
        <w:t xml:space="preserve"> for the </w:t>
      </w:r>
      <w:proofErr w:type="spellStart"/>
      <w:r w:rsidR="00B57E19">
        <w:rPr>
          <w:color w:val="auto"/>
        </w:rPr>
        <w:t>caveator</w:t>
      </w:r>
      <w:proofErr w:type="spellEnd"/>
      <w:r w:rsidRPr="00D3714C">
        <w:rPr>
          <w:color w:val="auto"/>
        </w:rPr>
        <w:t>.</w:t>
      </w:r>
    </w:p>
    <w:p w14:paraId="2F7137F6" w14:textId="0BA10DFC" w:rsidR="00D3714C" w:rsidRDefault="00FC5BB3" w:rsidP="00D3714C">
      <w:pPr>
        <w:pStyle w:val="BodyText100ThemeColour"/>
        <w:rPr>
          <w:color w:val="auto"/>
        </w:rPr>
      </w:pPr>
      <w:r>
        <w:rPr>
          <w:color w:val="auto"/>
        </w:rPr>
        <w:t>Both examples highlight</w:t>
      </w:r>
      <w:r w:rsidR="00D3714C" w:rsidRPr="00D3714C">
        <w:rPr>
          <w:color w:val="auto"/>
        </w:rPr>
        <w:t xml:space="preserve"> numerous issues including</w:t>
      </w:r>
      <w:r w:rsidR="00EB283B">
        <w:rPr>
          <w:color w:val="auto"/>
        </w:rPr>
        <w:t>:</w:t>
      </w:r>
      <w:r w:rsidR="00D3714C" w:rsidRPr="00D3714C">
        <w:rPr>
          <w:color w:val="auto"/>
        </w:rPr>
        <w:t xml:space="preserve"> breaches of the </w:t>
      </w:r>
      <w:bookmarkStart w:id="3" w:name="_Hlk4076348"/>
      <w:r w:rsidR="007A42CF" w:rsidRPr="003D0914">
        <w:rPr>
          <w:i/>
          <w:color w:val="auto"/>
        </w:rPr>
        <w:t xml:space="preserve">Electronic Conveyancing National Law (Victoria) </w:t>
      </w:r>
      <w:r w:rsidR="00EB283B">
        <w:rPr>
          <w:color w:val="auto"/>
        </w:rPr>
        <w:t xml:space="preserve">and the </w:t>
      </w:r>
      <w:r w:rsidR="00D3714C" w:rsidRPr="00D3714C">
        <w:rPr>
          <w:color w:val="auto"/>
        </w:rPr>
        <w:t>Participation Rules</w:t>
      </w:r>
      <w:bookmarkEnd w:id="3"/>
      <w:r w:rsidR="00D3714C" w:rsidRPr="00D3714C">
        <w:rPr>
          <w:color w:val="auto"/>
        </w:rPr>
        <w:t>, potential negligence, improperly given certifications and po</w:t>
      </w:r>
      <w:r w:rsidR="00EB283B">
        <w:rPr>
          <w:color w:val="auto"/>
        </w:rPr>
        <w:t>ssible</w:t>
      </w:r>
      <w:r w:rsidR="00D3714C" w:rsidRPr="00D3714C">
        <w:rPr>
          <w:color w:val="auto"/>
        </w:rPr>
        <w:t xml:space="preserve"> breaches of professional conduct rules.</w:t>
      </w:r>
      <w:r w:rsidR="00EB283B">
        <w:rPr>
          <w:color w:val="auto"/>
        </w:rPr>
        <w:t xml:space="preserve">  Failure to comply with the </w:t>
      </w:r>
      <w:r w:rsidR="007A42CF" w:rsidRPr="003D0914">
        <w:rPr>
          <w:i/>
          <w:color w:val="auto"/>
        </w:rPr>
        <w:t>Electronic Conveyancing National Law (Victoria)</w:t>
      </w:r>
      <w:r w:rsidR="00EB283B" w:rsidRPr="00EB283B">
        <w:rPr>
          <w:color w:val="auto"/>
        </w:rPr>
        <w:t xml:space="preserve"> and the Participation Rules</w:t>
      </w:r>
      <w:r w:rsidR="00EB283B">
        <w:rPr>
          <w:color w:val="auto"/>
        </w:rPr>
        <w:t xml:space="preserve"> could result in restriction, suspension or termination as a Subscriber.</w:t>
      </w:r>
    </w:p>
    <w:p w14:paraId="257C9B5B" w14:textId="77777777" w:rsidR="00EB283B" w:rsidRPr="00D3714C" w:rsidRDefault="00EB283B" w:rsidP="00D3714C">
      <w:pPr>
        <w:pStyle w:val="BodyText100ThemeColour"/>
        <w:rPr>
          <w:rFonts w:cstheme="minorHAnsi"/>
          <w:color w:val="auto"/>
        </w:rPr>
      </w:pPr>
      <w:r>
        <w:rPr>
          <w:rFonts w:cstheme="minorHAnsi"/>
          <w:color w:val="auto"/>
        </w:rPr>
        <w:t xml:space="preserve">Conveyancers and lawyers should familiarise themselves with the </w:t>
      </w:r>
      <w:r w:rsidR="007A42CF" w:rsidRPr="003D0914">
        <w:rPr>
          <w:rFonts w:cstheme="minorHAnsi"/>
          <w:i/>
          <w:color w:val="auto"/>
        </w:rPr>
        <w:t>Electronic Conveyancing National Law (Victoria)</w:t>
      </w:r>
      <w:r w:rsidR="00F601EA">
        <w:rPr>
          <w:rFonts w:cstheme="minorHAnsi"/>
          <w:color w:val="auto"/>
        </w:rPr>
        <w:t xml:space="preserve"> and</w:t>
      </w:r>
      <w:r>
        <w:rPr>
          <w:rFonts w:cstheme="minorHAnsi"/>
          <w:color w:val="auto"/>
        </w:rPr>
        <w:t xml:space="preserve"> </w:t>
      </w:r>
      <w:r w:rsidRPr="00EB283B">
        <w:rPr>
          <w:rFonts w:cstheme="minorHAnsi"/>
          <w:color w:val="auto"/>
        </w:rPr>
        <w:t>the Participation Rules</w:t>
      </w:r>
      <w:r w:rsidR="00F601EA">
        <w:rPr>
          <w:rFonts w:cstheme="minorHAnsi"/>
          <w:color w:val="auto"/>
        </w:rPr>
        <w:t>,</w:t>
      </w:r>
      <w:r>
        <w:rPr>
          <w:rFonts w:cstheme="minorHAnsi"/>
          <w:color w:val="auto"/>
        </w:rPr>
        <w:t xml:space="preserve"> as well as the MPR Guidance Notes mentioned above.</w:t>
      </w:r>
    </w:p>
    <w:p w14:paraId="3860B45F" w14:textId="77777777" w:rsidR="00D3714C" w:rsidRPr="00D3714C" w:rsidRDefault="00D3714C" w:rsidP="00D3714C">
      <w:pPr>
        <w:pStyle w:val="BodyText100ThemeColour"/>
        <w:rPr>
          <w:color w:val="auto"/>
        </w:rPr>
      </w:pPr>
    </w:p>
    <w:p w14:paraId="70F470D5" w14:textId="77777777" w:rsidR="00D3714C" w:rsidRDefault="00D3714C" w:rsidP="00D3714C">
      <w:pPr>
        <w:pStyle w:val="Heading1"/>
        <w:numPr>
          <w:ilvl w:val="0"/>
          <w:numId w:val="46"/>
        </w:numPr>
        <w:rPr>
          <w:rFonts w:eastAsia="Calibri"/>
        </w:rPr>
      </w:pPr>
      <w:r>
        <w:rPr>
          <w:rFonts w:eastAsia="Calibri"/>
        </w:rPr>
        <w:t>Release of the first residual document</w:t>
      </w:r>
    </w:p>
    <w:p w14:paraId="6C9990CA" w14:textId="2C062974" w:rsidR="00D3714C" w:rsidRPr="00D3714C" w:rsidRDefault="00D3714C" w:rsidP="00D3714C">
      <w:pPr>
        <w:pStyle w:val="BodyText100ThemeColour"/>
        <w:rPr>
          <w:rFonts w:eastAsiaTheme="minorHAnsi"/>
          <w:color w:val="auto"/>
        </w:rPr>
      </w:pPr>
      <w:r w:rsidRPr="00D3714C">
        <w:rPr>
          <w:color w:val="auto"/>
        </w:rPr>
        <w:t>F</w:t>
      </w:r>
      <w:r w:rsidRPr="00D3714C">
        <w:rPr>
          <w:rFonts w:eastAsiaTheme="minorHAnsi"/>
          <w:color w:val="auto"/>
        </w:rPr>
        <w:t>unctionality</w:t>
      </w:r>
      <w:r w:rsidR="00FC5BB3">
        <w:rPr>
          <w:rFonts w:eastAsiaTheme="minorHAnsi"/>
          <w:color w:val="auto"/>
        </w:rPr>
        <w:t xml:space="preserve"> is being incrementally deployed</w:t>
      </w:r>
      <w:r w:rsidR="00D15FA0">
        <w:rPr>
          <w:rFonts w:eastAsiaTheme="minorHAnsi"/>
          <w:color w:val="auto"/>
        </w:rPr>
        <w:t>,</w:t>
      </w:r>
      <w:r w:rsidR="00FC5BB3">
        <w:rPr>
          <w:rFonts w:eastAsiaTheme="minorHAnsi"/>
          <w:color w:val="auto"/>
        </w:rPr>
        <w:t xml:space="preserve"> in the electronic </w:t>
      </w:r>
      <w:proofErr w:type="spellStart"/>
      <w:r w:rsidR="00FC5BB3">
        <w:rPr>
          <w:rFonts w:eastAsiaTheme="minorHAnsi"/>
          <w:color w:val="auto"/>
        </w:rPr>
        <w:t>lodgment</w:t>
      </w:r>
      <w:proofErr w:type="spellEnd"/>
      <w:r w:rsidR="00FC5BB3">
        <w:rPr>
          <w:rFonts w:eastAsiaTheme="minorHAnsi"/>
          <w:color w:val="auto"/>
        </w:rPr>
        <w:t xml:space="preserve"> network known as PEXA</w:t>
      </w:r>
      <w:r w:rsidR="00D15FA0">
        <w:rPr>
          <w:rFonts w:eastAsiaTheme="minorHAnsi"/>
          <w:color w:val="auto"/>
        </w:rPr>
        <w:t>,</w:t>
      </w:r>
      <w:r w:rsidR="00FC5BB3">
        <w:rPr>
          <w:rFonts w:eastAsiaTheme="minorHAnsi"/>
          <w:color w:val="auto"/>
        </w:rPr>
        <w:t xml:space="preserve"> during early 2019 </w:t>
      </w:r>
      <w:r w:rsidRPr="00D3714C">
        <w:rPr>
          <w:rFonts w:eastAsiaTheme="minorHAnsi"/>
          <w:color w:val="auto"/>
        </w:rPr>
        <w:t xml:space="preserve">to enable the remaining instrument types (residual documents) to be lodged electronically.  Its use by conveyancers, lawyers, </w:t>
      </w:r>
      <w:r w:rsidR="003D0914">
        <w:rPr>
          <w:rFonts w:eastAsiaTheme="minorHAnsi"/>
          <w:color w:val="auto"/>
        </w:rPr>
        <w:t>authorised deposit-taking institutions (A</w:t>
      </w:r>
      <w:r w:rsidRPr="00D3714C">
        <w:rPr>
          <w:rFonts w:eastAsiaTheme="minorHAnsi"/>
          <w:color w:val="auto"/>
        </w:rPr>
        <w:t>DIs</w:t>
      </w:r>
      <w:r w:rsidR="003D0914">
        <w:rPr>
          <w:rFonts w:eastAsiaTheme="minorHAnsi"/>
          <w:color w:val="auto"/>
        </w:rPr>
        <w:t xml:space="preserve">) </w:t>
      </w:r>
      <w:r w:rsidRPr="00D3714C">
        <w:rPr>
          <w:rFonts w:eastAsiaTheme="minorHAnsi"/>
          <w:color w:val="auto"/>
        </w:rPr>
        <w:t>and subscribers will be required from 1 August 2019.</w:t>
      </w:r>
    </w:p>
    <w:p w14:paraId="5A54877F" w14:textId="06BD4CDE" w:rsidR="00D3714C" w:rsidRPr="00D3714C" w:rsidRDefault="00D3714C" w:rsidP="00D3714C">
      <w:pPr>
        <w:pStyle w:val="BodyText100ThemeColour"/>
        <w:rPr>
          <w:rFonts w:eastAsiaTheme="minorHAnsi"/>
          <w:color w:val="auto"/>
        </w:rPr>
      </w:pPr>
      <w:r w:rsidRPr="00D3714C">
        <w:rPr>
          <w:rFonts w:eastAsiaTheme="minorHAnsi"/>
          <w:color w:val="auto"/>
        </w:rPr>
        <w:t>The first residual document</w:t>
      </w:r>
      <w:r w:rsidRPr="00D3714C">
        <w:rPr>
          <w:color w:val="auto"/>
        </w:rPr>
        <w:t>,</w:t>
      </w:r>
      <w:r w:rsidRPr="00D3714C">
        <w:rPr>
          <w:rFonts w:eastAsiaTheme="minorHAnsi"/>
          <w:color w:val="auto"/>
        </w:rPr>
        <w:t xml:space="preserve"> an </w:t>
      </w:r>
      <w:r w:rsidR="001F4AF7">
        <w:rPr>
          <w:rFonts w:eastAsiaTheme="minorHAnsi"/>
          <w:color w:val="auto"/>
        </w:rPr>
        <w:t>a</w:t>
      </w:r>
      <w:r w:rsidRPr="00D3714C">
        <w:rPr>
          <w:rFonts w:eastAsiaTheme="minorHAnsi"/>
          <w:color w:val="auto"/>
        </w:rPr>
        <w:t xml:space="preserve">pplication to record a section 173 of the </w:t>
      </w:r>
      <w:r w:rsidRPr="00D3714C">
        <w:rPr>
          <w:rFonts w:eastAsiaTheme="minorHAnsi"/>
          <w:i/>
          <w:color w:val="auto"/>
        </w:rPr>
        <w:t>Planning and Environment Act 1987</w:t>
      </w:r>
      <w:r w:rsidRPr="00D3714C">
        <w:rPr>
          <w:rFonts w:eastAsiaTheme="minorHAnsi"/>
          <w:color w:val="auto"/>
        </w:rPr>
        <w:t xml:space="preserve"> agreement</w:t>
      </w:r>
      <w:r w:rsidRPr="00D3714C">
        <w:rPr>
          <w:color w:val="auto"/>
        </w:rPr>
        <w:t>, became available</w:t>
      </w:r>
      <w:r w:rsidR="003D0914">
        <w:rPr>
          <w:color w:val="auto"/>
        </w:rPr>
        <w:t xml:space="preserve"> </w:t>
      </w:r>
      <w:r w:rsidR="00FC5BB3">
        <w:rPr>
          <w:color w:val="auto"/>
        </w:rPr>
        <w:t>in</w:t>
      </w:r>
      <w:r w:rsidRPr="00D3714C">
        <w:rPr>
          <w:rFonts w:eastAsiaTheme="minorHAnsi"/>
          <w:color w:val="auto"/>
        </w:rPr>
        <w:t xml:space="preserve"> March 2019. </w:t>
      </w:r>
    </w:p>
    <w:p w14:paraId="77DF058D" w14:textId="77777777" w:rsidR="00D3714C" w:rsidRPr="00D3714C" w:rsidRDefault="00D3714C" w:rsidP="00D3714C">
      <w:pPr>
        <w:pStyle w:val="BodyText100ThemeColour"/>
        <w:rPr>
          <w:rFonts w:eastAsiaTheme="minorHAnsi"/>
          <w:color w:val="auto"/>
        </w:rPr>
      </w:pPr>
      <w:r w:rsidRPr="00D3714C">
        <w:rPr>
          <w:rFonts w:eastAsiaTheme="minorHAnsi"/>
          <w:color w:val="auto"/>
        </w:rPr>
        <w:t>A guide outlining the requirements for th</w:t>
      </w:r>
      <w:r w:rsidRPr="00D3714C">
        <w:rPr>
          <w:color w:val="auto"/>
        </w:rPr>
        <w:t xml:space="preserve">is application (and other residual documents) has been published at </w:t>
      </w:r>
      <w:hyperlink r:id="rId9" w:history="1">
        <w:r w:rsidRPr="00D3714C">
          <w:rPr>
            <w:rStyle w:val="Hyperlink"/>
            <w:szCs w:val="22"/>
          </w:rPr>
          <w:t>www.propertyandlandtitles.vic.gov.au/forms-guides-and-fees</w:t>
        </w:r>
      </w:hyperlink>
      <w:r w:rsidRPr="00D3714C">
        <w:rPr>
          <w:rStyle w:val="Hyperlink"/>
          <w:szCs w:val="22"/>
        </w:rPr>
        <w:t xml:space="preserve"> u</w:t>
      </w:r>
      <w:r w:rsidRPr="00D3714C">
        <w:rPr>
          <w:color w:val="auto"/>
        </w:rPr>
        <w:t xml:space="preserve">nder </w:t>
      </w:r>
      <w:r w:rsidR="00791AB5">
        <w:rPr>
          <w:color w:val="auto"/>
        </w:rPr>
        <w:t>Overview - Residual Documents.</w:t>
      </w:r>
      <w:r w:rsidRPr="00D3714C">
        <w:rPr>
          <w:rFonts w:eastAsiaTheme="minorHAnsi"/>
          <w:color w:val="auto"/>
        </w:rPr>
        <w:t xml:space="preserve">  This guide will be updated as other residual documents are made available.  </w:t>
      </w:r>
    </w:p>
    <w:p w14:paraId="41E4DA13" w14:textId="77777777" w:rsidR="006037B0" w:rsidRDefault="006037B0" w:rsidP="00E05743">
      <w:pPr>
        <w:pStyle w:val="Body"/>
      </w:pPr>
    </w:p>
    <w:p w14:paraId="038EDB74" w14:textId="77777777" w:rsidR="0090117B" w:rsidRDefault="0090117B" w:rsidP="0090117B">
      <w:pPr>
        <w:rPr>
          <w:rFonts w:ascii="Calibri" w:hAnsi="Calibri" w:cs="Calibri"/>
          <w:color w:val="auto"/>
          <w:sz w:val="22"/>
          <w:szCs w:val="22"/>
          <w:lang w:val="en-US" w:eastAsia="en-US"/>
        </w:rPr>
      </w:pPr>
      <w:r w:rsidRPr="006B73B9">
        <w:rPr>
          <w:b/>
          <w:bCs/>
          <w:color w:val="B3272F" w:themeColor="text2"/>
          <w:kern w:val="32"/>
          <w:sz w:val="40"/>
          <w:szCs w:val="32"/>
        </w:rPr>
        <w:lastRenderedPageBreak/>
        <w:t xml:space="preserve">Joint </w:t>
      </w:r>
      <w:proofErr w:type="spellStart"/>
      <w:r w:rsidRPr="006B73B9">
        <w:rPr>
          <w:b/>
          <w:bCs/>
          <w:color w:val="B3272F" w:themeColor="text2"/>
          <w:kern w:val="32"/>
          <w:sz w:val="40"/>
          <w:szCs w:val="32"/>
        </w:rPr>
        <w:t>Lodgments</w:t>
      </w:r>
      <w:proofErr w:type="spellEnd"/>
      <w:r w:rsidR="006C2ACF">
        <w:rPr>
          <w:b/>
          <w:bCs/>
          <w:color w:val="B3272F" w:themeColor="text2"/>
          <w:kern w:val="32"/>
          <w:sz w:val="40"/>
          <w:szCs w:val="32"/>
        </w:rPr>
        <w:t xml:space="preserve"> after October 2018</w:t>
      </w:r>
      <w:r w:rsidR="00D0088F">
        <w:rPr>
          <w:b/>
          <w:bCs/>
          <w:color w:val="B3272F" w:themeColor="text2"/>
          <w:kern w:val="32"/>
          <w:sz w:val="40"/>
          <w:szCs w:val="32"/>
        </w:rPr>
        <w:t xml:space="preserve"> </w:t>
      </w:r>
    </w:p>
    <w:p w14:paraId="1A85AEBC" w14:textId="77777777" w:rsidR="00F9622B" w:rsidRDefault="00F9622B" w:rsidP="00F9622B">
      <w:pPr>
        <w:pStyle w:val="BodyText100ThemeColour"/>
        <w:rPr>
          <w:lang w:val="en-US"/>
        </w:rPr>
      </w:pPr>
    </w:p>
    <w:p w14:paraId="158D219D" w14:textId="77777777" w:rsidR="0090117B" w:rsidRPr="003D0914" w:rsidRDefault="007A42CF" w:rsidP="00F9622B">
      <w:pPr>
        <w:pStyle w:val="BodyText100ThemeColour"/>
        <w:rPr>
          <w:color w:val="auto"/>
          <w:lang w:val="en-US"/>
        </w:rPr>
      </w:pPr>
      <w:r w:rsidRPr="003D0914">
        <w:rPr>
          <w:color w:val="auto"/>
          <w:lang w:val="en-US"/>
        </w:rPr>
        <w:t xml:space="preserve">How are joint lodgments handled following the October 2018 mandate? A joint lodgment typically involves a series of lodgments, undertaken by different parties.  </w:t>
      </w:r>
    </w:p>
    <w:p w14:paraId="624F4A2B" w14:textId="77777777" w:rsidR="0090117B" w:rsidRPr="003D0914" w:rsidRDefault="007A42CF" w:rsidP="00F9622B">
      <w:pPr>
        <w:pStyle w:val="BodyText100ThemeColour"/>
        <w:rPr>
          <w:color w:val="auto"/>
          <w:lang w:val="en-US"/>
        </w:rPr>
      </w:pPr>
      <w:r w:rsidRPr="003D0914">
        <w:rPr>
          <w:color w:val="auto"/>
          <w:lang w:val="en-US"/>
        </w:rPr>
        <w:t>One example is a discharge of mortgage to precede a plan of subdivision and a new mortgage to follow the plan.  The discharge and mortgage are to be lodged by the financial institution and the plan lodged by a conveyancer or lawyer.</w:t>
      </w:r>
    </w:p>
    <w:p w14:paraId="16DD2E10" w14:textId="564FA6AB" w:rsidR="0090117B" w:rsidRPr="003D0914" w:rsidRDefault="007A42CF" w:rsidP="00F9622B">
      <w:pPr>
        <w:pStyle w:val="BodyText100ThemeColour"/>
        <w:rPr>
          <w:color w:val="auto"/>
          <w:lang w:val="en-US"/>
        </w:rPr>
      </w:pPr>
      <w:r w:rsidRPr="003D0914">
        <w:rPr>
          <w:color w:val="auto"/>
          <w:lang w:val="en-US"/>
        </w:rPr>
        <w:t>Electronic lodgment requires one party in a multi-party transaction to assume responsibility for the lodgment.  While a discharge of mortgage and new mortgage can be lodged electronically (</w:t>
      </w:r>
      <w:r w:rsidR="00D15FA0">
        <w:rPr>
          <w:color w:val="auto"/>
          <w:lang w:val="en-US"/>
        </w:rPr>
        <w:t>and must</w:t>
      </w:r>
      <w:r w:rsidR="00CB61FF">
        <w:rPr>
          <w:color w:val="auto"/>
          <w:lang w:val="en-US"/>
        </w:rPr>
        <w:t xml:space="preserve"> be</w:t>
      </w:r>
      <w:r w:rsidR="00D15FA0">
        <w:rPr>
          <w:color w:val="auto"/>
          <w:lang w:val="en-US"/>
        </w:rPr>
        <w:t>, in most cases</w:t>
      </w:r>
      <w:r w:rsidRPr="003D0914">
        <w:rPr>
          <w:color w:val="auto"/>
          <w:lang w:val="en-US"/>
        </w:rPr>
        <w:t>), a plan of subdivision can be lodged in paper.</w:t>
      </w:r>
    </w:p>
    <w:p w14:paraId="3E3CD881" w14:textId="48B9CCD5" w:rsidR="0090117B" w:rsidRPr="003D0914" w:rsidRDefault="007A42CF" w:rsidP="00F9622B">
      <w:pPr>
        <w:pStyle w:val="BodyText100ThemeColour"/>
        <w:rPr>
          <w:color w:val="auto"/>
          <w:lang w:val="en-US"/>
        </w:rPr>
      </w:pPr>
      <w:r w:rsidRPr="003D0914">
        <w:rPr>
          <w:color w:val="auto"/>
          <w:lang w:val="en-US"/>
        </w:rPr>
        <w:t xml:space="preserve">The Registrar’s Requirements for paper conveyancing transactions discusses dealings lodged in combination, but in this context, this means a series of dealings with the same lodging party.  The example above involves different lodging parties and means the dealings are not ‘lodged in combination, in the context of the requirement.  </w:t>
      </w:r>
    </w:p>
    <w:p w14:paraId="3F4AABA6" w14:textId="1AF3D1A3" w:rsidR="0090117B" w:rsidRPr="003D0914" w:rsidRDefault="007A42CF" w:rsidP="00F9622B">
      <w:pPr>
        <w:pStyle w:val="BodyText100ThemeColour"/>
        <w:rPr>
          <w:color w:val="auto"/>
          <w:lang w:val="en-US"/>
        </w:rPr>
      </w:pPr>
      <w:r w:rsidRPr="003D0914">
        <w:rPr>
          <w:color w:val="auto"/>
          <w:lang w:val="en-US"/>
        </w:rPr>
        <w:t>The effect of the 1 October 2018 electronic lodgment mandate means that, in the example above, the discharge of mortgage and new mortgage are ‘stand-alone’ transactions, mandated for electronic lodgment and must be lodged electronically. The plan of subdivision is also a ‘stand-alone’ transaction that can be lodged electronically using the SPEAR Electronic Lodgment Network (ELN) or in paper.</w:t>
      </w:r>
    </w:p>
    <w:p w14:paraId="2EA7D087" w14:textId="77777777" w:rsidR="0090117B" w:rsidRPr="003D0914" w:rsidRDefault="007A42CF" w:rsidP="00F9622B">
      <w:pPr>
        <w:pStyle w:val="BodyText100ThemeColour"/>
        <w:rPr>
          <w:color w:val="auto"/>
          <w:lang w:val="en-US"/>
        </w:rPr>
      </w:pPr>
      <w:r w:rsidRPr="003D0914">
        <w:rPr>
          <w:color w:val="auto"/>
          <w:lang w:val="en-US"/>
        </w:rPr>
        <w:t xml:space="preserve">In this example, the financial institution would need to electronically lodge the discharge of mortgage and maintain </w:t>
      </w:r>
      <w:proofErr w:type="spellStart"/>
      <w:r w:rsidRPr="003D0914">
        <w:rPr>
          <w:color w:val="auto"/>
          <w:lang w:val="en-US"/>
        </w:rPr>
        <w:t>eCT</w:t>
      </w:r>
      <w:proofErr w:type="spellEnd"/>
      <w:r w:rsidRPr="003D0914">
        <w:rPr>
          <w:color w:val="auto"/>
          <w:lang w:val="en-US"/>
        </w:rPr>
        <w:t xml:space="preserve"> control.  The </w:t>
      </w:r>
      <w:proofErr w:type="spellStart"/>
      <w:r w:rsidRPr="003D0914">
        <w:rPr>
          <w:color w:val="auto"/>
          <w:lang w:val="en-US"/>
        </w:rPr>
        <w:t>eCT</w:t>
      </w:r>
      <w:proofErr w:type="spellEnd"/>
      <w:r w:rsidRPr="003D0914">
        <w:rPr>
          <w:color w:val="auto"/>
          <w:lang w:val="en-US"/>
        </w:rPr>
        <w:t xml:space="preserve"> would then need to be nominated to permit the plan to be lodged, again with the financial institution maintaining </w:t>
      </w:r>
      <w:proofErr w:type="spellStart"/>
      <w:r w:rsidRPr="003D0914">
        <w:rPr>
          <w:color w:val="auto"/>
          <w:lang w:val="en-US"/>
        </w:rPr>
        <w:t>eCT</w:t>
      </w:r>
      <w:proofErr w:type="spellEnd"/>
      <w:r w:rsidRPr="003D0914">
        <w:rPr>
          <w:color w:val="auto"/>
          <w:lang w:val="en-US"/>
        </w:rPr>
        <w:t xml:space="preserve"> control.  Following lodgment of the plan, the new mortgage can be electronically lodged, again with the financial institution maintaining </w:t>
      </w:r>
      <w:proofErr w:type="spellStart"/>
      <w:r w:rsidRPr="003D0914">
        <w:rPr>
          <w:color w:val="auto"/>
          <w:lang w:val="en-US"/>
        </w:rPr>
        <w:t>eCT</w:t>
      </w:r>
      <w:proofErr w:type="spellEnd"/>
      <w:r w:rsidRPr="003D0914">
        <w:rPr>
          <w:color w:val="auto"/>
          <w:lang w:val="en-US"/>
        </w:rPr>
        <w:t xml:space="preserve"> control.  </w:t>
      </w:r>
    </w:p>
    <w:p w14:paraId="76F7A0FC" w14:textId="77777777" w:rsidR="0090117B" w:rsidRPr="003D0914" w:rsidRDefault="007A42CF" w:rsidP="00F9622B">
      <w:pPr>
        <w:pStyle w:val="BodyText100ThemeColour"/>
        <w:rPr>
          <w:color w:val="auto"/>
        </w:rPr>
      </w:pPr>
      <w:r w:rsidRPr="003D0914">
        <w:rPr>
          <w:color w:val="auto"/>
          <w:lang w:val="en-US"/>
        </w:rPr>
        <w:t xml:space="preserve">All parties will need to consider the impact of the Registrar’s Requirements when scheduling lodgments that involve some transaction types mandated for electronic lodgment and some that are not.  </w:t>
      </w:r>
    </w:p>
    <w:p w14:paraId="14E7CA80" w14:textId="77777777" w:rsidR="00D3714C" w:rsidRDefault="00D3714C" w:rsidP="00D3714C">
      <w:pPr>
        <w:pStyle w:val="Heading1"/>
        <w:numPr>
          <w:ilvl w:val="0"/>
          <w:numId w:val="0"/>
        </w:numPr>
        <w:spacing w:after="240"/>
      </w:pPr>
      <w:r>
        <w:t>Subscribe</w:t>
      </w:r>
    </w:p>
    <w:p w14:paraId="1B505A28" w14:textId="77777777" w:rsidR="00D3714C" w:rsidRDefault="00D3714C" w:rsidP="00D3714C">
      <w:pPr>
        <w:pStyle w:val="BodyText"/>
        <w:rPr>
          <w:rFonts w:eastAsia="Calibri"/>
        </w:rPr>
      </w:pPr>
      <w:r>
        <w:rPr>
          <w:rFonts w:eastAsia="Calibri"/>
        </w:rPr>
        <w:t xml:space="preserve">To receive notification when a </w:t>
      </w:r>
      <w:r>
        <w:rPr>
          <w:rFonts w:eastAsia="Calibri"/>
          <w:i/>
        </w:rPr>
        <w:t>Customer Information Bulletin</w:t>
      </w:r>
      <w:r>
        <w:rPr>
          <w:rFonts w:eastAsia="Calibri"/>
        </w:rPr>
        <w:t xml:space="preserve"> is published, please send an email to lv.cib@delwp.vic.gov.au with SUBSCRIBE in the subject line – include your name and email address in the body of the email.</w:t>
      </w:r>
    </w:p>
    <w:p w14:paraId="749F7935" w14:textId="77777777" w:rsidR="00BA4D69" w:rsidRDefault="00BA4D69" w:rsidP="00BA4D69">
      <w:pPr>
        <w:pStyle w:val="Heading1"/>
        <w:numPr>
          <w:ilvl w:val="0"/>
          <w:numId w:val="0"/>
        </w:numPr>
        <w:spacing w:after="240"/>
        <w:rPr>
          <w:rFonts w:eastAsiaTheme="minorHAnsi"/>
          <w:lang w:eastAsia="en-US"/>
        </w:rPr>
      </w:pPr>
      <w:r>
        <w:rPr>
          <w:rFonts w:eastAsiaTheme="minorHAnsi"/>
          <w:lang w:eastAsia="en-US"/>
        </w:rPr>
        <w:t>Contact us</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14:paraId="4AD7DB8A" w14:textId="77777777" w:rsidTr="00BA4D69">
        <w:trPr>
          <w:trHeight w:val="2608"/>
        </w:trPr>
        <w:tc>
          <w:tcPr>
            <w:tcW w:w="5216" w:type="dxa"/>
            <w:shd w:val="clear" w:color="auto" w:fill="auto"/>
          </w:tcPr>
          <w:p w14:paraId="6A114994" w14:textId="04D26EBA" w:rsidR="00254A01" w:rsidRDefault="00BA4D69" w:rsidP="00AC028D">
            <w:pPr>
              <w:pStyle w:val="SmallBodyText"/>
            </w:pPr>
            <w:r>
              <w:rPr>
                <w:rFonts w:eastAsiaTheme="minorHAnsi" w:cs="Calibri"/>
                <w:color w:val="000000"/>
                <w:szCs w:val="22"/>
              </w:rPr>
              <w:t xml:space="preserve">For </w:t>
            </w:r>
            <w:hyperlink r:id="rId10" w:history="1">
              <w:r>
                <w:rPr>
                  <w:rStyle w:val="Hyperlink"/>
                  <w:rFonts w:eastAsiaTheme="minorHAnsi" w:cs="Calibri"/>
                  <w:color w:val="000000"/>
                  <w:szCs w:val="22"/>
                </w:rPr>
                <w:t>location and contact details</w:t>
              </w:r>
            </w:hyperlink>
            <w:r>
              <w:rPr>
                <w:rFonts w:eastAsiaTheme="minorHAnsi" w:cs="Calibri"/>
                <w:color w:val="000000"/>
                <w:szCs w:val="22"/>
              </w:rPr>
              <w:t xml:space="preserve">, go to </w:t>
            </w:r>
            <w:hyperlink r:id="rId11" w:history="1">
              <w:r>
                <w:rPr>
                  <w:rStyle w:val="Hyperlink"/>
                  <w:rFonts w:eastAsiaTheme="minorHAnsi" w:cs="Calibri"/>
                  <w:color w:val="000000"/>
                  <w:szCs w:val="22"/>
                </w:rPr>
                <w:t>www.propertyandlandtitles.vic.gov.au/contact-us</w:t>
              </w:r>
            </w:hyperlink>
            <w:r>
              <w:rPr>
                <w:rFonts w:eastAsiaTheme="minorHAnsi" w:cs="Calibri"/>
                <w:color w:val="000000"/>
                <w:szCs w:val="22"/>
              </w:rPr>
              <w:t>.</w:t>
            </w:r>
            <w:r w:rsidR="00254A01">
              <w:t xml:space="preserve">© </w:t>
            </w:r>
            <w:r w:rsidR="00254A01" w:rsidRPr="00405DE3">
              <w:t xml:space="preserve">The State of Victoria Department of Environment, Land, </w:t>
            </w:r>
            <w:r w:rsidR="00254A01" w:rsidRPr="00C255C2">
              <w:t>Water</w:t>
            </w:r>
            <w:r w:rsidR="00254A01" w:rsidRPr="00405DE3">
              <w:t xml:space="preserve"> and Planning </w:t>
            </w:r>
            <w:r w:rsidR="007A42CF">
              <w:fldChar w:fldCharType="begin"/>
            </w:r>
            <w:r w:rsidR="00254A01">
              <w:instrText xml:space="preserve"> DATE  \@ "yyyy" \* MERGEFORMAT </w:instrText>
            </w:r>
            <w:r w:rsidR="007A42CF">
              <w:fldChar w:fldCharType="separate"/>
            </w:r>
            <w:r w:rsidR="00082CA2">
              <w:rPr>
                <w:noProof/>
              </w:rPr>
              <w:t>2019</w:t>
            </w:r>
            <w:r w:rsidR="007A42CF">
              <w:fldChar w:fldCharType="end"/>
            </w:r>
          </w:p>
          <w:p w14:paraId="3440AFAC" w14:textId="77777777" w:rsidR="00254A01" w:rsidRDefault="00254A01" w:rsidP="00AC028D">
            <w:pPr>
              <w:pStyle w:val="SmallBodyText"/>
            </w:pPr>
            <w:r>
              <w:rPr>
                <w:noProof/>
              </w:rPr>
              <w:drawing>
                <wp:anchor distT="0" distB="0" distL="114300" distR="36195" simplePos="0" relativeHeight="251653632" behindDoc="0" locked="1" layoutInCell="1" allowOverlap="1" wp14:anchorId="754F233B" wp14:editId="78077E00">
                  <wp:simplePos x="0" y="0"/>
                  <wp:positionH relativeFrom="column">
                    <wp:posOffset>0</wp:posOffset>
                  </wp:positionH>
                  <wp:positionV relativeFrom="paragraph">
                    <wp:posOffset>28575</wp:posOffset>
                  </wp:positionV>
                  <wp:extent cx="658800" cy="237600"/>
                  <wp:effectExtent l="0" t="0" r="825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anchor>
              </w:drawing>
            </w:r>
            <w:bookmarkStart w:id="4" w:name="_ImprintPageOne"/>
            <w:bookmarkEnd w:id="4"/>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30A02B75" w14:textId="77777777" w:rsidR="00254A01" w:rsidRPr="008F559C" w:rsidRDefault="00254A01" w:rsidP="00AC028D">
            <w:pPr>
              <w:pStyle w:val="SmallHeading"/>
            </w:pPr>
            <w:r w:rsidRPr="00C255C2">
              <w:t>Disclaimer</w:t>
            </w:r>
          </w:p>
          <w:p w14:paraId="0BAFF668" w14:textId="77777777" w:rsidR="00254A01" w:rsidRDefault="00254A01" w:rsidP="00AC028D">
            <w:pPr>
              <w:pStyle w:val="SmallBodyText"/>
            </w:pPr>
            <w:r w:rsidRPr="00405DE3">
              <w:t xml:space="preserve">This publication may be of assistance to </w:t>
            </w:r>
            <w:proofErr w:type="gramStart"/>
            <w:r w:rsidR="00D3714C" w:rsidRPr="00405DE3">
              <w:t>you</w:t>
            </w:r>
            <w:proofErr w:type="gramEnd"/>
            <w:r w:rsidR="00D3714C">
              <w:t xml:space="preserve"> </w:t>
            </w:r>
            <w:r w:rsidRPr="00405DE3">
              <w:t xml:space="preserve">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788CB185" w14:textId="77777777" w:rsidR="00254A01" w:rsidRPr="00E97294" w:rsidRDefault="00254A01" w:rsidP="00AC028D">
            <w:pPr>
              <w:pStyle w:val="xAccessibilityHeading"/>
            </w:pPr>
            <w:bookmarkStart w:id="5" w:name="_Accessibility"/>
            <w:bookmarkEnd w:id="5"/>
            <w:r w:rsidRPr="00E97294">
              <w:t>Accessibility</w:t>
            </w:r>
          </w:p>
          <w:p w14:paraId="48832EEE" w14:textId="77777777" w:rsidR="00254A01" w:rsidRDefault="00254A01" w:rsidP="00AC028D">
            <w:pPr>
              <w:pStyle w:val="xAccessibilityText"/>
            </w:pPr>
            <w:r>
              <w:t>If you would like to receive this publication in an alternative format, please telephone the DELWP Customer Service Centre on 136186, email </w:t>
            </w:r>
            <w:hyperlink r:id="rId13" w:history="1">
              <w:r w:rsidRPr="003C5C56">
                <w:t>customer.service@delwp.vic.gov.au</w:t>
              </w:r>
            </w:hyperlink>
            <w:r>
              <w:t xml:space="preserve">, or via the National Relay Service on 133 677 </w:t>
            </w:r>
            <w:hyperlink r:id="rId14" w:history="1">
              <w:r w:rsidRPr="00AE3298">
                <w:t>www.relayservice.com.au</w:t>
              </w:r>
            </w:hyperlink>
            <w:r>
              <w:t xml:space="preserve">. This document is also available on the internet at </w:t>
            </w:r>
            <w:hyperlink r:id="rId15" w:history="1">
              <w:r w:rsidRPr="00AE3298">
                <w:t>www.delwp.vic.gov.au</w:t>
              </w:r>
            </w:hyperlink>
            <w:r>
              <w:t xml:space="preserve">. </w:t>
            </w:r>
          </w:p>
          <w:p w14:paraId="6BAC44CA" w14:textId="77777777" w:rsidR="00254A01" w:rsidRDefault="00254A01" w:rsidP="00AC028D">
            <w:pPr>
              <w:pStyle w:val="SmallBodyText"/>
            </w:pPr>
          </w:p>
        </w:tc>
      </w:tr>
    </w:tbl>
    <w:p w14:paraId="17B45F71" w14:textId="77777777" w:rsidR="00082CA2" w:rsidRDefault="00082CA2" w:rsidP="00082CA2">
      <w:pPr>
        <w:pStyle w:val="Body"/>
      </w:pPr>
      <w:r>
        <w:rPr>
          <w:rFonts w:eastAsiaTheme="minorHAnsi" w:cs="Calibri"/>
          <w:color w:val="000000"/>
          <w:szCs w:val="22"/>
        </w:rPr>
        <w:t xml:space="preserve">For </w:t>
      </w:r>
      <w:hyperlink r:id="rId16" w:history="1">
        <w:r>
          <w:rPr>
            <w:rStyle w:val="Hyperlink"/>
            <w:rFonts w:eastAsiaTheme="minorHAnsi" w:cs="Calibri"/>
            <w:color w:val="000000"/>
            <w:szCs w:val="22"/>
          </w:rPr>
          <w:t>location and contact details</w:t>
        </w:r>
      </w:hyperlink>
      <w:r>
        <w:rPr>
          <w:rFonts w:eastAsiaTheme="minorHAnsi" w:cs="Calibri"/>
          <w:color w:val="000000"/>
          <w:szCs w:val="22"/>
        </w:rPr>
        <w:t xml:space="preserve">, go to </w:t>
      </w:r>
      <w:hyperlink r:id="rId17" w:history="1">
        <w:r>
          <w:rPr>
            <w:rStyle w:val="Hyperlink"/>
            <w:rFonts w:eastAsiaTheme="minorHAnsi" w:cs="Calibri"/>
            <w:color w:val="000000"/>
            <w:szCs w:val="22"/>
          </w:rPr>
          <w:t>www.propertyandlandtitles.vic.gov.au/contact-us</w:t>
        </w:r>
      </w:hyperlink>
      <w:r>
        <w:rPr>
          <w:rFonts w:eastAsiaTheme="minorHAnsi" w:cs="Calibri"/>
          <w:color w:val="000000"/>
          <w:szCs w:val="22"/>
        </w:rPr>
        <w:t>.</w:t>
      </w:r>
    </w:p>
    <w:p w14:paraId="560E152C" w14:textId="77777777" w:rsidR="006E1C8D" w:rsidRDefault="006E1C8D" w:rsidP="005D0B1C">
      <w:pPr>
        <w:pStyle w:val="BodyText"/>
      </w:pPr>
    </w:p>
    <w:sectPr w:rsidR="006E1C8D" w:rsidSect="00082CA2">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2211" w:right="851" w:bottom="1758"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6072EA" w14:textId="77777777" w:rsidR="00581C96" w:rsidRDefault="00581C96">
      <w:r>
        <w:separator/>
      </w:r>
    </w:p>
    <w:p w14:paraId="692535F9" w14:textId="77777777" w:rsidR="00581C96" w:rsidRDefault="00581C96"/>
    <w:p w14:paraId="53948FC9" w14:textId="77777777" w:rsidR="00581C96" w:rsidRDefault="00581C96"/>
  </w:endnote>
  <w:endnote w:type="continuationSeparator" w:id="0">
    <w:p w14:paraId="5A3B584C" w14:textId="77777777" w:rsidR="00581C96" w:rsidRDefault="00581C96">
      <w:r>
        <w:continuationSeparator/>
      </w:r>
    </w:p>
    <w:p w14:paraId="31B746D5" w14:textId="77777777" w:rsidR="00581C96" w:rsidRDefault="00581C96"/>
    <w:p w14:paraId="5F253072" w14:textId="77777777" w:rsidR="00581C96" w:rsidRDefault="00581C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9925768"/>
      <w:docPartObj>
        <w:docPartGallery w:val="Page Numbers (Bottom of Page)"/>
        <w:docPartUnique/>
      </w:docPartObj>
    </w:sdtPr>
    <w:sdtEndPr/>
    <w:sdtContent>
      <w:sdt>
        <w:sdtPr>
          <w:id w:val="-1705238520"/>
          <w:docPartObj>
            <w:docPartGallery w:val="Page Numbers (Top of Page)"/>
            <w:docPartUnique/>
          </w:docPartObj>
        </w:sdtPr>
        <w:sdtEndPr/>
        <w:sdtContent>
          <w:p w14:paraId="22BEE70E" w14:textId="77777777" w:rsidR="00892D14" w:rsidRDefault="00892D14">
            <w:pPr>
              <w:pStyle w:val="Footer"/>
            </w:pPr>
            <w:r>
              <w:t xml:space="preserve">Page </w:t>
            </w:r>
            <w:r w:rsidR="007A42CF">
              <w:rPr>
                <w:b/>
                <w:bCs/>
                <w:sz w:val="24"/>
                <w:szCs w:val="24"/>
              </w:rPr>
              <w:fldChar w:fldCharType="begin"/>
            </w:r>
            <w:r>
              <w:rPr>
                <w:b/>
                <w:bCs/>
              </w:rPr>
              <w:instrText xml:space="preserve"> PAGE </w:instrText>
            </w:r>
            <w:r w:rsidR="007A42CF">
              <w:rPr>
                <w:b/>
                <w:bCs/>
                <w:sz w:val="24"/>
                <w:szCs w:val="24"/>
              </w:rPr>
              <w:fldChar w:fldCharType="separate"/>
            </w:r>
            <w:r w:rsidR="00D15FA0">
              <w:rPr>
                <w:b/>
                <w:bCs/>
                <w:noProof/>
              </w:rPr>
              <w:t>2</w:t>
            </w:r>
            <w:r w:rsidR="007A42CF">
              <w:rPr>
                <w:b/>
                <w:bCs/>
                <w:sz w:val="24"/>
                <w:szCs w:val="24"/>
              </w:rPr>
              <w:fldChar w:fldCharType="end"/>
            </w:r>
            <w:r>
              <w:t xml:space="preserve"> of </w:t>
            </w:r>
            <w:r w:rsidR="007A42CF">
              <w:rPr>
                <w:b/>
                <w:bCs/>
                <w:sz w:val="24"/>
                <w:szCs w:val="24"/>
              </w:rPr>
              <w:fldChar w:fldCharType="begin"/>
            </w:r>
            <w:r>
              <w:rPr>
                <w:b/>
                <w:bCs/>
              </w:rPr>
              <w:instrText xml:space="preserve"> NUMPAGES  </w:instrText>
            </w:r>
            <w:r w:rsidR="007A42CF">
              <w:rPr>
                <w:b/>
                <w:bCs/>
                <w:sz w:val="24"/>
                <w:szCs w:val="24"/>
              </w:rPr>
              <w:fldChar w:fldCharType="separate"/>
            </w:r>
            <w:r w:rsidR="00D15FA0">
              <w:rPr>
                <w:b/>
                <w:bCs/>
                <w:noProof/>
              </w:rPr>
              <w:t>4</w:t>
            </w:r>
            <w:r w:rsidR="007A42CF">
              <w:rPr>
                <w:b/>
                <w:bCs/>
                <w:sz w:val="24"/>
                <w:szCs w:val="24"/>
              </w:rPr>
              <w:fldChar w:fldCharType="end"/>
            </w:r>
          </w:p>
        </w:sdtContent>
      </w:sdt>
    </w:sdtContent>
  </w:sdt>
  <w:p w14:paraId="10B2D78F" w14:textId="77777777" w:rsidR="00E962AA" w:rsidRPr="00B5221E" w:rsidRDefault="00E962AA" w:rsidP="00E97294">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8E9C41" w14:textId="77777777" w:rsidR="00E962AA" w:rsidRDefault="00082CA2" w:rsidP="00213C82">
    <w:pPr>
      <w:pStyle w:val="Footer"/>
    </w:pPr>
    <w:r>
      <w:rPr>
        <w:noProof/>
      </w:rPr>
      <w:pict w14:anchorId="46F189C5">
        <v:shapetype id="_x0000_t202" coordsize="21600,21600" o:spt="202" path="m,l,21600r21600,l21600,xe">
          <v:stroke joinstyle="miter"/>
          <v:path gradientshapeok="t" o:connecttype="rect"/>
        </v:shapetype>
        <v:shape id="Text Box 224" o:spid="_x0000_s2054" type="#_x0000_t202" alt="Title: Background Watermark Image" style="position:absolute;margin-left:0;margin-top:0;width:595.3pt;height:141.45pt;z-index:-251663360;visibility:visible;mso-position-horizontal:center;mso-position-horizontal-relative:page;mso-position-vertical:center;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opj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D4Uopj0AIAAN8FAAAOAAAAAAAAAAAAAAAAAC4CAABkcnMvZTJvRG9jLnht&#10;bFBLAQItABQABgAIAAAAIQA0xUTO2wAAAAYBAAAPAAAAAAAAAAAAAAAAACoFAABkcnMvZG93bnJl&#10;di54bWxQSwUGAAAAAAQABADzAAAAMgYAAAAA&#10;" filled="f" stroked="f">
          <v:textbox>
            <w:txbxContent>
              <w:p w14:paraId="09990419" w14:textId="08C168A3" w:rsidR="00E962AA" w:rsidRPr="0001226A" w:rsidRDefault="007A42CF" w:rsidP="00DF21D2">
                <w:pPr>
                  <w:pStyle w:val="xStatus"/>
                </w:pPr>
                <w:r w:rsidRPr="0001226A">
                  <w:fldChar w:fldCharType="begin"/>
                </w:r>
                <w:r w:rsidR="00E962AA" w:rsidRPr="0001226A">
                  <w:instrText xml:space="preserve"> DOCPROPERTY  </w:instrText>
                </w:r>
                <w:r w:rsidR="00E962AA" w:rsidRPr="006072AD">
                  <w:instrText>xStatus</w:instrText>
                </w:r>
                <w:r w:rsidR="00E962AA" w:rsidRPr="0001226A">
                  <w:instrText xml:space="preserve">  \* MERGEFORMAT </w:instrText>
                </w:r>
                <w:r w:rsidRPr="0001226A">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87755" w14:textId="77777777" w:rsidR="00E962AA" w:rsidRDefault="00E962AA" w:rsidP="00BF3066">
    <w:pPr>
      <w:pStyle w:val="Footer"/>
      <w:spacing w:before="1600"/>
    </w:pPr>
    <w:r>
      <w:rPr>
        <w:noProof/>
      </w:rPr>
      <w:drawing>
        <wp:anchor distT="0" distB="0" distL="114300" distR="114300" simplePos="0" relativeHeight="251662336" behindDoc="1" locked="1" layoutInCell="1" allowOverlap="1" wp14:anchorId="5D8681FC" wp14:editId="0C358DA5">
          <wp:simplePos x="0" y="0"/>
          <wp:positionH relativeFrom="page">
            <wp:align>right</wp:align>
          </wp:positionH>
          <wp:positionV relativeFrom="page">
            <wp:align>bottom</wp:align>
          </wp:positionV>
          <wp:extent cx="2408753" cy="1085850"/>
          <wp:effectExtent l="0" t="0" r="0" b="0"/>
          <wp:wrapNone/>
          <wp:docPr id="2"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anchor>
      </w:drawing>
    </w:r>
    <w:r w:rsidR="00082CA2">
      <w:rPr>
        <w:noProof/>
        <w:sz w:val="18"/>
      </w:rPr>
      <w:pict w14:anchorId="7D87B866">
        <v:shapetype id="_x0000_t202" coordsize="21600,21600" o:spt="202" path="m,l,21600r21600,l21600,xe">
          <v:stroke joinstyle="miter"/>
          <v:path gradientshapeok="t" o:connecttype="rect"/>
        </v:shapetype>
        <v:shape id="WebAddress" o:spid="_x0000_s2049" type="#_x0000_t202" style="position:absolute;margin-left:0;margin-top:0;width:303pt;height:56.7pt;z-index:251661312;visibility:hidden;mso-position-horizontal:left;mso-position-horizontal-relative:page;mso-position-vertical:bottom;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" filled="f" stroked="f" strokeweight=".5pt">
          <v:textbox inset="15mm">
            <w:txbxContent>
              <w:p w14:paraId="6058F403" w14:textId="77777777" w:rsidR="00E962AA" w:rsidRPr="009F69FA" w:rsidRDefault="00E962AA" w:rsidP="00213C82">
                <w:pPr>
                  <w:pStyle w:val="xWeb"/>
                </w:pPr>
                <w:r w:rsidRPr="009F69FA">
                  <w:t>de</w:t>
                </w:r>
                <w:r>
                  <w:t>lwp</w:t>
                </w:r>
                <w:r w:rsidRPr="009F69FA">
                  <w:t>.vic.gov.au</w:t>
                </w:r>
              </w:p>
            </w:txbxContent>
          </v:textbox>
          <w10:wrap anchorx="page" anchory="page"/>
          <w10:anchorlock/>
        </v:shape>
      </w:pict>
    </w:r>
    <w:r>
      <w:rPr>
        <w:noProof/>
        <w:sz w:val="18"/>
      </w:rPr>
      <w:drawing>
        <wp:anchor distT="0" distB="0" distL="114300" distR="114300" simplePos="0" relativeHeight="251659264" behindDoc="1" locked="1" layoutInCell="1" allowOverlap="1" wp14:anchorId="5ABA0981" wp14:editId="2E0B7BCC">
          <wp:simplePos x="0" y="0"/>
          <wp:positionH relativeFrom="page">
            <wp:align>right</wp:align>
          </wp:positionH>
          <wp:positionV relativeFrom="page">
            <wp:align>bottom</wp:align>
          </wp:positionV>
          <wp:extent cx="2422800" cy="1083600"/>
          <wp:effectExtent l="0" t="0" r="0" b="0"/>
          <wp:wrapNone/>
          <wp:docPr id="4"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73EFF" w14:textId="77777777" w:rsidR="00581C96" w:rsidRPr="008F5280" w:rsidRDefault="00581C96" w:rsidP="008F5280">
      <w:pPr>
        <w:pStyle w:val="FootnoteSeparator"/>
      </w:pPr>
    </w:p>
    <w:p w14:paraId="6C9890C7" w14:textId="77777777" w:rsidR="00581C96" w:rsidRDefault="00581C96"/>
  </w:footnote>
  <w:footnote w:type="continuationSeparator" w:id="0">
    <w:p w14:paraId="2AD95520" w14:textId="77777777" w:rsidR="00581C96" w:rsidRDefault="00581C96" w:rsidP="008F5280">
      <w:pPr>
        <w:pStyle w:val="FootnoteSeparator"/>
      </w:pPr>
    </w:p>
    <w:p w14:paraId="6EA36C50" w14:textId="77777777" w:rsidR="00581C96" w:rsidRDefault="00581C96"/>
    <w:p w14:paraId="0E7F220A" w14:textId="77777777" w:rsidR="00581C96" w:rsidRDefault="00581C96"/>
  </w:footnote>
  <w:footnote w:type="continuationNotice" w:id="1">
    <w:p w14:paraId="297A5D08" w14:textId="77777777" w:rsidR="00581C96" w:rsidRDefault="00581C96" w:rsidP="00D55628"/>
    <w:p w14:paraId="564FC4F6" w14:textId="77777777" w:rsidR="00581C96" w:rsidRDefault="00581C96"/>
    <w:p w14:paraId="4D43EF07" w14:textId="77777777" w:rsidR="00581C96" w:rsidRDefault="00581C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5EB49D60" w14:textId="77777777" w:rsidTr="00AC028D">
      <w:trPr>
        <w:trHeight w:hRule="exact" w:val="1418"/>
      </w:trPr>
      <w:tc>
        <w:tcPr>
          <w:tcW w:w="7761" w:type="dxa"/>
          <w:vAlign w:val="center"/>
        </w:tcPr>
        <w:p w14:paraId="714427B7" w14:textId="3D7DA44C" w:rsidR="00254A01" w:rsidRPr="00975ED3" w:rsidRDefault="00581C96" w:rsidP="00AC028D">
          <w:pPr>
            <w:pStyle w:val="Header"/>
          </w:pPr>
          <w:r>
            <w:rPr>
              <w:noProof/>
            </w:rPr>
            <w:fldChar w:fldCharType="begin"/>
          </w:r>
          <w:r>
            <w:rPr>
              <w:noProof/>
            </w:rPr>
            <w:instrText xml:space="preserve"> STYLEREF  Title  \* MERGEFORMAT </w:instrText>
          </w:r>
          <w:r>
            <w:rPr>
              <w:noProof/>
            </w:rPr>
            <w:fldChar w:fldCharType="separate"/>
          </w:r>
          <w:r w:rsidR="00082CA2">
            <w:rPr>
              <w:noProof/>
            </w:rPr>
            <w:t>Land Use Victoria</w:t>
          </w:r>
          <w:r w:rsidR="00082CA2">
            <w:rPr>
              <w:noProof/>
            </w:rPr>
            <w:br/>
            <w:t>Customer Information Bulletin 186</w:t>
          </w:r>
          <w:r w:rsidR="00082CA2">
            <w:rPr>
              <w:noProof/>
            </w:rPr>
            <w:br/>
            <w:t>April 2019</w:t>
          </w:r>
          <w:r>
            <w:rPr>
              <w:noProof/>
            </w:rPr>
            <w:fldChar w:fldCharType="end"/>
          </w:r>
        </w:p>
      </w:tc>
    </w:tr>
  </w:tbl>
  <w:p w14:paraId="52065C7E" w14:textId="77777777" w:rsidR="00254A01" w:rsidRDefault="00082CA2" w:rsidP="00254A01">
    <w:pPr>
      <w:pStyle w:val="Header"/>
    </w:pPr>
    <w:r>
      <w:rPr>
        <w:noProof/>
      </w:rPr>
      <w:pict w14:anchorId="6479D530">
        <v:shape id="TriangleRight" o:spid="_x0000_s2060" style="position:absolute;left:0;text-align:left;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w:r>
    <w:r>
      <w:rPr>
        <w:noProof/>
      </w:rPr>
      <w:pict w14:anchorId="30F491E4">
        <v:shape id="TriangleLeft" o:spid="_x0000_s2059" style="position:absolute;left:0;text-align:left;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w:r>
    <w:r>
      <w:rPr>
        <w:noProof/>
      </w:rPr>
      <w:pict w14:anchorId="318DB08B">
        <v:rect id="Rectangle" o:spid="_x0000_s2058" style="position:absolute;left:0;text-align:left;margin-left:22.7pt;margin-top:22.7pt;width:552.75pt;height:70.85pt;z-index:-25166540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w:r>
  </w:p>
  <w:p w14:paraId="591727D6"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36DF9A47" w14:textId="77777777" w:rsidTr="00AC028D">
      <w:trPr>
        <w:trHeight w:hRule="exact" w:val="1418"/>
      </w:trPr>
      <w:tc>
        <w:tcPr>
          <w:tcW w:w="7761" w:type="dxa"/>
          <w:vAlign w:val="center"/>
        </w:tcPr>
        <w:p w14:paraId="4B37CDD1" w14:textId="6AE3B899" w:rsidR="00254A01" w:rsidRPr="00975ED3" w:rsidRDefault="00581C96" w:rsidP="00AC028D">
          <w:pPr>
            <w:pStyle w:val="Header"/>
          </w:pPr>
          <w:r>
            <w:rPr>
              <w:noProof/>
            </w:rPr>
            <w:fldChar w:fldCharType="begin"/>
          </w:r>
          <w:r>
            <w:rPr>
              <w:noProof/>
            </w:rPr>
            <w:instrText xml:space="preserve"> STYLEREF  Title  \* MERGEFORMAT </w:instrText>
          </w:r>
          <w:r>
            <w:rPr>
              <w:noProof/>
            </w:rPr>
            <w:fldChar w:fldCharType="separate"/>
          </w:r>
          <w:r w:rsidR="00082CA2">
            <w:rPr>
              <w:noProof/>
            </w:rPr>
            <w:t>Land Use Victoria</w:t>
          </w:r>
          <w:r w:rsidR="00082CA2">
            <w:rPr>
              <w:noProof/>
            </w:rPr>
            <w:br/>
            <w:t>Customer Information Bulletin 186</w:t>
          </w:r>
          <w:r w:rsidR="00082CA2">
            <w:rPr>
              <w:noProof/>
            </w:rPr>
            <w:br/>
            <w:t>April 2019</w:t>
          </w:r>
          <w:r>
            <w:rPr>
              <w:noProof/>
            </w:rPr>
            <w:fldChar w:fldCharType="end"/>
          </w:r>
        </w:p>
      </w:tc>
    </w:tr>
  </w:tbl>
  <w:p w14:paraId="3B2E56FB" w14:textId="77777777" w:rsidR="00254A01" w:rsidRDefault="00082CA2" w:rsidP="00254A01">
    <w:pPr>
      <w:pStyle w:val="Header"/>
    </w:pPr>
    <w:r>
      <w:rPr>
        <w:noProof/>
      </w:rPr>
      <w:pict w14:anchorId="23BAA0BC">
        <v:shape id="_x0000_s2057" style="position:absolute;left:0;text-align:left;margin-left:56.7pt;margin-top:22.7pt;width:68.05pt;height:70.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w:r>
    <w:r>
      <w:rPr>
        <w:noProof/>
      </w:rPr>
      <w:pict w14:anchorId="49B516C6">
        <v:shape id="_x0000_s2056" style="position:absolute;left:0;text-align:left;margin-left:22.7pt;margin-top:22.7pt;width:68.05pt;height:70.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w:r>
    <w:r>
      <w:rPr>
        <w:noProof/>
      </w:rPr>
      <w:pict w14:anchorId="433798E6">
        <v:rect id="_x0000_s2055" style="position:absolute;left:0;text-align:left;margin-left:22.7pt;margin-top:22.7pt;width:552.75pt;height:70.85pt;z-index:-251656192;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w:r>
  </w:p>
  <w:p w14:paraId="7BCBB611" w14:textId="77777777"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E55D2" w14:textId="77777777" w:rsidR="00E962AA" w:rsidRPr="00E97294" w:rsidRDefault="00082CA2" w:rsidP="00E97294">
    <w:pPr>
      <w:pStyle w:val="Header"/>
    </w:pPr>
    <w:r>
      <w:rPr>
        <w:noProof/>
      </w:rPr>
      <w:pict w14:anchorId="3B3F18B8">
        <v:shape id="_x0000_s2053" style="position:absolute;left:0;text-align:left;margin-left:56.7pt;margin-top:22.7pt;width:68.05pt;height:70.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w:r>
    <w:r>
      <w:rPr>
        <w:noProof/>
      </w:rPr>
      <w:pict w14:anchorId="7EA40FA0">
        <v:shape id="TriangleBottom" o:spid="_x0000_s2052" style="position:absolute;left:0;text-align:left;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w:r>
    <w:r>
      <w:rPr>
        <w:noProof/>
      </w:rPr>
      <w:pict w14:anchorId="76F86395">
        <v:shape id="_x0000_s2051" style="position:absolute;left:0;text-align:left;margin-left:22.7pt;margin-top:22.7pt;width:68.05pt;height:70.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w:r>
    <w:r>
      <w:rPr>
        <w:noProof/>
      </w:rPr>
      <w:pict w14:anchorId="32115213">
        <v:rect id="_x0000_s2050" style="position:absolute;left:0;text-align:left;margin-left:22.7pt;margin-top:22.7pt;width:552.75pt;height:70.85pt;z-index:-251662336;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617AA"/>
    <w:multiLevelType w:val="hybridMultilevel"/>
    <w:tmpl w:val="F31C0B6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81956F9"/>
    <w:multiLevelType w:val="hybridMultilevel"/>
    <w:tmpl w:val="51B4C878"/>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AEF6829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6F2D7397"/>
    <w:multiLevelType w:val="hybridMultilevel"/>
    <w:tmpl w:val="5A0C1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0"/>
  </w:num>
  <w:num w:numId="2">
    <w:abstractNumId w:val="29"/>
  </w:num>
  <w:num w:numId="3">
    <w:abstractNumId w:val="26"/>
  </w:num>
  <w:num w:numId="4">
    <w:abstractNumId w:val="34"/>
  </w:num>
  <w:num w:numId="5">
    <w:abstractNumId w:val="17"/>
  </w:num>
  <w:num w:numId="6">
    <w:abstractNumId w:val="14"/>
  </w:num>
  <w:num w:numId="7">
    <w:abstractNumId w:val="13"/>
  </w:num>
  <w:num w:numId="8">
    <w:abstractNumId w:val="11"/>
  </w:num>
  <w:num w:numId="9">
    <w:abstractNumId w:val="31"/>
  </w:num>
  <w:num w:numId="10">
    <w:abstractNumId w:val="15"/>
  </w:num>
  <w:num w:numId="11">
    <w:abstractNumId w:val="1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5"/>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1"/>
  </w:num>
  <w:num w:numId="30">
    <w:abstractNumId w:val="32"/>
  </w:num>
  <w:num w:numId="31">
    <w:abstractNumId w:val="8"/>
  </w:num>
  <w:num w:numId="32">
    <w:abstractNumId w:val="28"/>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2"/>
  </w:num>
  <w:num w:numId="44">
    <w:abstractNumId w:val="10"/>
  </w:num>
  <w:num w:numId="4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63" style="mso-position-horizontal-relative:page;mso-position-vertical-relative:page" stroke="f">
      <v:stroke on="f"/>
      <o:colormru v:ext="edit" colors="white"/>
    </o:shapedefaults>
    <o:shapelayout v:ext="edit">
      <o:idmap v:ext="edit" data="2"/>
    </o:shapelayout>
  </w:hdrShapeDefaults>
  <w:footnotePr>
    <w:footnote w:id="-1"/>
    <w:footnote w:id="0"/>
    <w:footnote w:id="1"/>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False"/>
  </w:docVars>
  <w:rsids>
    <w:rsidRoot w:val="00BA4D69"/>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7CB"/>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B2D"/>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1AE7"/>
    <w:rsid w:val="0008221A"/>
    <w:rsid w:val="00082224"/>
    <w:rsid w:val="0008252E"/>
    <w:rsid w:val="00082889"/>
    <w:rsid w:val="00082914"/>
    <w:rsid w:val="00082CA2"/>
    <w:rsid w:val="0008309F"/>
    <w:rsid w:val="000838A2"/>
    <w:rsid w:val="00083917"/>
    <w:rsid w:val="00083CD6"/>
    <w:rsid w:val="00084187"/>
    <w:rsid w:val="00084CB1"/>
    <w:rsid w:val="00085689"/>
    <w:rsid w:val="0008568F"/>
    <w:rsid w:val="0008745F"/>
    <w:rsid w:val="0009032C"/>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B1C"/>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449"/>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22A"/>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C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AF7"/>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096D"/>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0B8"/>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4B0"/>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2B0E"/>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21E"/>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CBD"/>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3F53"/>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384"/>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914"/>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86A"/>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BEA"/>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28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015E"/>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427"/>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361"/>
    <w:rsid w:val="004E3C09"/>
    <w:rsid w:val="004E3CC5"/>
    <w:rsid w:val="004E3F91"/>
    <w:rsid w:val="004E4B5E"/>
    <w:rsid w:val="004E52B6"/>
    <w:rsid w:val="004E53E9"/>
    <w:rsid w:val="004E565A"/>
    <w:rsid w:val="004E5F2E"/>
    <w:rsid w:val="004E6424"/>
    <w:rsid w:val="004E6426"/>
    <w:rsid w:val="004E657B"/>
    <w:rsid w:val="004E6F7C"/>
    <w:rsid w:val="004E7C88"/>
    <w:rsid w:val="004E7CCE"/>
    <w:rsid w:val="004E7F3B"/>
    <w:rsid w:val="004F049C"/>
    <w:rsid w:val="004F07F4"/>
    <w:rsid w:val="004F091D"/>
    <w:rsid w:val="004F0A66"/>
    <w:rsid w:val="004F0B98"/>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0CB"/>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4C7A"/>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C96"/>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A94"/>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2FD"/>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49C"/>
    <w:rsid w:val="005E16C9"/>
    <w:rsid w:val="005E1961"/>
    <w:rsid w:val="005E2204"/>
    <w:rsid w:val="005E25C1"/>
    <w:rsid w:val="005E2661"/>
    <w:rsid w:val="005E3167"/>
    <w:rsid w:val="005E36CC"/>
    <w:rsid w:val="005E3A33"/>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7B0"/>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A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59C"/>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677"/>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ACF"/>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AB5"/>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2CF"/>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7A9"/>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0BE"/>
    <w:rsid w:val="007F4249"/>
    <w:rsid w:val="007F4643"/>
    <w:rsid w:val="007F52F1"/>
    <w:rsid w:val="007F5B9D"/>
    <w:rsid w:val="007F5E2A"/>
    <w:rsid w:val="007F66D7"/>
    <w:rsid w:val="007F68B8"/>
    <w:rsid w:val="007F6C62"/>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5C76"/>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5E40"/>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018"/>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2D14"/>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17B"/>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49F"/>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485"/>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A8D"/>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816"/>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2C2A"/>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AF7993"/>
    <w:rsid w:val="00B00433"/>
    <w:rsid w:val="00B00AFA"/>
    <w:rsid w:val="00B017D8"/>
    <w:rsid w:val="00B01A56"/>
    <w:rsid w:val="00B01E99"/>
    <w:rsid w:val="00B025A5"/>
    <w:rsid w:val="00B0383E"/>
    <w:rsid w:val="00B03852"/>
    <w:rsid w:val="00B03B76"/>
    <w:rsid w:val="00B03C53"/>
    <w:rsid w:val="00B03D71"/>
    <w:rsid w:val="00B043A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8D9"/>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227"/>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19"/>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835"/>
    <w:rsid w:val="00B82A0A"/>
    <w:rsid w:val="00B82EA0"/>
    <w:rsid w:val="00B83024"/>
    <w:rsid w:val="00B836F9"/>
    <w:rsid w:val="00B83743"/>
    <w:rsid w:val="00B8374F"/>
    <w:rsid w:val="00B83837"/>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D69"/>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ABF"/>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89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4767A"/>
    <w:rsid w:val="00C50618"/>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2ED"/>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103"/>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1FF"/>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88F"/>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6C7"/>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5FA0"/>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4C"/>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4EA4"/>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10D"/>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B4D"/>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43"/>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87E"/>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B33"/>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4EB"/>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83B"/>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2D"/>
    <w:rsid w:val="00F56FD2"/>
    <w:rsid w:val="00F57133"/>
    <w:rsid w:val="00F5713F"/>
    <w:rsid w:val="00F57931"/>
    <w:rsid w:val="00F601EA"/>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1F0F"/>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622B"/>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BB3"/>
    <w:rsid w:val="00FC5DF3"/>
    <w:rsid w:val="00FC5F6D"/>
    <w:rsid w:val="00FC6457"/>
    <w:rsid w:val="00FC66C1"/>
    <w:rsid w:val="00FC6703"/>
    <w:rsid w:val="00FC6BA8"/>
    <w:rsid w:val="00FC7161"/>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1B9A"/>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style="mso-position-horizontal-relative:page;mso-position-vertical-relative:page" stroke="f">
      <v:stroke on="f"/>
      <o:colormru v:ext="edit" colors="white"/>
    </o:shapedefaults>
    <o:shapelayout v:ext="edit">
      <o:idmap v:ext="edit" data="1"/>
    </o:shapelayout>
  </w:shapeDefaults>
  <w:decimalSymbol w:val="."/>
  <w:listSeparator w:val=","/>
  <w14:docId w14:val="02322ADF"/>
  <w15:docId w15:val="{55192C30-971D-4A83-A411-BED7AE805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Autospacing="0" w:afterLines="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iPriority w:val="99"/>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BA4D69"/>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BA4D69"/>
    <w:pPr>
      <w:spacing w:after="113"/>
    </w:pPr>
    <w:rPr>
      <w:rFonts w:ascii="Calibri" w:hAnsi="Calibri"/>
      <w:color w:val="auto"/>
      <w:sz w:val="22"/>
      <w:szCs w:val="24"/>
      <w:lang w:eastAsia="en-US"/>
    </w:rPr>
  </w:style>
  <w:style w:type="paragraph" w:customStyle="1" w:styleId="Bullet">
    <w:name w:val="_Bullet"/>
    <w:link w:val="BulletChar"/>
    <w:qFormat/>
    <w:rsid w:val="00BA4D69"/>
    <w:pPr>
      <w:numPr>
        <w:numId w:val="43"/>
      </w:numPr>
      <w:spacing w:after="113" w:line="220" w:lineRule="atLeast"/>
    </w:pPr>
    <w:rPr>
      <w:rFonts w:ascii="Calibri" w:hAnsi="Calibri"/>
      <w:color w:val="auto"/>
      <w:sz w:val="22"/>
      <w:szCs w:val="24"/>
      <w:lang w:eastAsia="en-US"/>
    </w:rPr>
  </w:style>
  <w:style w:type="character" w:customStyle="1" w:styleId="BulletChar">
    <w:name w:val="_Bullet Char"/>
    <w:link w:val="Bullet"/>
    <w:rsid w:val="00BA4D69"/>
    <w:rPr>
      <w:rFonts w:ascii="Calibri" w:hAnsi="Calibri"/>
      <w:color w:val="auto"/>
      <w:sz w:val="22"/>
      <w:szCs w:val="24"/>
      <w:lang w:eastAsia="en-US"/>
    </w:rPr>
  </w:style>
  <w:style w:type="character" w:customStyle="1" w:styleId="UnresolvedMention1">
    <w:name w:val="Unresolved Mention1"/>
    <w:basedOn w:val="DefaultParagraphFont"/>
    <w:uiPriority w:val="99"/>
    <w:semiHidden/>
    <w:unhideWhenUsed/>
    <w:rsid w:val="00FF1B9A"/>
    <w:rPr>
      <w:color w:val="808080"/>
      <w:shd w:val="clear" w:color="auto" w:fill="E6E6E6"/>
    </w:rPr>
  </w:style>
  <w:style w:type="paragraph" w:customStyle="1" w:styleId="DTPLIbodycopy">
    <w:name w:val="DTPLI body copy"/>
    <w:basedOn w:val="Normal"/>
    <w:rsid w:val="00D3714C"/>
    <w:pPr>
      <w:spacing w:line="240" w:lineRule="auto"/>
    </w:pPr>
    <w:rPr>
      <w:rFonts w:ascii="Calibri" w:hAnsi="Calibri" w:cs="Tahoma"/>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82151528">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necc.gov.au/" TargetMode="External"/><Relationship Id="rId13" Type="http://schemas.openxmlformats.org/officeDocument/2006/relationships/hyperlink" Target="mailto:customer.service@delwp.vic.gov.a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yperlink" Target="http://www.propertyandlandtitles.vic.gov.au/contact-u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tpli.vic.gov.au/property-and-land-titles/contact-u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pertyandlandtitles.vic.gov.au/contact-u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elwp.vic.gov.au" TargetMode="External"/><Relationship Id="rId23" Type="http://schemas.openxmlformats.org/officeDocument/2006/relationships/footer" Target="footer3.xml"/><Relationship Id="rId10" Type="http://schemas.openxmlformats.org/officeDocument/2006/relationships/hyperlink" Target="http://www.dtpli.vic.gov.au/property-and-land-titles/contact-u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propertyandlandtitles.vic.gov.au/forms-guides-and-fees" TargetMode="External"/><Relationship Id="rId14" Type="http://schemas.openxmlformats.org/officeDocument/2006/relationships/hyperlink" Target="http://www.relayservice.com.au" TargetMode="External"/><Relationship Id="rId22"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FDA666-9C0E-41FB-B61A-F6FBA350F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1405</Words>
  <Characters>8014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Annette S Binger (DELWP)</dc:creator>
  <cp:lastModifiedBy>Amy C Walker (DELWP)</cp:lastModifiedBy>
  <cp:revision>3</cp:revision>
  <cp:lastPrinted>2019-04-15T00:56:00Z</cp:lastPrinted>
  <dcterms:created xsi:type="dcterms:W3CDTF">2019-04-15T01:03:00Z</dcterms:created>
  <dcterms:modified xsi:type="dcterms:W3CDTF">2019-04-15T01:13:00Z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