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B1339F" w:rsidRDefault="00B1339F" w:rsidP="009B1003">
            <w:pPr>
              <w:pStyle w:val="Title"/>
            </w:pPr>
            <w:r>
              <w:t>Land Use Victoria</w:t>
            </w:r>
          </w:p>
          <w:p w:rsidR="00B1339F" w:rsidRPr="008A3E38" w:rsidRDefault="00B1339F" w:rsidP="009B1003">
            <w:pPr>
              <w:pStyle w:val="Title"/>
              <w:rPr>
                <w:szCs w:val="40"/>
              </w:rPr>
            </w:pPr>
            <w:r w:rsidRPr="008A3E38">
              <w:rPr>
                <w:szCs w:val="40"/>
              </w:rPr>
              <w:t>Customer Information Bulletin 178</w:t>
            </w:r>
          </w:p>
          <w:p w:rsidR="009B1003" w:rsidRPr="009B1003" w:rsidRDefault="00B1339F" w:rsidP="009B1003">
            <w:pPr>
              <w:pStyle w:val="Title"/>
            </w:pPr>
            <w:r w:rsidRPr="008A3E38">
              <w:rPr>
                <w:szCs w:val="40"/>
              </w:rPr>
              <w:t>May 2018</w:t>
            </w:r>
          </w:p>
        </w:tc>
      </w:tr>
      <w:tr w:rsidR="00975ED3" w:rsidTr="003F46E9">
        <w:trPr>
          <w:trHeight w:val="1247"/>
        </w:trPr>
        <w:tc>
          <w:tcPr>
            <w:tcW w:w="7761" w:type="dxa"/>
            <w:vAlign w:val="center"/>
          </w:tcPr>
          <w:p w:rsidR="009B1003" w:rsidRPr="009B1003" w:rsidRDefault="009B1003" w:rsidP="009B1003">
            <w:pPr>
              <w:pStyle w:val="Subtitle"/>
            </w:pPr>
          </w:p>
        </w:tc>
      </w:tr>
    </w:tbl>
    <w:p w:rsidR="00806AB6" w:rsidRDefault="00806AB6" w:rsidP="00307C36"/>
    <w:p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rsidR="00B1339F" w:rsidRPr="00B1339F" w:rsidRDefault="00B1339F" w:rsidP="00B1339F">
      <w:pPr>
        <w:pStyle w:val="Heading1"/>
        <w:rPr>
          <w:rFonts w:eastAsia="Calibri"/>
        </w:rPr>
      </w:pPr>
      <w:bookmarkStart w:id="0" w:name="Here"/>
      <w:bookmarkEnd w:id="0"/>
      <w:r w:rsidRPr="00B1339F">
        <w:rPr>
          <w:rFonts w:eastAsia="Calibri"/>
        </w:rPr>
        <w:t xml:space="preserve">New </w:t>
      </w:r>
      <w:proofErr w:type="spellStart"/>
      <w:r w:rsidRPr="00B1339F">
        <w:rPr>
          <w:rFonts w:eastAsia="Calibri"/>
        </w:rPr>
        <w:t>lodgment</w:t>
      </w:r>
      <w:proofErr w:type="spellEnd"/>
      <w:r w:rsidRPr="00B1339F">
        <w:rPr>
          <w:rFonts w:eastAsia="Calibri"/>
        </w:rPr>
        <w:t xml:space="preserve"> and search fees from 1 July 2018</w:t>
      </w:r>
    </w:p>
    <w:p w:rsidR="00B1339F" w:rsidRPr="0052767E" w:rsidRDefault="00B1339F" w:rsidP="00B1339F">
      <w:pPr>
        <w:pStyle w:val="BodyText"/>
      </w:pPr>
      <w:r w:rsidRPr="0052767E">
        <w:t>From 1 July 2018, fees for lodging transactions at Land Use Victoria will change. Search fees will also change.</w:t>
      </w:r>
      <w:r w:rsidR="00D52100">
        <w:t xml:space="preserve"> </w:t>
      </w:r>
    </w:p>
    <w:p w:rsidR="00B1339F" w:rsidRPr="0052767E" w:rsidRDefault="00B1339F" w:rsidP="00B1339F">
      <w:pPr>
        <w:pStyle w:val="BodyText"/>
      </w:pPr>
      <w:r w:rsidRPr="0052767E">
        <w:t>The value of a fee unit, as announced by the Treasurer, is $14.45.</w:t>
      </w:r>
    </w:p>
    <w:p w:rsidR="00B1339F" w:rsidRPr="0052767E" w:rsidRDefault="00B1339F" w:rsidP="00B1339F">
      <w:pPr>
        <w:pStyle w:val="BodyText"/>
      </w:pPr>
      <w:r w:rsidRPr="0052767E">
        <w:t>Comprehensive fee listings and fee calculators will be published soon.</w:t>
      </w:r>
      <w:r w:rsidR="00D52100">
        <w:t xml:space="preserve"> </w:t>
      </w:r>
    </w:p>
    <w:p w:rsidR="00B1339F" w:rsidRPr="0052767E" w:rsidRDefault="00B1339F" w:rsidP="00B1339F">
      <w:pPr>
        <w:pStyle w:val="BodyText"/>
      </w:pPr>
      <w:r w:rsidRPr="0052767E">
        <w:t xml:space="preserve">A summary of the most common fees </w:t>
      </w:r>
      <w:r>
        <w:t xml:space="preserve">for lodging transactions </w:t>
      </w:r>
      <w:r w:rsidRPr="0052767E">
        <w:t>follows:</w:t>
      </w:r>
    </w:p>
    <w:p w:rsidR="00B1339F" w:rsidRPr="0052767E" w:rsidRDefault="00B1339F" w:rsidP="00B1339F">
      <w:pPr>
        <w:pStyle w:val="Heading2"/>
      </w:pPr>
      <w:r w:rsidRPr="0052767E">
        <w:t>Transfer of Land Act 1958</w:t>
      </w:r>
    </w:p>
    <w:p w:rsidR="00B1339F" w:rsidRPr="0052767E" w:rsidRDefault="00B1339F" w:rsidP="00B1339F">
      <w:pPr>
        <w:pStyle w:val="Heading3"/>
      </w:pPr>
      <w:r w:rsidRPr="0052767E">
        <w:t>Paper transactions</w:t>
      </w:r>
    </w:p>
    <w:p w:rsidR="00B1339F" w:rsidRPr="0052767E" w:rsidRDefault="00B1339F" w:rsidP="00E43DAC">
      <w:pPr>
        <w:pStyle w:val="BodyText"/>
      </w:pPr>
      <w:r w:rsidRPr="0052767E">
        <w:t>Fees for paper transactions from 1 July 2018 will be:</w:t>
      </w:r>
    </w:p>
    <w:p w:rsidR="00B1339F" w:rsidRPr="0052767E" w:rsidRDefault="00B1339F" w:rsidP="00E43DAC">
      <w:pPr>
        <w:pStyle w:val="BodyText"/>
      </w:pPr>
      <w:r w:rsidRPr="0052767E">
        <w:t>Discharge of mortgage</w:t>
      </w:r>
      <w:r w:rsidRPr="0052767E">
        <w:tab/>
      </w:r>
      <w:r w:rsidR="00E43DAC">
        <w:tab/>
      </w:r>
      <w:r w:rsidRPr="0052767E">
        <w:t>$116.80</w:t>
      </w:r>
      <w:r w:rsidRPr="0052767E">
        <w:br/>
        <w:t xml:space="preserve">Transfer of land </w:t>
      </w:r>
      <w:r w:rsidRPr="0052767E">
        <w:tab/>
      </w:r>
      <w:r w:rsidR="00E43DAC">
        <w:tab/>
      </w:r>
      <w:r w:rsidR="00E43DAC">
        <w:tab/>
      </w:r>
      <w:r w:rsidRPr="0052767E">
        <w:t>$96.10 plus $2.34 per $1000 of consideratio</w:t>
      </w:r>
      <w:r w:rsidR="00E43DAC">
        <w:t xml:space="preserve">n (up to a </w:t>
      </w:r>
      <w:r w:rsidRPr="0052767E">
        <w:t>consideration of $1.5m)</w:t>
      </w:r>
      <w:r w:rsidRPr="0052767E">
        <w:br/>
        <w:t>Mortgage</w:t>
      </w:r>
      <w:r w:rsidRPr="0052767E">
        <w:tab/>
      </w:r>
      <w:r w:rsidR="00E43DAC">
        <w:tab/>
      </w:r>
      <w:r w:rsidR="00E43DAC">
        <w:tab/>
      </w:r>
      <w:r w:rsidR="00E43DAC">
        <w:tab/>
      </w:r>
      <w:r w:rsidRPr="0052767E">
        <w:t>$116.80</w:t>
      </w:r>
      <w:r w:rsidRPr="0052767E">
        <w:br/>
        <w:t>Caveat</w:t>
      </w:r>
      <w:r w:rsidRPr="0052767E">
        <w:tab/>
      </w:r>
      <w:r w:rsidR="00E43DAC">
        <w:tab/>
      </w:r>
      <w:r w:rsidR="00E43DAC">
        <w:tab/>
      </w:r>
      <w:r w:rsidR="00E43DAC">
        <w:tab/>
      </w:r>
      <w:r w:rsidRPr="0052767E">
        <w:t>$48.00</w:t>
      </w:r>
      <w:r w:rsidRPr="0052767E">
        <w:br/>
        <w:t>Transfer (non-monetary)</w:t>
      </w:r>
      <w:r w:rsidRPr="0052767E">
        <w:tab/>
      </w:r>
      <w:r w:rsidR="00E43DAC">
        <w:tab/>
      </w:r>
      <w:r w:rsidRPr="0052767E">
        <w:t>$96.10</w:t>
      </w:r>
      <w:r w:rsidRPr="0052767E">
        <w:br/>
        <w:t>Withdrawal of caveat</w:t>
      </w:r>
      <w:r w:rsidRPr="0052767E">
        <w:tab/>
      </w:r>
      <w:r w:rsidR="00E43DAC">
        <w:tab/>
      </w:r>
      <w:r w:rsidRPr="0052767E">
        <w:t>$48.00</w:t>
      </w:r>
      <w:r w:rsidRPr="0052767E">
        <w:br/>
      </w:r>
      <w:bookmarkStart w:id="1" w:name="_Hlk514058029"/>
      <w:r w:rsidRPr="0052767E">
        <w:t xml:space="preserve">Transmission application </w:t>
      </w:r>
      <w:r w:rsidR="00E43DAC">
        <w:tab/>
      </w:r>
      <w:r w:rsidRPr="0052767E">
        <w:tab/>
      </w:r>
      <w:r w:rsidR="00E43DAC">
        <w:t>$48.00</w:t>
      </w:r>
      <w:r w:rsidR="00E43DAC">
        <w:br/>
        <w:t>Survivorship application</w:t>
      </w:r>
      <w:r w:rsidRPr="0052767E">
        <w:tab/>
      </w:r>
      <w:r w:rsidR="00E43DAC">
        <w:tab/>
      </w:r>
      <w:r w:rsidRPr="0052767E">
        <w:t>$48.00</w:t>
      </w:r>
    </w:p>
    <w:bookmarkEnd w:id="1"/>
    <w:p w:rsidR="00B1339F" w:rsidRPr="0052767E" w:rsidRDefault="00B1339F" w:rsidP="00B1339F">
      <w:pPr>
        <w:keepNext/>
        <w:keepLines/>
        <w:numPr>
          <w:ilvl w:val="2"/>
          <w:numId w:val="7"/>
        </w:numPr>
        <w:tabs>
          <w:tab w:val="left" w:pos="1418"/>
          <w:tab w:val="left" w:pos="1701"/>
          <w:tab w:val="left" w:pos="1985"/>
        </w:tabs>
        <w:spacing w:before="200" w:after="100" w:line="240" w:lineRule="exact"/>
        <w:outlineLvl w:val="2"/>
        <w:rPr>
          <w:b/>
          <w:color w:val="494847"/>
        </w:rPr>
      </w:pPr>
      <w:r w:rsidRPr="0052767E">
        <w:rPr>
          <w:b/>
          <w:color w:val="494847"/>
        </w:rPr>
        <w:t>Electronic transactions</w:t>
      </w:r>
    </w:p>
    <w:p w:rsidR="00B1339F" w:rsidRPr="0052767E" w:rsidRDefault="00B1339F" w:rsidP="00E43DAC">
      <w:pPr>
        <w:pStyle w:val="BodyText"/>
      </w:pPr>
      <w:r w:rsidRPr="0052767E">
        <w:t>Fees for electronic transactions from 1 July 2018 will be:</w:t>
      </w:r>
    </w:p>
    <w:p w:rsidR="00B1339F" w:rsidRPr="0052767E" w:rsidRDefault="00B1339F" w:rsidP="00E43DAC">
      <w:pPr>
        <w:pStyle w:val="BodyText"/>
      </w:pPr>
      <w:r w:rsidRPr="0052767E">
        <w:t xml:space="preserve">Discharge of mortgage </w:t>
      </w:r>
      <w:r w:rsidRPr="0052767E">
        <w:tab/>
      </w:r>
      <w:r w:rsidR="00E43DAC">
        <w:tab/>
      </w:r>
      <w:r w:rsidRPr="0052767E">
        <w:t>$108.10</w:t>
      </w:r>
      <w:r w:rsidRPr="0052767E">
        <w:br/>
        <w:t xml:space="preserve">Transfer of land </w:t>
      </w:r>
      <w:r w:rsidRPr="0052767E">
        <w:tab/>
      </w:r>
      <w:r w:rsidR="00E43DAC">
        <w:tab/>
      </w:r>
      <w:r w:rsidR="00E43DAC">
        <w:tab/>
      </w:r>
      <w:r w:rsidRPr="0052767E">
        <w:t>$87.30 plus $2.34 per $1000 of consideration (up to a consideration of $1.5m)</w:t>
      </w:r>
      <w:r w:rsidRPr="0052767E">
        <w:br/>
        <w:t>Mortgage</w:t>
      </w:r>
      <w:r w:rsidRPr="0052767E">
        <w:tab/>
      </w:r>
      <w:r w:rsidR="00E43DAC">
        <w:tab/>
      </w:r>
      <w:r w:rsidR="00E43DAC">
        <w:tab/>
      </w:r>
      <w:r w:rsidR="00E43DAC">
        <w:tab/>
      </w:r>
      <w:r w:rsidRPr="0052767E">
        <w:t>$108.10</w:t>
      </w:r>
      <w:r w:rsidRPr="0052767E">
        <w:br/>
        <w:t xml:space="preserve">Caveat </w:t>
      </w:r>
      <w:r w:rsidRPr="0052767E">
        <w:tab/>
      </w:r>
      <w:r w:rsidR="00E43DAC">
        <w:tab/>
      </w:r>
      <w:r w:rsidR="00E43DAC">
        <w:tab/>
      </w:r>
      <w:r w:rsidR="00E43DAC">
        <w:tab/>
      </w:r>
      <w:r w:rsidRPr="0052767E">
        <w:t>$39.20</w:t>
      </w:r>
      <w:r w:rsidRPr="0052767E">
        <w:br/>
        <w:t>Transfer (non-monetary)</w:t>
      </w:r>
      <w:r w:rsidRPr="0052767E">
        <w:tab/>
      </w:r>
      <w:r w:rsidR="00E43DAC">
        <w:tab/>
      </w:r>
      <w:r w:rsidRPr="0052767E">
        <w:t>$87.30</w:t>
      </w:r>
      <w:r w:rsidRPr="0052767E">
        <w:br/>
        <w:t>Withdrawal of caveat</w:t>
      </w:r>
      <w:r w:rsidRPr="0052767E">
        <w:tab/>
      </w:r>
      <w:r w:rsidR="00E43DAC">
        <w:tab/>
      </w:r>
      <w:r w:rsidRPr="0052767E">
        <w:t>$39.20</w:t>
      </w:r>
      <w:r w:rsidR="00E43DAC">
        <w:br/>
      </w:r>
      <w:r w:rsidRPr="008168CC">
        <w:t>Transmission appl</w:t>
      </w:r>
      <w:r w:rsidR="00E43DAC">
        <w:t>ication</w:t>
      </w:r>
      <w:r w:rsidR="00E43DAC">
        <w:tab/>
      </w:r>
      <w:r w:rsidRPr="008168CC">
        <w:tab/>
        <w:t>$</w:t>
      </w:r>
      <w:r>
        <w:t>39.20</w:t>
      </w:r>
      <w:r w:rsidR="00E43DAC">
        <w:br/>
        <w:t>Survivorship application</w:t>
      </w:r>
      <w:r w:rsidR="00E43DAC">
        <w:tab/>
      </w:r>
      <w:r w:rsidR="00E43DAC">
        <w:tab/>
      </w:r>
      <w:r w:rsidRPr="008168CC">
        <w:t>$</w:t>
      </w:r>
      <w:r>
        <w:t>39.20</w:t>
      </w:r>
      <w:r w:rsidR="00E43DAC">
        <w:br/>
      </w:r>
      <w:r w:rsidRPr="0052767E">
        <w:t>Priority notice</w:t>
      </w:r>
      <w:r w:rsidRPr="0052767E">
        <w:tab/>
      </w:r>
      <w:r w:rsidR="00E43DAC">
        <w:tab/>
      </w:r>
      <w:r w:rsidR="00E43DAC">
        <w:tab/>
      </w:r>
      <w:r w:rsidRPr="0052767E">
        <w:t>$29.60</w:t>
      </w:r>
      <w:r w:rsidR="00E43DAC">
        <w:br/>
      </w:r>
      <w:r w:rsidRPr="0052767E">
        <w:t>Withdrawal of priority notice</w:t>
      </w:r>
      <w:r w:rsidRPr="0052767E">
        <w:tab/>
        <w:t>$29.60</w:t>
      </w:r>
    </w:p>
    <w:p w:rsidR="00B1339F" w:rsidRPr="00E43DAC" w:rsidRDefault="00B1339F" w:rsidP="00E43DAC">
      <w:pPr>
        <w:pStyle w:val="Heading3"/>
      </w:pPr>
      <w:r w:rsidRPr="00E43DAC">
        <w:t>Subdivision Act 1988</w:t>
      </w:r>
    </w:p>
    <w:p w:rsidR="00B1339F" w:rsidRPr="00E43DAC" w:rsidRDefault="00B1339F" w:rsidP="00E43DAC">
      <w:pPr>
        <w:pStyle w:val="BodyText"/>
        <w:ind w:left="2835" w:hanging="2835"/>
      </w:pPr>
      <w:r w:rsidRPr="00E43DAC">
        <w:t xml:space="preserve">Plan of subdivision </w:t>
      </w:r>
      <w:r w:rsidRPr="00E43DAC">
        <w:tab/>
      </w:r>
      <w:r w:rsidR="00E43DAC">
        <w:tab/>
      </w:r>
      <w:r w:rsidRPr="00E43DAC">
        <w:t>$605.20 plus $187.10 per parcel (a parcel is each lot, road, reserve or common property created by the plan)</w:t>
      </w:r>
    </w:p>
    <w:p w:rsidR="00B1339F" w:rsidRPr="00E751D7" w:rsidRDefault="00B1339F" w:rsidP="00B1339F">
      <w:pPr>
        <w:rPr>
          <w:rFonts w:ascii="Calibri" w:hAnsi="Calibri"/>
          <w:color w:val="auto"/>
          <w:sz w:val="22"/>
          <w:szCs w:val="24"/>
        </w:rPr>
      </w:pPr>
      <w:r w:rsidRPr="0052767E">
        <w:br w:type="page"/>
      </w:r>
    </w:p>
    <w:p w:rsidR="00B1339F" w:rsidRPr="00081DEE" w:rsidRDefault="00B1339F" w:rsidP="00B1339F">
      <w:pPr>
        <w:pStyle w:val="Heading1"/>
        <w:numPr>
          <w:ilvl w:val="0"/>
          <w:numId w:val="0"/>
        </w:numPr>
      </w:pPr>
      <w:r>
        <w:lastRenderedPageBreak/>
        <w:t xml:space="preserve">Naming easements in plans </w:t>
      </w:r>
    </w:p>
    <w:p w:rsidR="00B1339F" w:rsidRPr="00E751D7" w:rsidRDefault="00B1339F" w:rsidP="00B1339F">
      <w:pPr>
        <w:pStyle w:val="BodyText"/>
      </w:pPr>
      <w:r w:rsidRPr="00E751D7">
        <w:t xml:space="preserve">It is not acceptable to name easements shown on a plan under the </w:t>
      </w:r>
      <w:r w:rsidRPr="00E751D7">
        <w:rPr>
          <w:i/>
        </w:rPr>
        <w:t>Subdivision Act 1988</w:t>
      </w:r>
      <w:r w:rsidR="00D52100">
        <w:t xml:space="preserve">. </w:t>
      </w:r>
      <w:r w:rsidRPr="00E751D7">
        <w:t xml:space="preserve">The plan should </w:t>
      </w:r>
      <w:r w:rsidR="00D52100">
        <w:t xml:space="preserve">only </w:t>
      </w:r>
      <w:r w:rsidRPr="00E751D7">
        <w:t>identify the location of any easement and its purpose.</w:t>
      </w:r>
      <w:r w:rsidR="00D52100">
        <w:t xml:space="preserve"> </w:t>
      </w:r>
    </w:p>
    <w:p w:rsidR="00B1339F" w:rsidRPr="00E751D7" w:rsidRDefault="00B1339F" w:rsidP="00B1339F">
      <w:pPr>
        <w:pStyle w:val="BodyText"/>
      </w:pPr>
      <w:r w:rsidRPr="00E751D7">
        <w:t>On registration, a plan becomes the diagram location for the land in the plan and is the authority for the status of any parcel or easement information.</w:t>
      </w:r>
      <w:r w:rsidR="00D52100">
        <w:t xml:space="preserve"> </w:t>
      </w:r>
      <w:r w:rsidRPr="00E751D7">
        <w:t xml:space="preserve">Introducing road names over easements shown on a plan may create ambiguity </w:t>
      </w:r>
      <w:r w:rsidR="00D52100">
        <w:t xml:space="preserve">about </w:t>
      </w:r>
      <w:r w:rsidRPr="00E751D7">
        <w:t>the land</w:t>
      </w:r>
      <w:r w:rsidR="00D52100">
        <w:t>’s</w:t>
      </w:r>
      <w:r w:rsidRPr="00E751D7">
        <w:t xml:space="preserve"> status. </w:t>
      </w:r>
    </w:p>
    <w:p w:rsidR="00B1339F" w:rsidRPr="00E751D7" w:rsidRDefault="00B1339F" w:rsidP="00B1339F">
      <w:pPr>
        <w:pStyle w:val="BodyText"/>
      </w:pPr>
      <w:r w:rsidRPr="00E751D7">
        <w:rPr>
          <w:rFonts w:cs="Arial"/>
          <w:lang w:val="en"/>
        </w:rPr>
        <w:t>The Office of Geographic Names (OGN)</w:t>
      </w:r>
      <w:r w:rsidR="00D52100">
        <w:rPr>
          <w:rFonts w:cs="Arial"/>
          <w:lang w:val="en"/>
        </w:rPr>
        <w:t>,</w:t>
      </w:r>
      <w:r w:rsidRPr="00E751D7">
        <w:rPr>
          <w:rFonts w:cs="Arial"/>
          <w:lang w:val="en"/>
        </w:rPr>
        <w:t xml:space="preserve"> led by the Registrar of Geographic Names, oversees the naming or renaming of roads, features and localities in Victoria, and maintains VICNAMES – the Register of Geographic Names.</w:t>
      </w:r>
      <w:r w:rsidR="00D52100">
        <w:rPr>
          <w:rFonts w:cs="Arial"/>
          <w:lang w:val="en"/>
        </w:rPr>
        <w:t xml:space="preserve"> </w:t>
      </w:r>
    </w:p>
    <w:p w:rsidR="00B1339F" w:rsidRPr="00E43DAC" w:rsidRDefault="00D52100" w:rsidP="00E43DAC">
      <w:pPr>
        <w:pStyle w:val="BodyText"/>
      </w:pPr>
      <w:r>
        <w:t xml:space="preserve">The process to name an easement is through </w:t>
      </w:r>
      <w:r w:rsidR="00B1339F" w:rsidRPr="00E751D7">
        <w:t>the Notification for Editing Service (</w:t>
      </w:r>
      <w:hyperlink r:id="rId14" w:history="1">
        <w:r w:rsidR="00B1339F" w:rsidRPr="00E751D7">
          <w:rPr>
            <w:rStyle w:val="Hyperlink"/>
            <w:rFonts w:cs="Helv"/>
            <w:sz w:val="22"/>
            <w:szCs w:val="22"/>
          </w:rPr>
          <w:t>NES</w:t>
        </w:r>
      </w:hyperlink>
      <w:r w:rsidR="003E1261">
        <w:rPr>
          <w:rStyle w:val="Hyperlink"/>
          <w:rFonts w:cs="Helv"/>
          <w:sz w:val="22"/>
          <w:szCs w:val="22"/>
        </w:rPr>
        <w:t>)</w:t>
      </w:r>
      <w:r w:rsidR="00B1339F" w:rsidRPr="00E751D7">
        <w:t xml:space="preserve">, </w:t>
      </w:r>
      <w:r>
        <w:t>which is</w:t>
      </w:r>
      <w:r w:rsidRPr="00E751D7">
        <w:t xml:space="preserve"> </w:t>
      </w:r>
      <w:r w:rsidR="00B1339F" w:rsidRPr="00E751D7">
        <w:t xml:space="preserve">soon to be known as ‘VES’. If residents are unaffected then surveyors </w:t>
      </w:r>
      <w:r>
        <w:t xml:space="preserve">will </w:t>
      </w:r>
      <w:r w:rsidR="00B1339F" w:rsidRPr="00E751D7">
        <w:t xml:space="preserve">work with </w:t>
      </w:r>
      <w:r>
        <w:t>the c</w:t>
      </w:r>
      <w:r w:rsidRPr="00E751D7">
        <w:t xml:space="preserve">ouncil </w:t>
      </w:r>
      <w:r w:rsidR="00B1339F" w:rsidRPr="00E751D7">
        <w:t xml:space="preserve">to agree upon a name, seek </w:t>
      </w:r>
      <w:r w:rsidR="00792FE4">
        <w:t>c</w:t>
      </w:r>
      <w:r w:rsidR="00792FE4" w:rsidRPr="00E751D7">
        <w:t xml:space="preserve">ouncil </w:t>
      </w:r>
      <w:r w:rsidR="00B1339F" w:rsidRPr="00E751D7">
        <w:t xml:space="preserve">approval and then submit a NES </w:t>
      </w:r>
      <w:r w:rsidR="00792FE4">
        <w:t>change request</w:t>
      </w:r>
      <w:r w:rsidR="00792FE4" w:rsidRPr="00E751D7">
        <w:t xml:space="preserve"> </w:t>
      </w:r>
      <w:r w:rsidR="00B1339F" w:rsidRPr="00E751D7">
        <w:t>to have the name gazetted and registered. The name would then be captured in VICNAMES</w:t>
      </w:r>
      <w:r w:rsidR="00792FE4">
        <w:t xml:space="preserve"> and </w:t>
      </w:r>
      <w:proofErr w:type="spellStart"/>
      <w:r w:rsidR="00B1339F" w:rsidRPr="00E751D7">
        <w:t>Vicmap</w:t>
      </w:r>
      <w:proofErr w:type="spellEnd"/>
      <w:r w:rsidR="00B1339F" w:rsidRPr="00E751D7">
        <w:t>.</w:t>
      </w:r>
      <w:r>
        <w:t xml:space="preserve"> </w:t>
      </w:r>
      <w:r w:rsidR="00B1339F" w:rsidRPr="00E751D7">
        <w:t xml:space="preserve">If residents are directly affected, </w:t>
      </w:r>
      <w:r w:rsidR="00792FE4">
        <w:t>c</w:t>
      </w:r>
      <w:r w:rsidR="00792FE4" w:rsidRPr="00E751D7">
        <w:t xml:space="preserve">ouncil </w:t>
      </w:r>
      <w:r w:rsidR="00B1339F" w:rsidRPr="00E751D7">
        <w:t>would need to consult residents prior to approving the name.</w:t>
      </w:r>
    </w:p>
    <w:p w:rsidR="00B1339F" w:rsidRPr="0052767E" w:rsidRDefault="00B1339F" w:rsidP="00B1339F">
      <w:pPr>
        <w:pStyle w:val="Heading1"/>
        <w:numPr>
          <w:ilvl w:val="0"/>
          <w:numId w:val="0"/>
        </w:numPr>
      </w:pPr>
      <w:r w:rsidRPr="0052767E">
        <w:t>Plantation Licence Register</w:t>
      </w:r>
    </w:p>
    <w:p w:rsidR="00B1339F" w:rsidRDefault="00B1339F" w:rsidP="00B1339F">
      <w:pPr>
        <w:pStyle w:val="BodyText"/>
      </w:pPr>
      <w:r>
        <w:t>On 4 April</w:t>
      </w:r>
      <w:r w:rsidR="00792FE4">
        <w:t xml:space="preserve"> 2018</w:t>
      </w:r>
      <w:r>
        <w:t>, data held in the Plan</w:t>
      </w:r>
      <w:r w:rsidRPr="00471F47">
        <w:t>ta</w:t>
      </w:r>
      <w:r>
        <w:t>t</w:t>
      </w:r>
      <w:r w:rsidRPr="00471F47">
        <w:t xml:space="preserve">ion Licence Register </w:t>
      </w:r>
      <w:r>
        <w:t xml:space="preserve">was </w:t>
      </w:r>
      <w:r w:rsidRPr="00471F47">
        <w:t>migrated</w:t>
      </w:r>
      <w:r>
        <w:t xml:space="preserve"> to the relevant Crown Folio held in the Victorian Online Titles System (VOTS).</w:t>
      </w:r>
      <w:r w:rsidR="00D52100">
        <w:t xml:space="preserve"> </w:t>
      </w:r>
    </w:p>
    <w:p w:rsidR="00B1339F" w:rsidRDefault="00B1339F" w:rsidP="00B1339F">
      <w:pPr>
        <w:pStyle w:val="BodyText"/>
      </w:pPr>
      <w:r>
        <w:t>The licences and all instruments affect</w:t>
      </w:r>
      <w:r w:rsidR="00792FE4">
        <w:t>ing</w:t>
      </w:r>
      <w:r>
        <w:t xml:space="preserve"> licence</w:t>
      </w:r>
      <w:r w:rsidR="00792FE4">
        <w:t>s</w:t>
      </w:r>
      <w:r>
        <w:t xml:space="preserve"> were given a unique number when registered in the Plantation Licence Register. All registered instruments have </w:t>
      </w:r>
      <w:r w:rsidR="001543BE">
        <w:t xml:space="preserve">now </w:t>
      </w:r>
      <w:r>
        <w:t>been allocated a new</w:t>
      </w:r>
      <w:r w:rsidR="00792FE4">
        <w:t xml:space="preserve"> seven</w:t>
      </w:r>
      <w:r w:rsidR="003E1261">
        <w:t>-</w:t>
      </w:r>
      <w:r>
        <w:t>character number, c</w:t>
      </w:r>
      <w:r w:rsidR="00E43DAC">
        <w:t xml:space="preserve">ommencing with the letter Y. </w:t>
      </w:r>
      <w:r>
        <w:t>This number will be on each relevant Crown Folio</w:t>
      </w:r>
      <w:r w:rsidR="00792FE4">
        <w:t xml:space="preserve"> and </w:t>
      </w:r>
      <w:r>
        <w:t>endorsed on the folio in the same way instruments are endorsed on freehold folios.</w:t>
      </w:r>
    </w:p>
    <w:p w:rsidR="00B1339F" w:rsidRDefault="00B1339F" w:rsidP="00E43DAC">
      <w:pPr>
        <w:pStyle w:val="BodyText"/>
      </w:pPr>
      <w:r>
        <w:t>The Y dealing number is searchable through LANDATA as a registered instrument number.</w:t>
      </w:r>
    </w:p>
    <w:p w:rsidR="00B1339F" w:rsidRDefault="00B1339F" w:rsidP="00B1339F">
      <w:pPr>
        <w:pStyle w:val="BodyText"/>
      </w:pPr>
      <w:r>
        <w:t>Only instruments that currently affect a C</w:t>
      </w:r>
      <w:r w:rsidR="00E43DAC">
        <w:t xml:space="preserve">rown Folio have been migrated. </w:t>
      </w:r>
      <w:r w:rsidR="003E1261">
        <w:t xml:space="preserve">Previously </w:t>
      </w:r>
      <w:r>
        <w:t>registered instruments are set out in the Crown Folio history report; again, reflecting the process for freehold folios.</w:t>
      </w:r>
    </w:p>
    <w:p w:rsidR="00E43DAC" w:rsidRDefault="00B1339F" w:rsidP="00E43DAC">
      <w:pPr>
        <w:pStyle w:val="BodyText"/>
      </w:pPr>
      <w:r>
        <w:t xml:space="preserve">Any new instrument received for registration will be assigned the next available dealing reference from VOTS. Instrument registration will not incur a fee. However, searches of any Crown Folio or registered instrument will attract fees, identical to those charged </w:t>
      </w:r>
      <w:r w:rsidR="00792FE4">
        <w:t>for</w:t>
      </w:r>
      <w:r>
        <w:t xml:space="preserve"> freehold folios</w:t>
      </w:r>
      <w:r w:rsidR="003E1261">
        <w:t xml:space="preserve"> and </w:t>
      </w:r>
      <w:r>
        <w:t>instruments.</w:t>
      </w:r>
    </w:p>
    <w:p w:rsidR="00B1339F" w:rsidRPr="00E43DAC" w:rsidRDefault="00B1339F" w:rsidP="00E43DAC">
      <w:pPr>
        <w:pStyle w:val="Heading1"/>
      </w:pPr>
      <w:r w:rsidRPr="00F566CE">
        <w:rPr>
          <w:rFonts w:eastAsia="Calibri"/>
        </w:rPr>
        <w:t>Registrar’s requirements for paper conveyancing transactions</w:t>
      </w:r>
      <w:r>
        <w:rPr>
          <w:rFonts w:eastAsia="Calibri"/>
        </w:rPr>
        <w:t xml:space="preserve"> – </w:t>
      </w:r>
      <w:r w:rsidR="00047236">
        <w:rPr>
          <w:rFonts w:eastAsia="Calibri"/>
        </w:rPr>
        <w:t>transfers of land</w:t>
      </w:r>
      <w:r>
        <w:rPr>
          <w:rFonts w:eastAsia="Calibri"/>
        </w:rPr>
        <w:t xml:space="preserve"> and survivorship applications</w:t>
      </w:r>
    </w:p>
    <w:p w:rsidR="00B1339F" w:rsidRPr="00E43DAC" w:rsidRDefault="00B1339F" w:rsidP="00B1339F">
      <w:pPr>
        <w:pStyle w:val="BodyText"/>
        <w:rPr>
          <w:rFonts w:eastAsia="Calibri"/>
          <w:b/>
          <w:bCs/>
        </w:rPr>
      </w:pPr>
      <w:r w:rsidRPr="006733B4">
        <w:rPr>
          <w:rFonts w:eastAsia="Calibri"/>
        </w:rPr>
        <w:t xml:space="preserve">All customers are reminded that since 1 March 2018, transfers of land and survivorship applications must be lodged electronically. This requirement applies when a party is represented by a conveyancer or lawyer who signs the instrument on behalf of their client; or, the party is a conveyancer or lawyer, or </w:t>
      </w:r>
      <w:r>
        <w:rPr>
          <w:rFonts w:eastAsia="Calibri"/>
        </w:rPr>
        <w:t xml:space="preserve">Electronic </w:t>
      </w:r>
      <w:proofErr w:type="spellStart"/>
      <w:r>
        <w:rPr>
          <w:rFonts w:eastAsia="Calibri"/>
        </w:rPr>
        <w:t>Lodgment</w:t>
      </w:r>
      <w:proofErr w:type="spellEnd"/>
      <w:r>
        <w:rPr>
          <w:rFonts w:eastAsia="Calibri"/>
        </w:rPr>
        <w:t xml:space="preserve"> Network [ELN] S</w:t>
      </w:r>
      <w:r w:rsidRPr="006733B4">
        <w:rPr>
          <w:rFonts w:eastAsia="Calibri"/>
        </w:rPr>
        <w:t>ubscriber acting for themselves.</w:t>
      </w:r>
    </w:p>
    <w:p w:rsidR="00B1339F" w:rsidRPr="006733B4" w:rsidRDefault="00B1339F" w:rsidP="00B1339F">
      <w:pPr>
        <w:pStyle w:val="BodyText"/>
        <w:rPr>
          <w:rFonts w:eastAsia="Calibri"/>
        </w:rPr>
      </w:pPr>
      <w:r w:rsidRPr="006733B4">
        <w:rPr>
          <w:rFonts w:eastAsia="Calibri"/>
        </w:rPr>
        <w:t>Under Registrar’s requirement 6.5</w:t>
      </w:r>
      <w:r w:rsidR="00FA1B3A">
        <w:rPr>
          <w:rFonts w:eastAsia="Calibri"/>
        </w:rPr>
        <w:t>,</w:t>
      </w:r>
      <w:r w:rsidRPr="006733B4">
        <w:rPr>
          <w:rFonts w:eastAsia="Calibri"/>
        </w:rPr>
        <w:t xml:space="preserve"> exceptions to lodging using an E</w:t>
      </w:r>
      <w:r>
        <w:rPr>
          <w:rFonts w:eastAsia="Calibri"/>
        </w:rPr>
        <w:t>LN</w:t>
      </w:r>
      <w:r w:rsidRPr="006733B4">
        <w:rPr>
          <w:rFonts w:eastAsia="Calibri"/>
        </w:rPr>
        <w:t xml:space="preserve"> include:</w:t>
      </w:r>
    </w:p>
    <w:p w:rsidR="00B1339F" w:rsidRPr="006733B4" w:rsidRDefault="00B1339F" w:rsidP="00E43DAC">
      <w:pPr>
        <w:pStyle w:val="ListBullet"/>
        <w:rPr>
          <w:rFonts w:eastAsia="Calibri"/>
        </w:rPr>
      </w:pPr>
      <w:r w:rsidRPr="006733B4">
        <w:rPr>
          <w:rFonts w:eastAsia="Calibri"/>
        </w:rPr>
        <w:t>a transfer lodged with any other instrument for the same folio(s), including a survivorship application</w:t>
      </w:r>
    </w:p>
    <w:p w:rsidR="00B1339F" w:rsidRPr="006733B4" w:rsidRDefault="00B1339F" w:rsidP="00E43DAC">
      <w:pPr>
        <w:pStyle w:val="ListBullet"/>
        <w:rPr>
          <w:rFonts w:eastAsia="Calibri"/>
        </w:rPr>
      </w:pPr>
      <w:r w:rsidRPr="006733B4">
        <w:rPr>
          <w:rFonts w:eastAsia="Calibri"/>
        </w:rPr>
        <w:t xml:space="preserve">a transfer that </w:t>
      </w:r>
      <w:r w:rsidR="00FA1B3A">
        <w:rPr>
          <w:rFonts w:eastAsia="Calibri"/>
        </w:rPr>
        <w:t>from 1</w:t>
      </w:r>
      <w:r w:rsidRPr="006733B4">
        <w:rPr>
          <w:rFonts w:eastAsia="Calibri"/>
        </w:rPr>
        <w:t xml:space="preserve"> March 2018 is not available in </w:t>
      </w:r>
      <w:r w:rsidR="001543BE">
        <w:rPr>
          <w:rFonts w:eastAsia="Calibri"/>
        </w:rPr>
        <w:t>an ELN</w:t>
      </w:r>
      <w:r w:rsidRPr="006733B4">
        <w:rPr>
          <w:rFonts w:eastAsia="Calibri"/>
        </w:rPr>
        <w:t>, such as</w:t>
      </w:r>
      <w:r w:rsidR="00FA1B3A">
        <w:rPr>
          <w:rFonts w:eastAsia="Calibri"/>
        </w:rPr>
        <w:t>:</w:t>
      </w:r>
    </w:p>
    <w:p w:rsidR="00B1339F" w:rsidRPr="006733B4" w:rsidRDefault="00B1339F" w:rsidP="00047236">
      <w:pPr>
        <w:pStyle w:val="ListBullet2"/>
        <w:rPr>
          <w:rFonts w:eastAsia="Calibri"/>
        </w:rPr>
      </w:pPr>
      <w:r w:rsidRPr="006733B4">
        <w:rPr>
          <w:rFonts w:eastAsia="Calibri"/>
        </w:rPr>
        <w:t>transfers creating an easement</w:t>
      </w:r>
    </w:p>
    <w:p w:rsidR="00B1339F" w:rsidRPr="006733B4" w:rsidRDefault="00B1339F" w:rsidP="00047236">
      <w:pPr>
        <w:pStyle w:val="ListBullet2"/>
        <w:rPr>
          <w:rFonts w:eastAsia="Calibri"/>
        </w:rPr>
      </w:pPr>
      <w:r w:rsidRPr="006733B4">
        <w:rPr>
          <w:rFonts w:eastAsia="Calibri"/>
        </w:rPr>
        <w:lastRenderedPageBreak/>
        <w:t>transfers of an interest (e.g. a lease)</w:t>
      </w:r>
    </w:p>
    <w:p w:rsidR="00B1339F" w:rsidRPr="006733B4" w:rsidRDefault="00B1339F" w:rsidP="00047236">
      <w:pPr>
        <w:pStyle w:val="ListBullet2"/>
        <w:rPr>
          <w:rFonts w:eastAsia="Calibri"/>
        </w:rPr>
      </w:pPr>
      <w:r w:rsidRPr="006733B4">
        <w:rPr>
          <w:rFonts w:eastAsia="Calibri"/>
        </w:rPr>
        <w:t>transfers of part of land in a folio of the Register</w:t>
      </w:r>
    </w:p>
    <w:p w:rsidR="00B1339F" w:rsidRPr="006733B4" w:rsidRDefault="00B1339F" w:rsidP="00047236">
      <w:pPr>
        <w:pStyle w:val="ListBullet2"/>
        <w:rPr>
          <w:rStyle w:val="Hyperlink"/>
          <w:rFonts w:eastAsia="Calibri" w:cs="Times New Roman"/>
          <w:sz w:val="22"/>
          <w:szCs w:val="22"/>
          <w:lang w:eastAsia="en-US"/>
        </w:rPr>
      </w:pPr>
      <w:r w:rsidRPr="006733B4">
        <w:rPr>
          <w:rFonts w:eastAsia="Calibri"/>
        </w:rPr>
        <w:t xml:space="preserve">transfers that cannot be assessed for duty by the State Revenue Office </w:t>
      </w:r>
      <w:hyperlink r:id="rId15" w:history="1">
        <w:r w:rsidRPr="006733B4">
          <w:t>Duties Online</w:t>
        </w:r>
      </w:hyperlink>
      <w:r w:rsidRPr="006733B4">
        <w:rPr>
          <w:rFonts w:eastAsia="Calibri"/>
        </w:rPr>
        <w:t xml:space="preserve"> – details of the transaction types able to be processed in Duties Online are in the tables of transactions and combinations of transactions available on the SRO website at </w:t>
      </w:r>
      <w:hyperlink r:id="rId16" w:history="1">
        <w:r w:rsidRPr="00047236">
          <w:rPr>
            <w:rFonts w:eastAsia="Calibri"/>
            <w:u w:val="single"/>
          </w:rPr>
          <w:t>www.sro.vic.gov.au/duties-online-transaction-types</w:t>
        </w:r>
      </w:hyperlink>
    </w:p>
    <w:p w:rsidR="00B1339F" w:rsidRPr="00B1339F" w:rsidRDefault="00B1339F" w:rsidP="00047236">
      <w:pPr>
        <w:pStyle w:val="ListBullet2"/>
        <w:rPr>
          <w:rFonts w:eastAsia="Calibri"/>
        </w:rPr>
      </w:pPr>
      <w:r w:rsidRPr="00B1339F">
        <w:rPr>
          <w:rStyle w:val="Hyperlink"/>
          <w:rFonts w:eastAsia="Calibri"/>
          <w:color w:val="363534" w:themeColor="text1"/>
          <w:u w:val="none"/>
        </w:rPr>
        <w:t>transfers affecting more than 20 folios</w:t>
      </w:r>
    </w:p>
    <w:p w:rsidR="00B1339F" w:rsidRPr="006733B4" w:rsidRDefault="00B1339F" w:rsidP="00E43DAC">
      <w:pPr>
        <w:pStyle w:val="ListBullet"/>
      </w:pPr>
      <w:r w:rsidRPr="006733B4">
        <w:rPr>
          <w:rFonts w:eastAsia="Calibri"/>
        </w:rPr>
        <w:t>a survivorship application that is to be lodged with any other instrument, unless the other instrument must be lodged electronically – t</w:t>
      </w:r>
      <w:r w:rsidRPr="006733B4">
        <w:rPr>
          <w:color w:val="000000"/>
        </w:rPr>
        <w:t xml:space="preserve">his includes most discharges of mortgage, mortgages and withdrawals of caveat. If the discharge of mortgage, mortgage or withdrawal of caveat is an instrument required to be lodged electronically, that instrument must be lodged using </w:t>
      </w:r>
      <w:r w:rsidR="003E1261">
        <w:rPr>
          <w:color w:val="000000"/>
        </w:rPr>
        <w:t>an</w:t>
      </w:r>
      <w:r w:rsidR="003E1261" w:rsidRPr="006733B4">
        <w:rPr>
          <w:color w:val="000000"/>
        </w:rPr>
        <w:t xml:space="preserve"> </w:t>
      </w:r>
      <w:r w:rsidRPr="006733B4">
        <w:rPr>
          <w:color w:val="000000"/>
        </w:rPr>
        <w:t>ELN. The survivorship application would then also be lodged electronically. In other cases, by way of example, a survivorship application and a caveat may be lodged in paper, as would a survivorship application and a discharge when both are lodged with a transfer (e.g. following a settlement)</w:t>
      </w:r>
    </w:p>
    <w:p w:rsidR="00B1339F" w:rsidRPr="003421E1" w:rsidRDefault="00B1339F" w:rsidP="00E43DAC">
      <w:pPr>
        <w:pStyle w:val="ListBullet"/>
      </w:pPr>
      <w:r w:rsidRPr="006733B4">
        <w:rPr>
          <w:rFonts w:eastAsia="Calibri"/>
        </w:rPr>
        <w:t xml:space="preserve">a survivorship application that, </w:t>
      </w:r>
      <w:r>
        <w:rPr>
          <w:rFonts w:eastAsia="Calibri"/>
        </w:rPr>
        <w:t>from</w:t>
      </w:r>
      <w:r w:rsidRPr="006733B4">
        <w:rPr>
          <w:rFonts w:eastAsia="Calibri"/>
        </w:rPr>
        <w:t xml:space="preserve"> 1 March 2018, is not available in </w:t>
      </w:r>
      <w:r w:rsidR="001543BE">
        <w:rPr>
          <w:rFonts w:eastAsia="Calibri"/>
        </w:rPr>
        <w:t>an ELN</w:t>
      </w:r>
      <w:r w:rsidRPr="006733B4">
        <w:rPr>
          <w:rFonts w:eastAsia="Calibri"/>
        </w:rPr>
        <w:t xml:space="preserve"> e.g. a survivorship application by an interest holder.</w:t>
      </w:r>
    </w:p>
    <w:p w:rsidR="00B1339F" w:rsidRDefault="00B1339F" w:rsidP="00B1339F">
      <w:pPr>
        <w:pStyle w:val="BodyText"/>
        <w:rPr>
          <w:rFonts w:eastAsia="Calibri" w:cstheme="minorHAnsi"/>
        </w:rPr>
      </w:pPr>
      <w:r w:rsidRPr="00B1339F">
        <w:rPr>
          <w:rFonts w:eastAsia="Calibri" w:cstheme="minorHAnsi"/>
        </w:rPr>
        <w:t xml:space="preserve">From 9 June 2018, a </w:t>
      </w:r>
      <w:r w:rsidR="008A4478">
        <w:rPr>
          <w:rFonts w:eastAsia="Calibri" w:cstheme="minorHAnsi"/>
        </w:rPr>
        <w:t>t</w:t>
      </w:r>
      <w:r w:rsidR="008A4478" w:rsidRPr="00B1339F">
        <w:rPr>
          <w:rFonts w:eastAsia="Calibri" w:cstheme="minorHAnsi"/>
        </w:rPr>
        <w:t xml:space="preserve">ransfer </w:t>
      </w:r>
      <w:r w:rsidRPr="00B1339F">
        <w:rPr>
          <w:rFonts w:eastAsia="Calibri" w:cstheme="minorHAnsi"/>
        </w:rPr>
        <w:t xml:space="preserve">by </w:t>
      </w:r>
      <w:r w:rsidR="008A4478">
        <w:rPr>
          <w:rFonts w:eastAsia="Calibri" w:cstheme="minorHAnsi"/>
        </w:rPr>
        <w:t>m</w:t>
      </w:r>
      <w:r w:rsidR="008A4478" w:rsidRPr="00B1339F">
        <w:rPr>
          <w:rFonts w:eastAsia="Calibri" w:cstheme="minorHAnsi"/>
        </w:rPr>
        <w:t xml:space="preserve">ortgagee </w:t>
      </w:r>
      <w:r w:rsidRPr="00B1339F">
        <w:rPr>
          <w:rFonts w:eastAsia="Calibri" w:cstheme="minorHAnsi"/>
        </w:rPr>
        <w:t xml:space="preserve">under power of sale and </w:t>
      </w:r>
      <w:r w:rsidR="008A4478">
        <w:rPr>
          <w:rFonts w:eastAsia="Calibri" w:cstheme="minorHAnsi"/>
        </w:rPr>
        <w:t>t</w:t>
      </w:r>
      <w:r w:rsidR="008A4478" w:rsidRPr="00B1339F">
        <w:rPr>
          <w:rFonts w:eastAsia="Calibri" w:cstheme="minorHAnsi"/>
        </w:rPr>
        <w:t xml:space="preserve">ransfer </w:t>
      </w:r>
      <w:r w:rsidRPr="00B1339F">
        <w:rPr>
          <w:rFonts w:eastAsia="Calibri" w:cstheme="minorHAnsi"/>
        </w:rPr>
        <w:t>of a mortgage (or annuity charge) will be ab</w:t>
      </w:r>
      <w:r w:rsidR="00E43DAC">
        <w:rPr>
          <w:rFonts w:eastAsia="Calibri" w:cstheme="minorHAnsi"/>
        </w:rPr>
        <w:t>le to be lodged electronically.</w:t>
      </w:r>
      <w:bookmarkStart w:id="2" w:name="_GoBack"/>
    </w:p>
    <w:bookmarkEnd w:id="2"/>
    <w:p w:rsidR="00884B59" w:rsidRDefault="00884B59" w:rsidP="00442C5A">
      <w:pPr>
        <w:pStyle w:val="Heading1"/>
      </w:pPr>
      <w:r>
        <w:t>Electronic instrument</w:t>
      </w:r>
      <w:r w:rsidR="008A4478">
        <w:t xml:space="preserve"> statements</w:t>
      </w:r>
    </w:p>
    <w:p w:rsidR="00884B59" w:rsidRPr="00FA1B3A" w:rsidRDefault="00884B59" w:rsidP="00B1339F">
      <w:pPr>
        <w:pStyle w:val="BodyText"/>
      </w:pPr>
      <w:r>
        <w:t xml:space="preserve">When transmission and survivorships instruments are lodged through an ELN and recorded, Electronic Instrument Statements </w:t>
      </w:r>
      <w:r w:rsidR="008A4478">
        <w:t xml:space="preserve">then </w:t>
      </w:r>
      <w:r>
        <w:t>show the names of these instruments</w:t>
      </w:r>
      <w:r w:rsidR="00442C5A">
        <w:t>,</w:t>
      </w:r>
      <w:r w:rsidR="00442C5A" w:rsidRPr="00442C5A">
        <w:t xml:space="preserve"> </w:t>
      </w:r>
      <w:r w:rsidR="00442C5A">
        <w:t>respectively,</w:t>
      </w:r>
      <w:r>
        <w:t xml:space="preserve"> as Transmission Application and Notice of Death/Survivorship</w:t>
      </w:r>
      <w:r w:rsidRPr="00066308">
        <w:t>.</w:t>
      </w:r>
      <w:r>
        <w:t xml:space="preserve"> However, all endorsements on a folio in the </w:t>
      </w:r>
      <w:r w:rsidRPr="00066308">
        <w:t>Register</w:t>
      </w:r>
      <w:r>
        <w:t xml:space="preserve"> remain the same. </w:t>
      </w:r>
    </w:p>
    <w:p w:rsidR="00B1339F" w:rsidRDefault="00B1339F" w:rsidP="00442C5A">
      <w:pPr>
        <w:pStyle w:val="Heading1"/>
      </w:pPr>
      <w:r w:rsidRPr="00315439">
        <w:t>Subscribe</w:t>
      </w:r>
    </w:p>
    <w:p w:rsidR="00B1339F" w:rsidRDefault="00B1339F" w:rsidP="00E43DAC">
      <w:pPr>
        <w:pStyle w:val="BodyText"/>
        <w:rPr>
          <w:rFonts w:eastAsia="Calibri"/>
        </w:rPr>
      </w:pPr>
      <w:r w:rsidRPr="00FF4197">
        <w:rPr>
          <w:rFonts w:eastAsia="Calibri"/>
        </w:rPr>
        <w:t xml:space="preserve">To receive </w:t>
      </w:r>
      <w:r>
        <w:rPr>
          <w:rFonts w:eastAsia="Calibri"/>
        </w:rPr>
        <w:t>notification when a</w:t>
      </w:r>
      <w:r w:rsidRPr="00FF4197">
        <w:rPr>
          <w:rFonts w:eastAsia="Calibri"/>
        </w:rPr>
        <w:t xml:space="preserve"> Customer Information Bulletin </w:t>
      </w:r>
      <w:r>
        <w:rPr>
          <w:rFonts w:eastAsia="Calibri"/>
        </w:rPr>
        <w:t>is published,</w:t>
      </w:r>
      <w:r w:rsidRPr="00FF4197">
        <w:rPr>
          <w:rFonts w:eastAsia="Calibri"/>
        </w:rPr>
        <w:t xml:space="preserve"> please send an email to lv.cib@delwp.vic.gov.au with SUBSCRIBE in the subject line – include your name and email address in the body of the email.</w:t>
      </w:r>
    </w:p>
    <w:p w:rsidR="00B1339F" w:rsidRPr="00E43DAC" w:rsidRDefault="00B1339F" w:rsidP="00B1339F">
      <w:pPr>
        <w:pStyle w:val="Heading1"/>
        <w:rPr>
          <w:rFonts w:eastAsiaTheme="minorHAnsi"/>
          <w:lang w:eastAsia="en-US"/>
        </w:rPr>
      </w:pPr>
      <w:r>
        <w:rPr>
          <w:rFonts w:eastAsiaTheme="minorHAnsi"/>
          <w:lang w:eastAsia="en-US"/>
        </w:rPr>
        <w:t>Contact us</w:t>
      </w:r>
    </w:p>
    <w:tbl>
      <w:tblPr>
        <w:tblpPr w:leftFromText="181" w:rightFromText="181" w:topFromText="113" w:horzAnchor="page" w:tblpX="852" w:tblpYSpec="bottom"/>
        <w:tblOverlap w:val="never"/>
        <w:tblW w:w="10336"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83"/>
        <w:gridCol w:w="5053"/>
      </w:tblGrid>
      <w:tr w:rsidR="00B1339F" w:rsidTr="00CD01A1">
        <w:trPr>
          <w:trHeight w:val="962"/>
        </w:trPr>
        <w:tc>
          <w:tcPr>
            <w:tcW w:w="5283" w:type="dxa"/>
            <w:shd w:val="clear" w:color="auto" w:fill="auto"/>
          </w:tcPr>
          <w:p w:rsidR="00B1339F" w:rsidRDefault="00B1339F" w:rsidP="00CD01A1">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EE5052">
              <w:rPr>
                <w:noProof/>
              </w:rPr>
              <w:t>2018</w:t>
            </w:r>
            <w:r>
              <w:fldChar w:fldCharType="end"/>
            </w:r>
          </w:p>
          <w:p w:rsidR="00B1339F" w:rsidRDefault="00B1339F" w:rsidP="00CD01A1">
            <w:pPr>
              <w:pStyle w:val="SmallBodyText"/>
            </w:pPr>
            <w:r>
              <w:rPr>
                <w:noProof/>
              </w:rPr>
              <w:drawing>
                <wp:anchor distT="0" distB="0" distL="114300" distR="36195" simplePos="0" relativeHeight="251660288" behindDoc="0" locked="1" layoutInCell="1" allowOverlap="1" wp14:anchorId="48A71856" wp14:editId="4D5D6C77">
                  <wp:simplePos x="0" y="0"/>
                  <wp:positionH relativeFrom="column">
                    <wp:posOffset>0</wp:posOffset>
                  </wp:positionH>
                  <wp:positionV relativeFrom="paragraph">
                    <wp:posOffset>28575</wp:posOffset>
                  </wp:positionV>
                  <wp:extent cx="658800" cy="237600"/>
                  <wp:effectExtent l="0" t="0" r="8255" b="0"/>
                  <wp:wrapSquare wrapText="bothSides"/>
                  <wp:docPr id="20" name="Picture 2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7">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B1339F" w:rsidRPr="008F559C" w:rsidRDefault="00B1339F" w:rsidP="00CD01A1">
            <w:pPr>
              <w:pStyle w:val="SmallHeading"/>
            </w:pPr>
            <w:r w:rsidRPr="00C255C2">
              <w:t>Disclaimer</w:t>
            </w:r>
          </w:p>
          <w:p w:rsidR="00B1339F" w:rsidRDefault="00B1339F" w:rsidP="00CD01A1">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w:t>
            </w:r>
            <w:proofErr w:type="gramStart"/>
            <w:r w:rsidRPr="00405DE3">
              <w:t>particular purposes</w:t>
            </w:r>
            <w:proofErr w:type="gramEnd"/>
            <w:r w:rsidRPr="00405DE3">
              <w:t xml:space="preserve">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5053" w:type="dxa"/>
            <w:shd w:val="clear" w:color="auto" w:fill="auto"/>
          </w:tcPr>
          <w:p w:rsidR="00B1339F" w:rsidRPr="00E97294" w:rsidRDefault="00B1339F" w:rsidP="00CD01A1">
            <w:pPr>
              <w:pStyle w:val="xAccessibilityHeading"/>
            </w:pPr>
            <w:r w:rsidRPr="00E97294">
              <w:t>Accessibility</w:t>
            </w:r>
          </w:p>
          <w:p w:rsidR="00B1339F" w:rsidRDefault="00B1339F" w:rsidP="00CD01A1">
            <w:pPr>
              <w:pStyle w:val="xAccessibilityText"/>
            </w:pPr>
            <w:r>
              <w:t>If you would like to receive this publication in an alternative format, please telephone the DELWP Customer Service Centre on 136186, email </w:t>
            </w:r>
            <w:hyperlink r:id="rId18" w:history="1">
              <w:r w:rsidRPr="003C5C56">
                <w:t>customer.service@delwp.vic.gov.au</w:t>
              </w:r>
            </w:hyperlink>
            <w:r>
              <w:t xml:space="preserve">, or via the National Relay Service on 133 677 </w:t>
            </w:r>
            <w:hyperlink r:id="rId19" w:history="1">
              <w:r w:rsidRPr="00AE3298">
                <w:t>www.relayservice.com.au</w:t>
              </w:r>
            </w:hyperlink>
            <w:r>
              <w:t xml:space="preserve">. This document is also available at </w:t>
            </w:r>
            <w:hyperlink r:id="rId20" w:history="1">
              <w:r w:rsidRPr="00AE3298">
                <w:t>www.delwp.vic.gov.au</w:t>
              </w:r>
            </w:hyperlink>
            <w:r>
              <w:t xml:space="preserve">. </w:t>
            </w:r>
          </w:p>
          <w:p w:rsidR="00B1339F" w:rsidRDefault="00B1339F" w:rsidP="00CD01A1">
            <w:pPr>
              <w:pStyle w:val="SmallBodyText"/>
            </w:pPr>
          </w:p>
        </w:tc>
      </w:tr>
    </w:tbl>
    <w:p w:rsidR="00B1339F" w:rsidRDefault="00B1339F" w:rsidP="00B1339F">
      <w:pPr>
        <w:pStyle w:val="SmallBodyText"/>
        <w:sectPr w:rsidR="00B1339F" w:rsidSect="00B1339F">
          <w:type w:val="continuous"/>
          <w:pgSz w:w="11907" w:h="16840" w:code="9"/>
          <w:pgMar w:top="2211" w:right="851" w:bottom="1758" w:left="851" w:header="284" w:footer="284" w:gutter="0"/>
          <w:cols w:space="284"/>
          <w:docGrid w:linePitch="360"/>
        </w:sectPr>
      </w:pPr>
    </w:p>
    <w:p w:rsidR="00B1339F" w:rsidRPr="00442C5A" w:rsidRDefault="00B1339F" w:rsidP="00442C5A">
      <w:pPr>
        <w:pStyle w:val="BodyText"/>
        <w:rPr>
          <w:rFonts w:eastAsiaTheme="minorHAnsi" w:cs="Calibri"/>
          <w:color w:val="000000"/>
          <w:szCs w:val="22"/>
        </w:rPr>
        <w:sectPr w:rsidR="00B1339F" w:rsidRPr="00442C5A" w:rsidSect="00DC2A51">
          <w:type w:val="continuous"/>
          <w:pgSz w:w="11907" w:h="16840" w:code="9"/>
          <w:pgMar w:top="2211" w:right="851" w:bottom="1758" w:left="851" w:header="284" w:footer="284" w:gutter="0"/>
          <w:cols w:space="284"/>
          <w:docGrid w:linePitch="360"/>
        </w:sectPr>
      </w:pPr>
      <w:r>
        <w:rPr>
          <w:rFonts w:eastAsiaTheme="minorHAnsi" w:cs="Calibri"/>
          <w:color w:val="000000"/>
          <w:szCs w:val="22"/>
        </w:rPr>
        <w:t xml:space="preserve">For </w:t>
      </w:r>
      <w:hyperlink r:id="rId21" w:history="1">
        <w:r>
          <w:rPr>
            <w:rFonts w:eastAsiaTheme="minorHAnsi" w:cs="Calibri"/>
            <w:color w:val="000000"/>
            <w:szCs w:val="22"/>
            <w:u w:val="single"/>
          </w:rPr>
          <w:t>location and contact details</w:t>
        </w:r>
      </w:hyperlink>
      <w:r>
        <w:rPr>
          <w:rFonts w:eastAsiaTheme="minorHAnsi" w:cs="Calibri"/>
          <w:color w:val="000000"/>
          <w:szCs w:val="22"/>
        </w:rPr>
        <w:t xml:space="preserve">, go to </w:t>
      </w:r>
      <w:hyperlink r:id="rId22" w:history="1">
        <w:r>
          <w:rPr>
            <w:rFonts w:eastAsiaTheme="minorHAnsi" w:cs="Calibri"/>
            <w:color w:val="000000"/>
            <w:szCs w:val="22"/>
            <w:u w:val="single"/>
          </w:rPr>
          <w:t>www.propertyandlandtitles.vic.gov.au/contact-us</w:t>
        </w:r>
      </w:hyperlink>
      <w:r>
        <w:rPr>
          <w:rFonts w:eastAsiaTheme="minorHAnsi" w:cs="Calibri"/>
          <w:color w:val="000000"/>
          <w:szCs w:val="22"/>
        </w:rPr>
        <w:t>.</w:t>
      </w:r>
    </w:p>
    <w:p w:rsidR="00B1339F" w:rsidRPr="0052767E" w:rsidRDefault="00B1339F" w:rsidP="00B1339F"/>
    <w:sectPr w:rsidR="00B1339F" w:rsidRPr="0052767E" w:rsidSect="00B1339F">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079" w:rsidRDefault="00792079">
      <w:r>
        <w:separator/>
      </w:r>
    </w:p>
    <w:p w:rsidR="00792079" w:rsidRDefault="00792079"/>
    <w:p w:rsidR="00792079" w:rsidRDefault="00792079"/>
  </w:endnote>
  <w:endnote w:type="continuationSeparator" w:id="0">
    <w:p w:rsidR="00792079" w:rsidRDefault="00792079">
      <w:r>
        <w:continuationSeparator/>
      </w:r>
    </w:p>
    <w:p w:rsidR="00792079" w:rsidRDefault="00792079"/>
    <w:p w:rsidR="00792079" w:rsidRDefault="007920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2AA" w:rsidRPr="008A3E38" w:rsidRDefault="00EE5052" w:rsidP="008A3E38">
    <w:pPr>
      <w:pStyle w:val="Footer"/>
      <w:rPr>
        <w:sz w:val="20"/>
      </w:rPr>
    </w:pPr>
    <w:sdt>
      <w:sdtPr>
        <w:id w:val="-1705238520"/>
        <w:docPartObj>
          <w:docPartGallery w:val="Page Numbers (Top of Page)"/>
          <w:docPartUnique/>
        </w:docPartObj>
      </w:sdtPr>
      <w:sdtEndPr/>
      <w:sdtContent>
        <w:r w:rsidR="00A666F2">
          <w:t xml:space="preserve">Page </w:t>
        </w:r>
        <w:r w:rsidR="00A666F2">
          <w:rPr>
            <w:b/>
            <w:bCs/>
            <w:sz w:val="24"/>
            <w:szCs w:val="24"/>
          </w:rPr>
          <w:fldChar w:fldCharType="begin"/>
        </w:r>
        <w:r w:rsidR="00A666F2">
          <w:rPr>
            <w:b/>
            <w:bCs/>
          </w:rPr>
          <w:instrText xml:space="preserve"> PAGE </w:instrText>
        </w:r>
        <w:r w:rsidR="00A666F2">
          <w:rPr>
            <w:b/>
            <w:bCs/>
            <w:sz w:val="24"/>
            <w:szCs w:val="24"/>
          </w:rPr>
          <w:fldChar w:fldCharType="separate"/>
        </w:r>
        <w:r>
          <w:rPr>
            <w:b/>
            <w:bCs/>
            <w:noProof/>
          </w:rPr>
          <w:t>2</w:t>
        </w:r>
        <w:r w:rsidR="00A666F2">
          <w:rPr>
            <w:b/>
            <w:bCs/>
            <w:sz w:val="24"/>
            <w:szCs w:val="24"/>
          </w:rPr>
          <w:fldChar w:fldCharType="end"/>
        </w:r>
        <w:r w:rsidR="00A666F2">
          <w:t xml:space="preserve"> of </w:t>
        </w:r>
        <w:r w:rsidR="00A666F2">
          <w:rPr>
            <w:b/>
            <w:bCs/>
            <w:sz w:val="24"/>
            <w:szCs w:val="24"/>
          </w:rPr>
          <w:fldChar w:fldCharType="begin"/>
        </w:r>
        <w:r w:rsidR="00A666F2">
          <w:rPr>
            <w:b/>
            <w:bCs/>
          </w:rPr>
          <w:instrText xml:space="preserve"> NUMPAGES  </w:instrText>
        </w:r>
        <w:r w:rsidR="00A666F2">
          <w:rPr>
            <w:b/>
            <w:bCs/>
            <w:sz w:val="24"/>
            <w:szCs w:val="24"/>
          </w:rPr>
          <w:fldChar w:fldCharType="separate"/>
        </w:r>
        <w:r>
          <w:rPr>
            <w:b/>
            <w:bCs/>
            <w:noProof/>
          </w:rPr>
          <w:t>3</w:t>
        </w:r>
        <w:r w:rsidR="00A666F2">
          <w:rPr>
            <w:b/>
            <w:bCs/>
            <w:sz w:val="24"/>
            <w:szCs w:val="24"/>
          </w:rPr>
          <w:fldChar w:fldCharType="end"/>
        </w:r>
      </w:sdtContent>
    </w:sdt>
    <w:r w:rsidR="00E962AA" w:rsidRPr="00D55628">
      <w:rPr>
        <w:noProof/>
      </w:rPr>
      <mc:AlternateContent>
        <mc:Choice Requires="wps">
          <w:drawing>
            <wp:anchor distT="0" distB="0" distL="114300" distR="114300" simplePos="0" relativeHeight="251648512" behindDoc="1" locked="1" layoutInCell="1" allowOverlap="1" wp14:anchorId="121BB204" wp14:editId="4B88EBFD">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BB204"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679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2AA" w:rsidRPr="008A3E38" w:rsidRDefault="00EE5052" w:rsidP="008A3E38">
    <w:pPr>
      <w:pStyle w:val="Footer"/>
      <w:rPr>
        <w:sz w:val="20"/>
      </w:rPr>
    </w:pPr>
    <w:sdt>
      <w:sdtPr>
        <w:id w:val="10500778"/>
        <w:docPartObj>
          <w:docPartGallery w:val="Page Numbers (Top of Page)"/>
          <w:docPartUnique/>
        </w:docPartObj>
      </w:sdtPr>
      <w:sdtEndPr/>
      <w:sdtContent>
        <w:r w:rsidR="008A3E38">
          <w:t xml:space="preserve">Page </w:t>
        </w:r>
        <w:r w:rsidR="008A3E38">
          <w:rPr>
            <w:b/>
            <w:bCs/>
            <w:sz w:val="24"/>
            <w:szCs w:val="24"/>
          </w:rPr>
          <w:fldChar w:fldCharType="begin"/>
        </w:r>
        <w:r w:rsidR="008A3E38">
          <w:rPr>
            <w:b/>
            <w:bCs/>
          </w:rPr>
          <w:instrText xml:space="preserve"> PAGE </w:instrText>
        </w:r>
        <w:r w:rsidR="008A3E38">
          <w:rPr>
            <w:b/>
            <w:bCs/>
            <w:sz w:val="24"/>
            <w:szCs w:val="24"/>
          </w:rPr>
          <w:fldChar w:fldCharType="separate"/>
        </w:r>
        <w:r>
          <w:rPr>
            <w:b/>
            <w:bCs/>
            <w:noProof/>
          </w:rPr>
          <w:t>3</w:t>
        </w:r>
        <w:r w:rsidR="008A3E38">
          <w:rPr>
            <w:b/>
            <w:bCs/>
            <w:sz w:val="24"/>
            <w:szCs w:val="24"/>
          </w:rPr>
          <w:fldChar w:fldCharType="end"/>
        </w:r>
        <w:r w:rsidR="008A3E38">
          <w:t xml:space="preserve"> of </w:t>
        </w:r>
        <w:r w:rsidR="008A3E38">
          <w:rPr>
            <w:b/>
            <w:bCs/>
            <w:sz w:val="24"/>
            <w:szCs w:val="24"/>
          </w:rPr>
          <w:fldChar w:fldCharType="begin"/>
        </w:r>
        <w:r w:rsidR="008A3E38">
          <w:rPr>
            <w:b/>
            <w:bCs/>
          </w:rPr>
          <w:instrText xml:space="preserve"> NUMPAGES  </w:instrText>
        </w:r>
        <w:r w:rsidR="008A3E38">
          <w:rPr>
            <w:b/>
            <w:bCs/>
            <w:sz w:val="24"/>
            <w:szCs w:val="24"/>
          </w:rPr>
          <w:fldChar w:fldCharType="separate"/>
        </w:r>
        <w:r>
          <w:rPr>
            <w:b/>
            <w:bCs/>
            <w:noProof/>
          </w:rPr>
          <w:t>3</w:t>
        </w:r>
        <w:r w:rsidR="008A3E38">
          <w:rPr>
            <w:b/>
            <w:bCs/>
            <w:sz w:val="24"/>
            <w:szCs w:val="24"/>
          </w:rPr>
          <w:fldChar w:fldCharType="end"/>
        </w:r>
      </w:sdtContent>
    </w:sdt>
    <w:r w:rsidR="00E962AA" w:rsidRPr="00D55628">
      <w:rPr>
        <w:noProof/>
      </w:rPr>
      <mc:AlternateContent>
        <mc:Choice Requires="wps">
          <w:drawing>
            <wp:anchor distT="0" distB="0" distL="114300" distR="114300" simplePos="0" relativeHeight="251643392" behindDoc="1" locked="1" layoutInCell="1" allowOverlap="1" wp14:anchorId="5ED22D03" wp14:editId="4015BFB4">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22D03"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30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2AA" w:rsidRDefault="00E962AA" w:rsidP="00BF3066">
    <w:pPr>
      <w:pStyle w:val="Footer"/>
      <w:spacing w:before="1600"/>
    </w:pPr>
    <w:r>
      <w:rPr>
        <w:noProof/>
      </w:rPr>
      <w:drawing>
        <wp:anchor distT="0" distB="0" distL="114300" distR="114300" simplePos="0" relativeHeight="251668480" behindDoc="1" locked="1" layoutInCell="1" allowOverlap="1" wp14:anchorId="2E7968C8" wp14:editId="02B58705">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9504" behindDoc="0" locked="1" layoutInCell="1" allowOverlap="1" wp14:anchorId="144A6D6E" wp14:editId="0654DD92">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A6D6E" id="_x0000_t202" coordsize="21600,21600" o:spt="202" path="m,l,21600r21600,l21600,xe">
              <v:stroke joinstyle="miter"/>
              <v:path gradientshapeok="t" o:connecttype="rect"/>
            </v:shapetype>
            <v:shape id="WebAddress" o:spid="_x0000_s1028" type="#_x0000_t202" style="position:absolute;margin-left:0;margin-top:0;width:303pt;height:56.7pt;z-index:25166950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00C4DDE5" wp14:editId="1B8141FB">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079" w:rsidRPr="008F5280" w:rsidRDefault="00792079" w:rsidP="008F5280">
      <w:pPr>
        <w:pStyle w:val="FootnoteSeparator"/>
      </w:pPr>
    </w:p>
    <w:p w:rsidR="00792079" w:rsidRDefault="00792079"/>
  </w:footnote>
  <w:footnote w:type="continuationSeparator" w:id="0">
    <w:p w:rsidR="00792079" w:rsidRDefault="00792079" w:rsidP="008F5280">
      <w:pPr>
        <w:pStyle w:val="FootnoteSeparator"/>
      </w:pPr>
    </w:p>
    <w:p w:rsidR="00792079" w:rsidRDefault="00792079"/>
    <w:p w:rsidR="00792079" w:rsidRDefault="00792079"/>
  </w:footnote>
  <w:footnote w:type="continuationNotice" w:id="1">
    <w:p w:rsidR="00792079" w:rsidRDefault="00792079" w:rsidP="00D55628"/>
    <w:p w:rsidR="00792079" w:rsidRDefault="00792079"/>
    <w:p w:rsidR="00792079" w:rsidRDefault="007920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8A3E38" w:rsidTr="00AC028D">
      <w:trPr>
        <w:trHeight w:hRule="exact" w:val="1418"/>
      </w:trPr>
      <w:tc>
        <w:tcPr>
          <w:tcW w:w="7761" w:type="dxa"/>
          <w:vAlign w:val="center"/>
        </w:tcPr>
        <w:p w:rsidR="00254A01" w:rsidRPr="008A3E38" w:rsidRDefault="00047236" w:rsidP="00AC028D">
          <w:pPr>
            <w:pStyle w:val="Header"/>
            <w:rPr>
              <w:szCs w:val="40"/>
            </w:rPr>
          </w:pPr>
          <w:r w:rsidRPr="008A3E38">
            <w:rPr>
              <w:szCs w:val="40"/>
            </w:rPr>
            <w:t>Customer Information Bulletin</w:t>
          </w:r>
        </w:p>
        <w:p w:rsidR="00047236" w:rsidRPr="008A3E38" w:rsidRDefault="00047236" w:rsidP="00AC028D">
          <w:pPr>
            <w:pStyle w:val="Header"/>
            <w:rPr>
              <w:szCs w:val="40"/>
            </w:rPr>
          </w:pPr>
          <w:r w:rsidRPr="008A3E38">
            <w:rPr>
              <w:szCs w:val="40"/>
            </w:rPr>
            <w:t>May 2018</w:t>
          </w:r>
        </w:p>
      </w:tc>
    </w:tr>
  </w:tbl>
  <w:p w:rsidR="00254A01" w:rsidRDefault="00254A01" w:rsidP="00254A01">
    <w:pPr>
      <w:pStyle w:val="Header"/>
    </w:pPr>
    <w:r w:rsidRPr="00806AB6">
      <w:rPr>
        <w:noProof/>
      </w:rPr>
      <mc:AlternateContent>
        <mc:Choice Requires="wps">
          <w:drawing>
            <wp:anchor distT="0" distB="0" distL="114300" distR="114300" simplePos="0" relativeHeight="251670016" behindDoc="1" locked="0" layoutInCell="1" allowOverlap="1" wp14:anchorId="5B8A1413" wp14:editId="5B31157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1868EA" id="TriangleRight" o:spid="_x0000_s1026" style="position:absolute;margin-left:56.7pt;margin-top:22.7pt;width:68.05pt;height:70.8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2848" behindDoc="1" locked="0" layoutInCell="1" allowOverlap="1" wp14:anchorId="051133AD" wp14:editId="7FF82539">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5C74F" id="TriangleLeft" o:spid="_x0000_s1026" style="position:absolute;margin-left:22.7pt;margin-top:22.7pt;width:68.05pt;height:70.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5680" behindDoc="1" locked="0" layoutInCell="1" allowOverlap="1" wp14:anchorId="6DB8F071" wp14:editId="6AED1F1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302C10" id="Rectangle" o:spid="_x0000_s1026" style="position:absolute;margin-left:22.7pt;margin-top:22.7pt;width:552.7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442C5A" w:rsidRPr="00975ED3" w:rsidTr="003D06F6">
      <w:trPr>
        <w:trHeight w:hRule="exact" w:val="1418"/>
      </w:trPr>
      <w:tc>
        <w:tcPr>
          <w:tcW w:w="7761" w:type="dxa"/>
          <w:vAlign w:val="center"/>
        </w:tcPr>
        <w:p w:rsidR="00442C5A" w:rsidRPr="008A3E38" w:rsidRDefault="00442C5A" w:rsidP="00442C5A">
          <w:pPr>
            <w:pStyle w:val="Header"/>
            <w:rPr>
              <w:szCs w:val="40"/>
            </w:rPr>
          </w:pPr>
          <w:r w:rsidRPr="008A3E38">
            <w:rPr>
              <w:szCs w:val="40"/>
            </w:rPr>
            <w:t>Customer Information Bulletin</w:t>
          </w:r>
        </w:p>
        <w:p w:rsidR="00442C5A" w:rsidRPr="00047236" w:rsidRDefault="00442C5A" w:rsidP="00442C5A">
          <w:pPr>
            <w:pStyle w:val="Header"/>
            <w:rPr>
              <w:sz w:val="32"/>
              <w:szCs w:val="32"/>
            </w:rPr>
          </w:pPr>
          <w:r w:rsidRPr="008A3E38">
            <w:rPr>
              <w:szCs w:val="40"/>
            </w:rPr>
            <w:t>May 2018</w:t>
          </w:r>
        </w:p>
      </w:tc>
      <w:tc>
        <w:tcPr>
          <w:tcW w:w="7761" w:type="dxa"/>
          <w:vAlign w:val="center"/>
        </w:tcPr>
        <w:p w:rsidR="00442C5A" w:rsidRPr="00975ED3" w:rsidRDefault="00EE5052" w:rsidP="00442C5A">
          <w:pPr>
            <w:pStyle w:val="Header"/>
          </w:pPr>
          <w:r>
            <w:fldChar w:fldCharType="begin"/>
          </w:r>
          <w:r>
            <w:instrText xml:space="preserve"> STYLEREF  Title  \* MERGEFORMAT </w:instrText>
          </w:r>
          <w:r>
            <w:fldChar w:fldCharType="separate"/>
          </w:r>
          <w:r>
            <w:rPr>
              <w:noProof/>
            </w:rPr>
            <w:t>May 2018</w:t>
          </w:r>
          <w:r>
            <w:rPr>
              <w:noProof/>
            </w:rPr>
            <w:fldChar w:fldCharType="end"/>
          </w:r>
        </w:p>
      </w:tc>
    </w:tr>
  </w:tbl>
  <w:p w:rsidR="00254A01" w:rsidRDefault="00254A01" w:rsidP="00254A01">
    <w:pPr>
      <w:pStyle w:val="Header"/>
    </w:pPr>
    <w:r w:rsidRPr="00806AB6">
      <w:rPr>
        <w:noProof/>
      </w:rPr>
      <mc:AlternateContent>
        <mc:Choice Requires="wps">
          <w:drawing>
            <wp:anchor distT="0" distB="0" distL="114300" distR="114300" simplePos="0" relativeHeight="251676160" behindDoc="1" locked="0" layoutInCell="1" allowOverlap="1" wp14:anchorId="58D82B39" wp14:editId="77FF1095">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83E56D" id="TriangleRight" o:spid="_x0000_s1026" style="position:absolute;margin-left:56.7pt;margin-top:22.7pt;width:68.05pt;height:70.8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112" behindDoc="1" locked="0" layoutInCell="1" allowOverlap="1" wp14:anchorId="0F2C0D08" wp14:editId="27FCAAC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E012B1" id="TriangleLeft" o:spid="_x0000_s1026" style="position:absolute;margin-left:22.7pt;margin-top:22.7pt;width:68.05pt;height:70.8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2064" behindDoc="1" locked="0" layoutInCell="1" allowOverlap="1" wp14:anchorId="2330309E" wp14:editId="0AC5EA3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6F1460" id="Rectangle" o:spid="_x0000_s1026" style="position:absolute;margin-left:22.7pt;margin-top:22.7pt;width:552.75pt;height:70.8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2AA" w:rsidRPr="00E97294" w:rsidRDefault="00E962AA" w:rsidP="00E97294">
    <w:pPr>
      <w:pStyle w:val="Header"/>
    </w:pPr>
    <w:r w:rsidRPr="00806AB6">
      <w:rPr>
        <w:noProof/>
      </w:rPr>
      <mc:AlternateContent>
        <mc:Choice Requires="wps">
          <w:drawing>
            <wp:anchor distT="0" distB="0" distL="114300" distR="114300" simplePos="0" relativeHeight="251654144" behindDoc="1" locked="0" layoutInCell="1" allowOverlap="1" wp14:anchorId="1D6840A6" wp14:editId="4384D52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513985"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59F12F00" wp14:editId="14A4EEF1">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A5442"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166F4229" wp14:editId="4549D19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5F04B4"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3BFB997A" wp14:editId="3E3BB98F">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4B0FC8"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B8446B"/>
    <w:multiLevelType w:val="hybridMultilevel"/>
    <w:tmpl w:val="F3326160"/>
    <w:lvl w:ilvl="0" w:tplc="2284698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4268E940"/>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8"/>
  </w:num>
  <w:num w:numId="3">
    <w:abstractNumId w:val="25"/>
  </w:num>
  <w:num w:numId="4">
    <w:abstractNumId w:val="32"/>
  </w:num>
  <w:num w:numId="5">
    <w:abstractNumId w:val="15"/>
  </w:num>
  <w:num w:numId="6">
    <w:abstractNumId w:val="12"/>
  </w:num>
  <w:num w:numId="7">
    <w:abstractNumId w:val="11"/>
  </w:num>
  <w:num w:numId="8">
    <w:abstractNumId w:val="10"/>
  </w:num>
  <w:num w:numId="9">
    <w:abstractNumId w:val="29"/>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num>
  <w:num w:numId="29">
    <w:abstractNumId w:val="19"/>
  </w:num>
  <w:num w:numId="30">
    <w:abstractNumId w:val="30"/>
  </w:num>
  <w:num w:numId="31">
    <w:abstractNumId w:val="8"/>
  </w:num>
  <w:num w:numId="32">
    <w:abstractNumId w:val="27"/>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614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True"/>
  </w:docVars>
  <w:rsids>
    <w:rsidRoot w:val="00B1339F"/>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236"/>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3BE"/>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261"/>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C5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326"/>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4BF"/>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079"/>
    <w:rsid w:val="00792161"/>
    <w:rsid w:val="0079245C"/>
    <w:rsid w:val="00792757"/>
    <w:rsid w:val="0079279B"/>
    <w:rsid w:val="00792A52"/>
    <w:rsid w:val="00792BEF"/>
    <w:rsid w:val="00792E00"/>
    <w:rsid w:val="00792FE4"/>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061"/>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B59"/>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3E38"/>
    <w:rsid w:val="008A4229"/>
    <w:rsid w:val="008A431B"/>
    <w:rsid w:val="008A43D8"/>
    <w:rsid w:val="008A447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4AB"/>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5E0"/>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6F2"/>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2E77"/>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442"/>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39F"/>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10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1F8F"/>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5B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3DAC"/>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5052"/>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3A"/>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stroke="f">
      <v:stroke on="f"/>
      <o:colormru v:ext="edit" colors="white"/>
    </o:shapedefaults>
    <o:shapelayout v:ext="edit">
      <o:idmap v:ext="edit" data="1"/>
    </o:shapelayout>
  </w:shapeDefaults>
  <w:decimalSymbol w:val="."/>
  <w:listSeparator w:val=","/>
  <w15:docId w15:val="{8132C752-66A2-4601-A9B3-F7FBADE0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E7442"/>
    <w:pPr>
      <w:keepNext/>
      <w:keepLines/>
      <w:numPr>
        <w:numId w:val="7"/>
      </w:numPr>
      <w:spacing w:before="300" w:after="24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B1339F"/>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E7442"/>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DTPLIbodycopy">
    <w:name w:val="DTPLI body copy"/>
    <w:basedOn w:val="Normal"/>
    <w:rsid w:val="00B1339F"/>
    <w:pPr>
      <w:spacing w:line="240" w:lineRule="auto"/>
    </w:pPr>
    <w:rPr>
      <w:rFonts w:ascii="Calibri" w:hAnsi="Calibri" w:cs="Tahoma"/>
      <w:color w:val="auto"/>
      <w:sz w:val="22"/>
      <w:szCs w:val="22"/>
    </w:rPr>
  </w:style>
  <w:style w:type="paragraph" w:customStyle="1" w:styleId="Body">
    <w:name w:val="_Body"/>
    <w:qFormat/>
    <w:rsid w:val="00B1339F"/>
    <w:pPr>
      <w:spacing w:after="113"/>
    </w:pPr>
    <w:rPr>
      <w:rFonts w:ascii="Calibri" w:hAnsi="Calibri"/>
      <w:color w:val="aut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customer.service@delwp.vic.gov.au" TargetMode="External"/><Relationship Id="rId3" Type="http://schemas.openxmlformats.org/officeDocument/2006/relationships/styles" Target="styles.xml"/><Relationship Id="rId21" Type="http://schemas.openxmlformats.org/officeDocument/2006/relationships/hyperlink" Target="http://www.dtpli.vic.gov.au/property-and-land-titles/contact-u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s://www.sro.vic.gov.au/duties-online-transaction-types" TargetMode="External"/><Relationship Id="rId20" Type="http://schemas.openxmlformats.org/officeDocument/2006/relationships/hyperlink" Target="http://www.delwp.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ro.vic.gov.au/dutiesonline"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relayservice.com.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nes.land.vic.gov.au/" TargetMode="External"/><Relationship Id="rId22" Type="http://schemas.openxmlformats.org/officeDocument/2006/relationships/hyperlink" Target="http://www.propertyandlandtitles.vic.gov.au/contact-u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72ED8-D86A-4AF2-B500-8712C4A3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16</TotalTime>
  <Pages>3</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Yvonne Baker (DELWP)</dc:creator>
  <cp:keywords/>
  <dc:description/>
  <cp:lastModifiedBy>Annette S Binger (DELWP)</cp:lastModifiedBy>
  <cp:revision>6</cp:revision>
  <cp:lastPrinted>2016-09-08T07:20:00Z</cp:lastPrinted>
  <dcterms:created xsi:type="dcterms:W3CDTF">2018-05-23T01:12:00Z</dcterms:created>
  <dcterms:modified xsi:type="dcterms:W3CDTF">2018-05-23T01:28:00Z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