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B1339F" w:rsidRDefault="00B1339F" w:rsidP="009B1003">
            <w:pPr>
              <w:pStyle w:val="Title"/>
            </w:pPr>
            <w:r>
              <w:t>Land Use Victoria</w:t>
            </w:r>
          </w:p>
          <w:p w:rsidR="00B1339F" w:rsidRPr="008A3E38" w:rsidRDefault="00B1339F" w:rsidP="009B1003">
            <w:pPr>
              <w:pStyle w:val="Title"/>
              <w:rPr>
                <w:szCs w:val="40"/>
              </w:rPr>
            </w:pPr>
            <w:r w:rsidRPr="008A3E38">
              <w:rPr>
                <w:szCs w:val="40"/>
              </w:rPr>
              <w:t>Customer Information Bulletin 1</w:t>
            </w:r>
            <w:r w:rsidR="000330DE">
              <w:rPr>
                <w:szCs w:val="40"/>
              </w:rPr>
              <w:t>8</w:t>
            </w:r>
            <w:r w:rsidR="00437C71">
              <w:rPr>
                <w:szCs w:val="40"/>
              </w:rPr>
              <w:t>8</w:t>
            </w:r>
          </w:p>
          <w:p w:rsidR="009B1003" w:rsidRPr="009B1003" w:rsidRDefault="00B1339F" w:rsidP="009B1003">
            <w:pPr>
              <w:pStyle w:val="Title"/>
            </w:pPr>
            <w:r w:rsidRPr="008A3E38">
              <w:rPr>
                <w:szCs w:val="40"/>
              </w:rPr>
              <w:t>May 201</w:t>
            </w:r>
            <w:r w:rsidR="000330DE">
              <w:rPr>
                <w:szCs w:val="40"/>
              </w:rPr>
              <w:t>9</w:t>
            </w:r>
          </w:p>
        </w:tc>
      </w:tr>
      <w:tr w:rsidR="00975ED3" w:rsidTr="003F46E9">
        <w:trPr>
          <w:trHeight w:val="1247"/>
        </w:trPr>
        <w:tc>
          <w:tcPr>
            <w:tcW w:w="7761" w:type="dxa"/>
            <w:vAlign w:val="center"/>
          </w:tcPr>
          <w:p w:rsidR="009B1003" w:rsidRPr="009B1003" w:rsidRDefault="009B1003" w:rsidP="009B1003">
            <w:pPr>
              <w:pStyle w:val="Subtitle"/>
            </w:pPr>
          </w:p>
        </w:tc>
      </w:tr>
    </w:tbl>
    <w:p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rsidR="00B1339F" w:rsidRPr="00B1339F" w:rsidRDefault="00B1339F" w:rsidP="00D412B8">
      <w:pPr>
        <w:pStyle w:val="Heading1"/>
        <w:numPr>
          <w:ilvl w:val="0"/>
          <w:numId w:val="0"/>
        </w:numPr>
        <w:rPr>
          <w:rFonts w:eastAsia="Calibri"/>
        </w:rPr>
      </w:pPr>
      <w:bookmarkStart w:id="0" w:name="Here"/>
      <w:bookmarkEnd w:id="0"/>
      <w:r w:rsidRPr="00B1339F">
        <w:rPr>
          <w:rFonts w:eastAsia="Calibri"/>
        </w:rPr>
        <w:t xml:space="preserve">New lodgment </w:t>
      </w:r>
      <w:r w:rsidR="00E60832">
        <w:rPr>
          <w:rFonts w:eastAsia="Calibri"/>
        </w:rPr>
        <w:t xml:space="preserve">fees </w:t>
      </w:r>
      <w:r w:rsidRPr="00B1339F">
        <w:rPr>
          <w:rFonts w:eastAsia="Calibri"/>
        </w:rPr>
        <w:t>from 1 July 201</w:t>
      </w:r>
      <w:r w:rsidR="000330DE">
        <w:rPr>
          <w:rFonts w:eastAsia="Calibri"/>
        </w:rPr>
        <w:t>9</w:t>
      </w:r>
    </w:p>
    <w:p w:rsidR="00B1339F" w:rsidRPr="0052767E" w:rsidRDefault="00B1339F" w:rsidP="00B1339F">
      <w:pPr>
        <w:pStyle w:val="BodyText"/>
      </w:pPr>
      <w:r w:rsidRPr="0052767E">
        <w:t>From 1 July 201</w:t>
      </w:r>
      <w:r w:rsidR="000330DE">
        <w:t>9</w:t>
      </w:r>
      <w:r w:rsidRPr="0052767E">
        <w:t xml:space="preserve">, fees for lodging transactions at Land Use Victoria will change. Search fees will also </w:t>
      </w:r>
      <w:r w:rsidR="00E60832" w:rsidRPr="0052767E">
        <w:t>change</w:t>
      </w:r>
      <w:r w:rsidR="003B1138">
        <w:t xml:space="preserve"> and </w:t>
      </w:r>
      <w:r w:rsidR="000330DE">
        <w:t>LUV will notify industry when this has been determined</w:t>
      </w:r>
      <w:r w:rsidRPr="0052767E">
        <w:t>.</w:t>
      </w:r>
      <w:r w:rsidR="00D52100">
        <w:t xml:space="preserve"> </w:t>
      </w:r>
    </w:p>
    <w:p w:rsidR="000012CF" w:rsidRDefault="000012CF" w:rsidP="00B1339F">
      <w:pPr>
        <w:pStyle w:val="BodyText"/>
      </w:pPr>
    </w:p>
    <w:p w:rsidR="00B1339F" w:rsidRPr="0052767E" w:rsidRDefault="00B1339F" w:rsidP="00B1339F">
      <w:pPr>
        <w:pStyle w:val="BodyText"/>
      </w:pPr>
      <w:r w:rsidRPr="0052767E">
        <w:t>The value of a fee unit, as announced by the Treasurer, is $14.</w:t>
      </w:r>
      <w:r w:rsidR="000330DE">
        <w:t>81</w:t>
      </w:r>
      <w:r w:rsidRPr="0052767E">
        <w:t>.</w:t>
      </w:r>
    </w:p>
    <w:p w:rsidR="000012CF" w:rsidRDefault="000012CF" w:rsidP="00B1339F">
      <w:pPr>
        <w:pStyle w:val="BodyText"/>
      </w:pPr>
    </w:p>
    <w:p w:rsidR="00B1339F" w:rsidRPr="0052767E" w:rsidRDefault="00B1339F" w:rsidP="00B1339F">
      <w:pPr>
        <w:pStyle w:val="BodyText"/>
      </w:pPr>
      <w:r w:rsidRPr="0052767E">
        <w:t>Comprehensive fee listings and fee calculators will be published soon</w:t>
      </w:r>
      <w:r w:rsidR="000330DE">
        <w:t xml:space="preserve"> at </w:t>
      </w:r>
      <w:hyperlink r:id="rId14" w:history="1">
        <w:r w:rsidR="000330DE" w:rsidRPr="00E60832">
          <w:rPr>
            <w:rStyle w:val="Hyperlink"/>
          </w:rPr>
          <w:t>https://www.propertyandlandtitles.vic.gov.au/forms-guides-and-fees/fees</w:t>
        </w:r>
      </w:hyperlink>
      <w:r w:rsidRPr="0052767E">
        <w:t>.</w:t>
      </w:r>
      <w:r w:rsidR="00D52100">
        <w:t xml:space="preserve"> </w:t>
      </w:r>
    </w:p>
    <w:p w:rsidR="00B1339F" w:rsidRPr="0052767E" w:rsidRDefault="00B1339F" w:rsidP="00B1339F">
      <w:pPr>
        <w:pStyle w:val="BodyText"/>
      </w:pPr>
      <w:r w:rsidRPr="0052767E">
        <w:t xml:space="preserve">A summary of the most common fees </w:t>
      </w:r>
      <w:r>
        <w:t xml:space="preserve">for lodging transactions </w:t>
      </w:r>
      <w:r w:rsidRPr="0052767E">
        <w:t>follows:</w:t>
      </w:r>
    </w:p>
    <w:p w:rsidR="00B1339F" w:rsidRPr="00811A72" w:rsidRDefault="00B1339F" w:rsidP="00B1339F">
      <w:pPr>
        <w:pStyle w:val="Heading2"/>
        <w:rPr>
          <w:sz w:val="32"/>
          <w:szCs w:val="32"/>
        </w:rPr>
      </w:pPr>
      <w:r w:rsidRPr="00811A72">
        <w:rPr>
          <w:sz w:val="32"/>
          <w:szCs w:val="32"/>
        </w:rPr>
        <w:t>Transfer of Land Act 1958</w:t>
      </w:r>
    </w:p>
    <w:p w:rsidR="00FB35DB" w:rsidRPr="00811A72" w:rsidRDefault="00FB35DB" w:rsidP="00B1339F">
      <w:pPr>
        <w:pStyle w:val="Heading3"/>
        <w:rPr>
          <w:sz w:val="32"/>
          <w:szCs w:val="32"/>
        </w:rPr>
        <w:sectPr w:rsidR="00FB35DB" w:rsidRPr="00811A72" w:rsidSect="00B1339F">
          <w:type w:val="continuous"/>
          <w:pgSz w:w="11907" w:h="16840" w:code="9"/>
          <w:pgMar w:top="2211" w:right="851" w:bottom="1758" w:left="851" w:header="284" w:footer="284" w:gutter="0"/>
          <w:cols w:space="284"/>
          <w:docGrid w:linePitch="360"/>
        </w:sectPr>
      </w:pPr>
    </w:p>
    <w:tbl>
      <w:tblPr>
        <w:tblStyle w:val="TableGrid"/>
        <w:tblW w:w="10347" w:type="dxa"/>
        <w:tblLook w:val="04A0" w:firstRow="1" w:lastRow="0" w:firstColumn="1" w:lastColumn="0" w:noHBand="0" w:noVBand="1"/>
      </w:tblPr>
      <w:tblGrid>
        <w:gridCol w:w="2977"/>
        <w:gridCol w:w="3685"/>
        <w:gridCol w:w="3685"/>
      </w:tblGrid>
      <w:tr w:rsidR="00811A72" w:rsidRPr="00811A72" w:rsidTr="00811A72">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977" w:type="dxa"/>
          </w:tcPr>
          <w:p w:rsidR="00811A72" w:rsidRPr="00811A72" w:rsidRDefault="00811A72" w:rsidP="00811A72">
            <w:pPr>
              <w:rPr>
                <w:sz w:val="24"/>
                <w:szCs w:val="24"/>
              </w:rPr>
            </w:pPr>
            <w:r w:rsidRPr="00811A72">
              <w:rPr>
                <w:b/>
                <w:color w:val="494847"/>
                <w:sz w:val="24"/>
                <w:szCs w:val="24"/>
              </w:rPr>
              <w:t>Description</w:t>
            </w:r>
          </w:p>
        </w:tc>
        <w:tc>
          <w:tcPr>
            <w:tcW w:w="3685" w:type="dxa"/>
          </w:tcPr>
          <w:p w:rsidR="00811A72" w:rsidRPr="00811A72" w:rsidRDefault="00811A72" w:rsidP="00811A72">
            <w:pPr>
              <w:ind w:left="0"/>
              <w:cnfStyle w:val="100000000000" w:firstRow="1" w:lastRow="0" w:firstColumn="0" w:lastColumn="0" w:oddVBand="0" w:evenVBand="0" w:oddHBand="0" w:evenHBand="0" w:firstRowFirstColumn="0" w:firstRowLastColumn="0" w:lastRowFirstColumn="0" w:lastRowLastColumn="0"/>
              <w:rPr>
                <w:sz w:val="24"/>
                <w:szCs w:val="24"/>
              </w:rPr>
            </w:pPr>
            <w:r w:rsidRPr="00811A72">
              <w:rPr>
                <w:b/>
                <w:color w:val="494847"/>
                <w:sz w:val="24"/>
                <w:szCs w:val="24"/>
              </w:rPr>
              <w:t>Electronic transactions</w:t>
            </w:r>
          </w:p>
        </w:tc>
        <w:tc>
          <w:tcPr>
            <w:tcW w:w="3685" w:type="dxa"/>
          </w:tcPr>
          <w:p w:rsidR="00811A72" w:rsidRPr="00811A72" w:rsidRDefault="00811A72" w:rsidP="00811A72">
            <w:pPr>
              <w:ind w:left="0"/>
              <w:cnfStyle w:val="100000000000" w:firstRow="1" w:lastRow="0" w:firstColumn="0" w:lastColumn="0" w:oddVBand="0" w:evenVBand="0" w:oddHBand="0" w:evenHBand="0" w:firstRowFirstColumn="0" w:firstRowLastColumn="0" w:lastRowFirstColumn="0" w:lastRowLastColumn="0"/>
              <w:rPr>
                <w:sz w:val="24"/>
                <w:szCs w:val="24"/>
              </w:rPr>
            </w:pPr>
            <w:r w:rsidRPr="00811A72">
              <w:rPr>
                <w:b/>
                <w:color w:val="494847"/>
                <w:sz w:val="24"/>
                <w:szCs w:val="24"/>
              </w:rPr>
              <w:t>Paper transactions</w:t>
            </w:r>
          </w:p>
        </w:tc>
      </w:tr>
      <w:tr w:rsidR="00811A72" w:rsidTr="00811A72">
        <w:tc>
          <w:tcPr>
            <w:tcW w:w="2977" w:type="dxa"/>
          </w:tcPr>
          <w:p w:rsidR="00811A72" w:rsidRDefault="00811A72" w:rsidP="00811A72">
            <w:pPr>
              <w:pStyle w:val="BodyText"/>
              <w:ind w:left="142"/>
            </w:pPr>
            <w:r w:rsidRPr="0052767E">
              <w:t>Discharge of mortgage</w:t>
            </w:r>
          </w:p>
        </w:tc>
        <w:tc>
          <w:tcPr>
            <w:tcW w:w="3685" w:type="dxa"/>
          </w:tcPr>
          <w:p w:rsidR="00811A72" w:rsidRDefault="00811A72" w:rsidP="00811A72">
            <w:pPr>
              <w:pStyle w:val="BodyText"/>
              <w:ind w:left="0"/>
            </w:pPr>
            <w:r w:rsidRPr="0052767E">
              <w:t>$</w:t>
            </w:r>
            <w:r>
              <w:t>110.80</w:t>
            </w:r>
          </w:p>
        </w:tc>
        <w:tc>
          <w:tcPr>
            <w:tcW w:w="3685" w:type="dxa"/>
          </w:tcPr>
          <w:p w:rsidR="00811A72" w:rsidRDefault="00811A72" w:rsidP="00811A72">
            <w:pPr>
              <w:pStyle w:val="BodyText"/>
              <w:ind w:left="0"/>
            </w:pPr>
            <w:r w:rsidRPr="0052767E">
              <w:t>$</w:t>
            </w:r>
            <w:r>
              <w:t>119.70</w:t>
            </w:r>
          </w:p>
        </w:tc>
      </w:tr>
      <w:tr w:rsidR="00811A72" w:rsidTr="00811A72">
        <w:tc>
          <w:tcPr>
            <w:tcW w:w="2977" w:type="dxa"/>
          </w:tcPr>
          <w:p w:rsidR="00811A72" w:rsidRDefault="00811A72" w:rsidP="00811A72">
            <w:pPr>
              <w:pStyle w:val="BodyText"/>
              <w:ind w:left="142"/>
            </w:pPr>
            <w:r w:rsidRPr="0052767E">
              <w:t>Transfer of land</w:t>
            </w:r>
          </w:p>
        </w:tc>
        <w:tc>
          <w:tcPr>
            <w:tcW w:w="3685" w:type="dxa"/>
          </w:tcPr>
          <w:p w:rsidR="00811A72" w:rsidRDefault="00811A72" w:rsidP="00811A72">
            <w:pPr>
              <w:pStyle w:val="BodyText"/>
              <w:ind w:left="0"/>
            </w:pPr>
            <w:r w:rsidRPr="0052767E">
              <w:t>$</w:t>
            </w:r>
            <w:r>
              <w:t xml:space="preserve">89.50 </w:t>
            </w:r>
            <w:r w:rsidRPr="0052767E">
              <w:t>plus</w:t>
            </w:r>
            <w:r>
              <w:t xml:space="preserve"> </w:t>
            </w:r>
            <w:r w:rsidRPr="0052767E">
              <w:t>$2.34 per $1000 of consideration</w:t>
            </w:r>
          </w:p>
        </w:tc>
        <w:tc>
          <w:tcPr>
            <w:tcW w:w="3685" w:type="dxa"/>
          </w:tcPr>
          <w:p w:rsidR="00811A72" w:rsidRDefault="00811A72" w:rsidP="00811A72">
            <w:pPr>
              <w:pStyle w:val="BodyText"/>
              <w:ind w:left="0"/>
            </w:pPr>
            <w:r w:rsidRPr="0052767E">
              <w:t>$</w:t>
            </w:r>
            <w:r>
              <w:t>98.50</w:t>
            </w:r>
            <w:r w:rsidRPr="0052767E">
              <w:t xml:space="preserve"> plus</w:t>
            </w:r>
            <w:r>
              <w:t xml:space="preserve"> </w:t>
            </w:r>
            <w:r w:rsidRPr="0052767E">
              <w:t>$2.34 per $1000 of consideratio</w:t>
            </w:r>
            <w:r>
              <w:t>n</w:t>
            </w:r>
          </w:p>
        </w:tc>
      </w:tr>
      <w:tr w:rsidR="00811A72" w:rsidTr="00811A72">
        <w:tc>
          <w:tcPr>
            <w:tcW w:w="2977" w:type="dxa"/>
          </w:tcPr>
          <w:p w:rsidR="00811A72" w:rsidRDefault="00811A72" w:rsidP="00811A72">
            <w:pPr>
              <w:pStyle w:val="BodyText"/>
              <w:ind w:left="142"/>
            </w:pPr>
            <w:r w:rsidRPr="0052767E">
              <w:t>Mortgage</w:t>
            </w:r>
          </w:p>
        </w:tc>
        <w:tc>
          <w:tcPr>
            <w:tcW w:w="3685" w:type="dxa"/>
          </w:tcPr>
          <w:p w:rsidR="00811A72" w:rsidRDefault="00811A72" w:rsidP="00811A72">
            <w:pPr>
              <w:pStyle w:val="BodyText"/>
              <w:ind w:left="0"/>
            </w:pPr>
            <w:r w:rsidRPr="0052767E">
              <w:t>$</w:t>
            </w:r>
            <w:r>
              <w:t>110.80</w:t>
            </w:r>
          </w:p>
        </w:tc>
        <w:tc>
          <w:tcPr>
            <w:tcW w:w="3685" w:type="dxa"/>
          </w:tcPr>
          <w:p w:rsidR="00811A72" w:rsidRDefault="00811A72" w:rsidP="00811A72">
            <w:pPr>
              <w:pStyle w:val="BodyText"/>
              <w:ind w:left="0"/>
            </w:pPr>
            <w:r w:rsidRPr="0052767E">
              <w:t>$</w:t>
            </w:r>
            <w:r>
              <w:t>119.70</w:t>
            </w:r>
          </w:p>
        </w:tc>
      </w:tr>
      <w:tr w:rsidR="00811A72" w:rsidTr="00811A72">
        <w:tc>
          <w:tcPr>
            <w:tcW w:w="2977" w:type="dxa"/>
          </w:tcPr>
          <w:p w:rsidR="00811A72" w:rsidRDefault="00811A72" w:rsidP="00811A72">
            <w:pPr>
              <w:pStyle w:val="BodyText"/>
              <w:ind w:left="142"/>
            </w:pPr>
            <w:r w:rsidRPr="0052767E">
              <w:t>Caveat</w:t>
            </w:r>
          </w:p>
        </w:tc>
        <w:tc>
          <w:tcPr>
            <w:tcW w:w="3685" w:type="dxa"/>
          </w:tcPr>
          <w:p w:rsidR="00811A72" w:rsidRDefault="00811A72" w:rsidP="00811A72">
            <w:pPr>
              <w:pStyle w:val="BodyText"/>
              <w:ind w:left="0"/>
            </w:pPr>
            <w:r w:rsidRPr="0052767E">
              <w:t>$</w:t>
            </w:r>
            <w:r>
              <w:t>40.10</w:t>
            </w:r>
          </w:p>
        </w:tc>
        <w:tc>
          <w:tcPr>
            <w:tcW w:w="3685" w:type="dxa"/>
          </w:tcPr>
          <w:p w:rsidR="00811A72" w:rsidRDefault="00811A72" w:rsidP="00811A72">
            <w:pPr>
              <w:pStyle w:val="BodyText"/>
              <w:ind w:left="0"/>
            </w:pPr>
            <w:r w:rsidRPr="0052767E">
              <w:t>$</w:t>
            </w:r>
            <w:r>
              <w:t>49.20</w:t>
            </w:r>
          </w:p>
        </w:tc>
      </w:tr>
      <w:tr w:rsidR="00811A72" w:rsidTr="00811A72">
        <w:tc>
          <w:tcPr>
            <w:tcW w:w="2977" w:type="dxa"/>
          </w:tcPr>
          <w:p w:rsidR="00811A72" w:rsidRDefault="00811A72" w:rsidP="00811A72">
            <w:pPr>
              <w:pStyle w:val="BodyText"/>
              <w:ind w:left="142"/>
            </w:pPr>
            <w:r w:rsidRPr="0052767E">
              <w:t>Transfer (non-monetary)</w:t>
            </w:r>
          </w:p>
        </w:tc>
        <w:tc>
          <w:tcPr>
            <w:tcW w:w="3685" w:type="dxa"/>
          </w:tcPr>
          <w:p w:rsidR="00811A72" w:rsidRDefault="00811A72" w:rsidP="00811A72">
            <w:pPr>
              <w:pStyle w:val="BodyText"/>
              <w:ind w:left="0"/>
            </w:pPr>
            <w:r w:rsidRPr="0052767E">
              <w:t>$</w:t>
            </w:r>
            <w:r>
              <w:t>89.50</w:t>
            </w:r>
          </w:p>
        </w:tc>
        <w:tc>
          <w:tcPr>
            <w:tcW w:w="3685" w:type="dxa"/>
          </w:tcPr>
          <w:p w:rsidR="00811A72" w:rsidRDefault="00811A72" w:rsidP="00811A72">
            <w:pPr>
              <w:pStyle w:val="BodyText"/>
              <w:ind w:left="0"/>
            </w:pPr>
            <w:r w:rsidRPr="0052767E">
              <w:t>$</w:t>
            </w:r>
            <w:r>
              <w:t>98.50</w:t>
            </w:r>
          </w:p>
        </w:tc>
      </w:tr>
      <w:tr w:rsidR="00811A72" w:rsidTr="00811A72">
        <w:tc>
          <w:tcPr>
            <w:tcW w:w="2977" w:type="dxa"/>
          </w:tcPr>
          <w:p w:rsidR="00811A72" w:rsidRDefault="00811A72" w:rsidP="00811A72">
            <w:pPr>
              <w:pStyle w:val="BodyText"/>
              <w:ind w:left="142"/>
            </w:pPr>
            <w:r w:rsidRPr="0052767E">
              <w:t>Withdrawal of caveat</w:t>
            </w:r>
          </w:p>
        </w:tc>
        <w:tc>
          <w:tcPr>
            <w:tcW w:w="3685" w:type="dxa"/>
          </w:tcPr>
          <w:p w:rsidR="00811A72" w:rsidRDefault="00811A72" w:rsidP="00811A72">
            <w:pPr>
              <w:pStyle w:val="BodyText"/>
              <w:ind w:left="0"/>
            </w:pPr>
            <w:r w:rsidRPr="0052767E">
              <w:t>$</w:t>
            </w:r>
            <w:r>
              <w:t>40.10</w:t>
            </w:r>
          </w:p>
        </w:tc>
        <w:tc>
          <w:tcPr>
            <w:tcW w:w="3685" w:type="dxa"/>
          </w:tcPr>
          <w:p w:rsidR="00811A72" w:rsidRDefault="00811A72" w:rsidP="00811A72">
            <w:pPr>
              <w:pStyle w:val="BodyText"/>
              <w:ind w:left="0"/>
            </w:pPr>
            <w:r w:rsidRPr="0052767E">
              <w:t>$</w:t>
            </w:r>
            <w:r>
              <w:t>49.20</w:t>
            </w:r>
          </w:p>
        </w:tc>
      </w:tr>
      <w:tr w:rsidR="00811A72" w:rsidTr="00811A72">
        <w:tc>
          <w:tcPr>
            <w:tcW w:w="2977" w:type="dxa"/>
          </w:tcPr>
          <w:p w:rsidR="00811A72" w:rsidRDefault="00811A72" w:rsidP="00811A72">
            <w:pPr>
              <w:pStyle w:val="BodyText"/>
              <w:ind w:left="142"/>
            </w:pPr>
            <w:r w:rsidRPr="0052767E">
              <w:t>Transmission application</w:t>
            </w:r>
          </w:p>
        </w:tc>
        <w:tc>
          <w:tcPr>
            <w:tcW w:w="3685" w:type="dxa"/>
          </w:tcPr>
          <w:p w:rsidR="00811A72" w:rsidRDefault="00811A72" w:rsidP="00811A72">
            <w:pPr>
              <w:pStyle w:val="BodyText"/>
              <w:ind w:left="0"/>
            </w:pPr>
            <w:r w:rsidRPr="008168CC">
              <w:t>$</w:t>
            </w:r>
            <w:r>
              <w:t>40.10</w:t>
            </w:r>
          </w:p>
        </w:tc>
        <w:tc>
          <w:tcPr>
            <w:tcW w:w="3685" w:type="dxa"/>
          </w:tcPr>
          <w:p w:rsidR="00811A72" w:rsidRDefault="00811A72" w:rsidP="00811A72">
            <w:pPr>
              <w:pStyle w:val="BodyText"/>
              <w:ind w:left="0"/>
            </w:pPr>
            <w:r>
              <w:t>$49.20</w:t>
            </w:r>
          </w:p>
        </w:tc>
      </w:tr>
      <w:tr w:rsidR="00811A72" w:rsidTr="00811A72">
        <w:tc>
          <w:tcPr>
            <w:tcW w:w="2977" w:type="dxa"/>
          </w:tcPr>
          <w:p w:rsidR="00811A72" w:rsidRPr="0052767E" w:rsidRDefault="00811A72" w:rsidP="00811A72">
            <w:pPr>
              <w:pStyle w:val="BodyText"/>
              <w:ind w:left="142"/>
            </w:pPr>
            <w:r>
              <w:t>Survivorship application</w:t>
            </w:r>
          </w:p>
        </w:tc>
        <w:tc>
          <w:tcPr>
            <w:tcW w:w="3685" w:type="dxa"/>
          </w:tcPr>
          <w:p w:rsidR="00811A72" w:rsidRDefault="00811A72" w:rsidP="00811A72">
            <w:pPr>
              <w:pStyle w:val="BodyText"/>
              <w:ind w:left="0"/>
            </w:pPr>
            <w:r w:rsidRPr="008168CC">
              <w:t>$</w:t>
            </w:r>
            <w:r>
              <w:t>40.10</w:t>
            </w:r>
          </w:p>
        </w:tc>
        <w:tc>
          <w:tcPr>
            <w:tcW w:w="3685" w:type="dxa"/>
          </w:tcPr>
          <w:p w:rsidR="00811A72" w:rsidRDefault="00811A72" w:rsidP="00811A72">
            <w:pPr>
              <w:pStyle w:val="BodyText"/>
              <w:ind w:left="0"/>
            </w:pPr>
            <w:r w:rsidRPr="0052767E">
              <w:t>$</w:t>
            </w:r>
            <w:r>
              <w:t>49.20</w:t>
            </w:r>
          </w:p>
        </w:tc>
      </w:tr>
      <w:tr w:rsidR="00811A72" w:rsidTr="00811A72">
        <w:tc>
          <w:tcPr>
            <w:tcW w:w="2977" w:type="dxa"/>
          </w:tcPr>
          <w:p w:rsidR="00811A72" w:rsidRDefault="00811A72" w:rsidP="00811A72">
            <w:pPr>
              <w:pStyle w:val="BodyText"/>
              <w:ind w:left="142"/>
            </w:pPr>
            <w:r w:rsidRPr="0052767E">
              <w:t>Priority notice</w:t>
            </w:r>
          </w:p>
        </w:tc>
        <w:tc>
          <w:tcPr>
            <w:tcW w:w="3685" w:type="dxa"/>
          </w:tcPr>
          <w:p w:rsidR="00811A72" w:rsidRDefault="00811A72" w:rsidP="00811A72">
            <w:pPr>
              <w:pStyle w:val="BodyText"/>
              <w:ind w:left="0"/>
            </w:pPr>
            <w:r w:rsidRPr="0052767E">
              <w:t>$</w:t>
            </w:r>
            <w:r>
              <w:t>30.40</w:t>
            </w:r>
          </w:p>
        </w:tc>
        <w:tc>
          <w:tcPr>
            <w:tcW w:w="3685" w:type="dxa"/>
          </w:tcPr>
          <w:p w:rsidR="00811A72" w:rsidRPr="0052767E" w:rsidRDefault="00811A72" w:rsidP="00811A72">
            <w:pPr>
              <w:pStyle w:val="BodyText"/>
            </w:pPr>
          </w:p>
        </w:tc>
      </w:tr>
      <w:tr w:rsidR="00811A72" w:rsidTr="00811A72">
        <w:tc>
          <w:tcPr>
            <w:tcW w:w="2977" w:type="dxa"/>
          </w:tcPr>
          <w:p w:rsidR="00811A72" w:rsidRPr="0052767E" w:rsidRDefault="00811A72" w:rsidP="00811A72">
            <w:pPr>
              <w:pStyle w:val="BodyText"/>
              <w:ind w:left="142"/>
            </w:pPr>
            <w:r w:rsidRPr="0052767E">
              <w:t>Withdrawal of priority notice</w:t>
            </w:r>
          </w:p>
        </w:tc>
        <w:tc>
          <w:tcPr>
            <w:tcW w:w="3685" w:type="dxa"/>
          </w:tcPr>
          <w:p w:rsidR="00811A72" w:rsidRDefault="00811A72" w:rsidP="00811A72">
            <w:pPr>
              <w:pStyle w:val="BodyText"/>
              <w:ind w:left="0"/>
            </w:pPr>
            <w:r w:rsidRPr="0052767E">
              <w:t>$</w:t>
            </w:r>
            <w:r>
              <w:t>30.40</w:t>
            </w:r>
          </w:p>
        </w:tc>
        <w:tc>
          <w:tcPr>
            <w:tcW w:w="3685" w:type="dxa"/>
          </w:tcPr>
          <w:p w:rsidR="00811A72" w:rsidRDefault="00811A72" w:rsidP="00811A72">
            <w:pPr>
              <w:pStyle w:val="BodyText"/>
            </w:pPr>
          </w:p>
        </w:tc>
      </w:tr>
    </w:tbl>
    <w:p w:rsidR="00FB35DB" w:rsidRDefault="00FB35DB" w:rsidP="00E43DAC">
      <w:pPr>
        <w:pStyle w:val="Heading3"/>
        <w:sectPr w:rsidR="00FB35DB" w:rsidSect="001D2954">
          <w:type w:val="continuous"/>
          <w:pgSz w:w="11907" w:h="16840" w:code="9"/>
          <w:pgMar w:top="2211" w:right="851" w:bottom="1758" w:left="851" w:header="284" w:footer="284" w:gutter="0"/>
          <w:cols w:space="284"/>
          <w:docGrid w:linePitch="360"/>
        </w:sectPr>
      </w:pPr>
    </w:p>
    <w:p w:rsidR="00811A72" w:rsidRDefault="00811A72" w:rsidP="001D2954">
      <w:pPr>
        <w:pStyle w:val="Heading2"/>
        <w:rPr>
          <w:sz w:val="32"/>
          <w:szCs w:val="32"/>
        </w:rPr>
      </w:pPr>
    </w:p>
    <w:p w:rsidR="00B1339F" w:rsidRPr="00811A72" w:rsidRDefault="00B1339F" w:rsidP="001D2954">
      <w:pPr>
        <w:pStyle w:val="Heading2"/>
        <w:rPr>
          <w:sz w:val="32"/>
          <w:szCs w:val="32"/>
        </w:rPr>
      </w:pPr>
      <w:bookmarkStart w:id="1" w:name="_GoBack"/>
      <w:bookmarkEnd w:id="1"/>
      <w:r w:rsidRPr="00811A72">
        <w:rPr>
          <w:sz w:val="32"/>
          <w:szCs w:val="32"/>
        </w:rPr>
        <w:t>Subdivision Act 1988</w:t>
      </w:r>
    </w:p>
    <w:tbl>
      <w:tblPr>
        <w:tblStyle w:val="TableGrid"/>
        <w:tblW w:w="10206" w:type="dxa"/>
        <w:tblLook w:val="04A0" w:firstRow="1" w:lastRow="0" w:firstColumn="1" w:lastColumn="0" w:noHBand="0" w:noVBand="1"/>
      </w:tblPr>
      <w:tblGrid>
        <w:gridCol w:w="3181"/>
        <w:gridCol w:w="7025"/>
      </w:tblGrid>
      <w:tr w:rsidR="004E1BA0" w:rsidRPr="00811A72" w:rsidTr="004E1BA0">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3181" w:type="dxa"/>
          </w:tcPr>
          <w:p w:rsidR="004E1BA0" w:rsidRPr="00811A72" w:rsidRDefault="004E1BA0" w:rsidP="004E1BA0">
            <w:pPr>
              <w:rPr>
                <w:b/>
                <w:color w:val="494847"/>
                <w:sz w:val="24"/>
                <w:szCs w:val="24"/>
              </w:rPr>
            </w:pPr>
            <w:r w:rsidRPr="00811A72">
              <w:rPr>
                <w:b/>
                <w:color w:val="494847"/>
                <w:sz w:val="24"/>
                <w:szCs w:val="24"/>
              </w:rPr>
              <w:t>Description</w:t>
            </w:r>
          </w:p>
        </w:tc>
        <w:tc>
          <w:tcPr>
            <w:tcW w:w="7025" w:type="dxa"/>
          </w:tcPr>
          <w:p w:rsidR="004E1BA0" w:rsidRPr="00811A72" w:rsidRDefault="004E1BA0" w:rsidP="00811A72">
            <w:pPr>
              <w:cnfStyle w:val="100000000000" w:firstRow="1" w:lastRow="0" w:firstColumn="0" w:lastColumn="0" w:oddVBand="0" w:evenVBand="0" w:oddHBand="0" w:evenHBand="0" w:firstRowFirstColumn="0" w:firstRowLastColumn="0" w:lastRowFirstColumn="0" w:lastRowLastColumn="0"/>
              <w:rPr>
                <w:b/>
                <w:color w:val="494847"/>
                <w:sz w:val="24"/>
                <w:szCs w:val="24"/>
              </w:rPr>
            </w:pPr>
          </w:p>
        </w:tc>
      </w:tr>
      <w:tr w:rsidR="004E1BA0" w:rsidTr="004E1BA0">
        <w:tc>
          <w:tcPr>
            <w:tcW w:w="3181" w:type="dxa"/>
          </w:tcPr>
          <w:p w:rsidR="004E1BA0" w:rsidRDefault="004E1BA0" w:rsidP="004E1BA0">
            <w:pPr>
              <w:pStyle w:val="BodyText"/>
              <w:ind w:left="142"/>
            </w:pPr>
            <w:r w:rsidRPr="00E43DAC">
              <w:t>Plan of subdivision</w:t>
            </w:r>
            <w:r w:rsidRPr="0052767E">
              <w:t xml:space="preserve"> </w:t>
            </w:r>
          </w:p>
        </w:tc>
        <w:tc>
          <w:tcPr>
            <w:tcW w:w="7025" w:type="dxa"/>
          </w:tcPr>
          <w:p w:rsidR="004E1BA0" w:rsidRDefault="004E1BA0" w:rsidP="000A15B0">
            <w:pPr>
              <w:pStyle w:val="BodyText"/>
              <w:ind w:left="0"/>
            </w:pPr>
            <w:r w:rsidRPr="00E43DAC">
              <w:t>$</w:t>
            </w:r>
            <w:r>
              <w:t>620.20</w:t>
            </w:r>
            <w:r w:rsidRPr="00E43DAC">
              <w:t xml:space="preserve"> plus $</w:t>
            </w:r>
            <w:r>
              <w:t>191.80</w:t>
            </w:r>
            <w:r w:rsidRPr="00E43DAC">
              <w:t xml:space="preserve"> per parcel </w:t>
            </w:r>
          </w:p>
          <w:p w:rsidR="004E1BA0" w:rsidRDefault="004E1BA0" w:rsidP="000A15B0">
            <w:pPr>
              <w:pStyle w:val="BodyText"/>
              <w:ind w:left="0"/>
            </w:pPr>
            <w:r w:rsidRPr="00E43DAC">
              <w:t>(a parcel is each lot, road, reserve or common property created by the plan)</w:t>
            </w:r>
            <w:r>
              <w:t xml:space="preserve"> </w:t>
            </w:r>
          </w:p>
        </w:tc>
      </w:tr>
    </w:tbl>
    <w:p w:rsidR="004E1BA0" w:rsidRDefault="004E1BA0" w:rsidP="00E43DAC">
      <w:pPr>
        <w:pStyle w:val="BodyText"/>
        <w:ind w:left="2835" w:hanging="2835"/>
      </w:pPr>
    </w:p>
    <w:p w:rsidR="00B1339F" w:rsidRPr="00E43DAC" w:rsidRDefault="00B1339F" w:rsidP="00E43DAC">
      <w:pPr>
        <w:pStyle w:val="BodyText"/>
        <w:ind w:left="2835" w:hanging="2835"/>
      </w:pPr>
      <w:r w:rsidRPr="00E43DAC">
        <w:lastRenderedPageBreak/>
        <w:tab/>
      </w:r>
    </w:p>
    <w:p w:rsidR="00811A72" w:rsidRDefault="00811A72" w:rsidP="00B1339F">
      <w:pPr>
        <w:pStyle w:val="Heading1"/>
        <w:rPr>
          <w:rFonts w:eastAsiaTheme="minorHAnsi"/>
          <w:lang w:eastAsia="en-US"/>
        </w:rPr>
      </w:pPr>
    </w:p>
    <w:p w:rsidR="00811A72" w:rsidRDefault="00811A72" w:rsidP="00B1339F">
      <w:pPr>
        <w:pStyle w:val="Heading1"/>
        <w:rPr>
          <w:rFonts w:eastAsiaTheme="minorHAnsi"/>
          <w:lang w:eastAsia="en-US"/>
        </w:rPr>
      </w:pPr>
    </w:p>
    <w:p w:rsidR="00811A72" w:rsidRDefault="00811A72" w:rsidP="00B1339F">
      <w:pPr>
        <w:pStyle w:val="Heading1"/>
        <w:rPr>
          <w:rFonts w:eastAsiaTheme="minorHAnsi"/>
          <w:lang w:eastAsia="en-US"/>
        </w:rPr>
      </w:pPr>
    </w:p>
    <w:p w:rsidR="00811A72" w:rsidRDefault="00811A72" w:rsidP="00B1339F">
      <w:pPr>
        <w:pStyle w:val="Heading1"/>
        <w:rPr>
          <w:rFonts w:eastAsiaTheme="minorHAnsi"/>
          <w:lang w:eastAsia="en-US"/>
        </w:rPr>
      </w:pPr>
    </w:p>
    <w:p w:rsidR="00811A72" w:rsidRDefault="00811A72" w:rsidP="00B1339F">
      <w:pPr>
        <w:pStyle w:val="Heading1"/>
        <w:rPr>
          <w:rFonts w:eastAsiaTheme="minorHAnsi"/>
          <w:lang w:eastAsia="en-US"/>
        </w:rPr>
      </w:pPr>
    </w:p>
    <w:p w:rsidR="00811A72" w:rsidRDefault="00811A72" w:rsidP="00B1339F">
      <w:pPr>
        <w:pStyle w:val="Heading1"/>
        <w:rPr>
          <w:rFonts w:eastAsiaTheme="minorHAnsi"/>
          <w:lang w:eastAsia="en-US"/>
        </w:rPr>
      </w:pPr>
    </w:p>
    <w:p w:rsidR="00811A72" w:rsidRDefault="00811A72" w:rsidP="00B1339F">
      <w:pPr>
        <w:pStyle w:val="Heading1"/>
        <w:rPr>
          <w:rFonts w:eastAsiaTheme="minorHAnsi"/>
          <w:lang w:eastAsia="en-US"/>
        </w:rPr>
      </w:pPr>
    </w:p>
    <w:p w:rsidR="00811A72" w:rsidRDefault="00811A72" w:rsidP="00B1339F">
      <w:pPr>
        <w:pStyle w:val="Heading1"/>
        <w:rPr>
          <w:rFonts w:eastAsiaTheme="minorHAnsi"/>
          <w:lang w:eastAsia="en-US"/>
        </w:rPr>
      </w:pPr>
    </w:p>
    <w:p w:rsidR="00811A72" w:rsidRDefault="00811A72" w:rsidP="00B1339F">
      <w:pPr>
        <w:pStyle w:val="Heading1"/>
        <w:rPr>
          <w:rFonts w:eastAsiaTheme="minorHAnsi"/>
          <w:lang w:eastAsia="en-US"/>
        </w:rPr>
      </w:pPr>
    </w:p>
    <w:p w:rsidR="00811A72" w:rsidRDefault="00811A72" w:rsidP="00B1339F">
      <w:pPr>
        <w:pStyle w:val="Heading1"/>
        <w:rPr>
          <w:rFonts w:eastAsiaTheme="minorHAnsi"/>
          <w:lang w:eastAsia="en-US"/>
        </w:rPr>
      </w:pPr>
    </w:p>
    <w:p w:rsidR="00811A72" w:rsidRDefault="00811A72" w:rsidP="00B1339F">
      <w:pPr>
        <w:pStyle w:val="Heading1"/>
        <w:rPr>
          <w:rFonts w:eastAsiaTheme="minorHAnsi"/>
          <w:lang w:eastAsia="en-US"/>
        </w:rPr>
      </w:pPr>
    </w:p>
    <w:p w:rsidR="00B1339F" w:rsidRPr="00E43DAC" w:rsidRDefault="00D412B8" w:rsidP="00B1339F">
      <w:pPr>
        <w:pStyle w:val="Heading1"/>
        <w:rPr>
          <w:rFonts w:eastAsiaTheme="minorHAnsi"/>
          <w:lang w:eastAsia="en-US"/>
        </w:rPr>
      </w:pPr>
      <w:r>
        <w:rPr>
          <w:rFonts w:eastAsiaTheme="minorHAnsi"/>
          <w:lang w:eastAsia="en-US"/>
        </w:rPr>
        <w:t>Co</w:t>
      </w:r>
      <w:r w:rsidR="00B1339F">
        <w:rPr>
          <w:rFonts w:eastAsiaTheme="minorHAnsi"/>
          <w:lang w:eastAsia="en-US"/>
        </w:rPr>
        <w:t>ntact us</w:t>
      </w:r>
    </w:p>
    <w:tbl>
      <w:tblPr>
        <w:tblpPr w:leftFromText="181" w:rightFromText="181" w:topFromText="113" w:horzAnchor="page" w:tblpX="852" w:tblpYSpec="bottom"/>
        <w:tblOverlap w:val="never"/>
        <w:tblW w:w="10336"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83"/>
        <w:gridCol w:w="5053"/>
      </w:tblGrid>
      <w:tr w:rsidR="00B1339F" w:rsidTr="00CD01A1">
        <w:trPr>
          <w:trHeight w:val="962"/>
        </w:trPr>
        <w:tc>
          <w:tcPr>
            <w:tcW w:w="5283" w:type="dxa"/>
            <w:shd w:val="clear" w:color="auto" w:fill="auto"/>
          </w:tcPr>
          <w:p w:rsidR="00B1339F" w:rsidRDefault="00B1339F" w:rsidP="00CD01A1">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811A72">
              <w:rPr>
                <w:noProof/>
              </w:rPr>
              <w:t>2019</w:t>
            </w:r>
            <w:r>
              <w:fldChar w:fldCharType="end"/>
            </w:r>
          </w:p>
          <w:p w:rsidR="00B1339F" w:rsidRDefault="00B1339F" w:rsidP="00CD01A1">
            <w:pPr>
              <w:pStyle w:val="SmallBodyText"/>
            </w:pPr>
            <w:r>
              <w:rPr>
                <w:noProof/>
              </w:rPr>
              <w:drawing>
                <wp:anchor distT="0" distB="0" distL="114300" distR="36195" simplePos="0" relativeHeight="251660800" behindDoc="0" locked="1" layoutInCell="1" allowOverlap="1" wp14:anchorId="48A71856" wp14:editId="4D5D6C77">
                  <wp:simplePos x="0" y="0"/>
                  <wp:positionH relativeFrom="column">
                    <wp:posOffset>0</wp:posOffset>
                  </wp:positionH>
                  <wp:positionV relativeFrom="paragraph">
                    <wp:posOffset>28575</wp:posOffset>
                  </wp:positionV>
                  <wp:extent cx="658800" cy="237600"/>
                  <wp:effectExtent l="0" t="0" r="8255" b="0"/>
                  <wp:wrapSquare wrapText="bothSides"/>
                  <wp:docPr id="20" name="Picture 2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5">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B1339F" w:rsidRPr="008F559C" w:rsidRDefault="00B1339F" w:rsidP="00CD01A1">
            <w:pPr>
              <w:pStyle w:val="SmallHeading"/>
            </w:pPr>
            <w:r w:rsidRPr="00C255C2">
              <w:t>Disclaimer</w:t>
            </w:r>
          </w:p>
          <w:p w:rsidR="00B1339F" w:rsidRDefault="00B1339F" w:rsidP="00CD01A1">
            <w:pPr>
              <w:pStyle w:val="SmallBodyText"/>
            </w:pPr>
            <w:r w:rsidRPr="00405DE3">
              <w:t xml:space="preserve">This publication may be of assistance to </w:t>
            </w:r>
            <w:proofErr w:type="gramStart"/>
            <w:r w:rsidRPr="00405DE3">
              <w:t>you</w:t>
            </w:r>
            <w:proofErr w:type="gramEnd"/>
            <w:r w:rsidRPr="00405DE3">
              <w:t xml:space="preserve">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5053" w:type="dxa"/>
            <w:shd w:val="clear" w:color="auto" w:fill="auto"/>
          </w:tcPr>
          <w:p w:rsidR="00B1339F" w:rsidRPr="00E97294" w:rsidRDefault="00B1339F" w:rsidP="00CD01A1">
            <w:pPr>
              <w:pStyle w:val="xAccessibilityHeading"/>
            </w:pPr>
            <w:r w:rsidRPr="00E97294">
              <w:t>Accessibility</w:t>
            </w:r>
          </w:p>
          <w:p w:rsidR="00B1339F" w:rsidRDefault="00B1339F" w:rsidP="00CD01A1">
            <w:pPr>
              <w:pStyle w:val="xAccessibilityText"/>
            </w:pPr>
            <w:r>
              <w:t>If you would like to receive this publication in an alternative format, please telephone the DELWP Customer Service Centre on 136186, email </w:t>
            </w:r>
            <w:hyperlink r:id="rId16" w:history="1">
              <w:r w:rsidRPr="003C5C56">
                <w:t>customer.service@delwp.vic.gov.au</w:t>
              </w:r>
            </w:hyperlink>
            <w:r>
              <w:t xml:space="preserve">, or via the National Relay Service on 133 677 </w:t>
            </w:r>
            <w:hyperlink r:id="rId17" w:history="1">
              <w:r w:rsidRPr="00AE3298">
                <w:t>www.relayservice.com.au</w:t>
              </w:r>
            </w:hyperlink>
            <w:r>
              <w:t xml:space="preserve">. This document is also available at </w:t>
            </w:r>
            <w:hyperlink r:id="rId18" w:history="1">
              <w:r w:rsidRPr="00AE3298">
                <w:t>www.delwp.vic.gov.au</w:t>
              </w:r>
            </w:hyperlink>
            <w:r>
              <w:t xml:space="preserve">. </w:t>
            </w:r>
          </w:p>
          <w:p w:rsidR="00B1339F" w:rsidRDefault="00B1339F" w:rsidP="00CD01A1">
            <w:pPr>
              <w:pStyle w:val="SmallBodyText"/>
            </w:pPr>
          </w:p>
        </w:tc>
      </w:tr>
    </w:tbl>
    <w:p w:rsidR="00B1339F" w:rsidRDefault="00B1339F" w:rsidP="00B1339F">
      <w:pPr>
        <w:pStyle w:val="SmallBodyText"/>
        <w:sectPr w:rsidR="00B1339F" w:rsidSect="00B1339F">
          <w:type w:val="continuous"/>
          <w:pgSz w:w="11907" w:h="16840" w:code="9"/>
          <w:pgMar w:top="2211" w:right="851" w:bottom="1758" w:left="851" w:header="284" w:footer="284" w:gutter="0"/>
          <w:cols w:space="284"/>
          <w:docGrid w:linePitch="360"/>
        </w:sectPr>
      </w:pPr>
    </w:p>
    <w:p w:rsidR="00B1339F" w:rsidRPr="00442C5A" w:rsidRDefault="00B1339F" w:rsidP="00442C5A">
      <w:pPr>
        <w:pStyle w:val="BodyText"/>
        <w:rPr>
          <w:rFonts w:eastAsiaTheme="minorHAnsi" w:cs="Calibri"/>
          <w:color w:val="000000"/>
          <w:szCs w:val="22"/>
        </w:rPr>
        <w:sectPr w:rsidR="00B1339F" w:rsidRPr="00442C5A" w:rsidSect="00DC2A51">
          <w:type w:val="continuous"/>
          <w:pgSz w:w="11907" w:h="16840" w:code="9"/>
          <w:pgMar w:top="2211" w:right="851" w:bottom="1758" w:left="851" w:header="284" w:footer="284" w:gutter="0"/>
          <w:cols w:space="284"/>
          <w:docGrid w:linePitch="360"/>
        </w:sectPr>
      </w:pPr>
      <w:r>
        <w:rPr>
          <w:rFonts w:eastAsiaTheme="minorHAnsi" w:cs="Calibri"/>
          <w:color w:val="000000"/>
          <w:szCs w:val="22"/>
        </w:rPr>
        <w:t xml:space="preserve">For </w:t>
      </w:r>
      <w:hyperlink r:id="rId19" w:history="1">
        <w:r>
          <w:rPr>
            <w:rFonts w:eastAsiaTheme="minorHAnsi" w:cs="Calibri"/>
            <w:color w:val="000000"/>
            <w:szCs w:val="22"/>
            <w:u w:val="single"/>
          </w:rPr>
          <w:t>location and contact details</w:t>
        </w:r>
      </w:hyperlink>
      <w:r>
        <w:rPr>
          <w:rFonts w:eastAsiaTheme="minorHAnsi" w:cs="Calibri"/>
          <w:color w:val="000000"/>
          <w:szCs w:val="22"/>
        </w:rPr>
        <w:t xml:space="preserve">, go to </w:t>
      </w:r>
      <w:hyperlink r:id="rId20" w:history="1">
        <w:r>
          <w:rPr>
            <w:rFonts w:eastAsiaTheme="minorHAnsi" w:cs="Calibri"/>
            <w:color w:val="000000"/>
            <w:szCs w:val="22"/>
            <w:u w:val="single"/>
          </w:rPr>
          <w:t>www.propertyandlandtitles.vic.gov.au/contact-us</w:t>
        </w:r>
      </w:hyperlink>
      <w:r>
        <w:rPr>
          <w:rFonts w:eastAsiaTheme="minorHAnsi" w:cs="Calibri"/>
          <w:color w:val="000000"/>
          <w:szCs w:val="22"/>
        </w:rPr>
        <w:t>.</w:t>
      </w:r>
    </w:p>
    <w:p w:rsidR="00B1339F" w:rsidRPr="0052767E" w:rsidRDefault="00B1339F" w:rsidP="00B1339F"/>
    <w:sectPr w:rsidR="00B1339F" w:rsidRPr="0052767E" w:rsidSect="00B1339F">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0DAE" w:rsidRDefault="00690DAE">
      <w:r>
        <w:separator/>
      </w:r>
    </w:p>
    <w:p w:rsidR="00690DAE" w:rsidRDefault="00690DAE"/>
    <w:p w:rsidR="00690DAE" w:rsidRDefault="00690DAE"/>
  </w:endnote>
  <w:endnote w:type="continuationSeparator" w:id="0">
    <w:p w:rsidR="00690DAE" w:rsidRDefault="00690DAE">
      <w:r>
        <w:continuationSeparator/>
      </w:r>
    </w:p>
    <w:p w:rsidR="00690DAE" w:rsidRDefault="00690DAE"/>
    <w:p w:rsidR="00690DAE" w:rsidRDefault="00690D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2AA" w:rsidRPr="008A3E38" w:rsidRDefault="00811A72" w:rsidP="008A3E38">
    <w:pPr>
      <w:pStyle w:val="Footer"/>
      <w:rPr>
        <w:sz w:val="20"/>
      </w:rPr>
    </w:pPr>
    <w:sdt>
      <w:sdtPr>
        <w:id w:val="-1705238520"/>
        <w:docPartObj>
          <w:docPartGallery w:val="Page Numbers (Top of Page)"/>
          <w:docPartUnique/>
        </w:docPartObj>
      </w:sdtPr>
      <w:sdtEndPr/>
      <w:sdtContent>
        <w:r w:rsidR="00A666F2">
          <w:t xml:space="preserve">Page </w:t>
        </w:r>
        <w:r w:rsidR="00A666F2">
          <w:rPr>
            <w:b/>
            <w:bCs/>
            <w:sz w:val="24"/>
            <w:szCs w:val="24"/>
          </w:rPr>
          <w:fldChar w:fldCharType="begin"/>
        </w:r>
        <w:r w:rsidR="00A666F2">
          <w:rPr>
            <w:b/>
            <w:bCs/>
          </w:rPr>
          <w:instrText xml:space="preserve"> PAGE </w:instrText>
        </w:r>
        <w:r w:rsidR="00A666F2">
          <w:rPr>
            <w:b/>
            <w:bCs/>
            <w:sz w:val="24"/>
            <w:szCs w:val="24"/>
          </w:rPr>
          <w:fldChar w:fldCharType="separate"/>
        </w:r>
        <w:r w:rsidR="00EE5052">
          <w:rPr>
            <w:b/>
            <w:bCs/>
            <w:noProof/>
          </w:rPr>
          <w:t>2</w:t>
        </w:r>
        <w:r w:rsidR="00A666F2">
          <w:rPr>
            <w:b/>
            <w:bCs/>
            <w:sz w:val="24"/>
            <w:szCs w:val="24"/>
          </w:rPr>
          <w:fldChar w:fldCharType="end"/>
        </w:r>
        <w:r w:rsidR="00A666F2">
          <w:t xml:space="preserve"> of </w:t>
        </w:r>
        <w:r w:rsidR="00A666F2">
          <w:rPr>
            <w:b/>
            <w:bCs/>
            <w:sz w:val="24"/>
            <w:szCs w:val="24"/>
          </w:rPr>
          <w:fldChar w:fldCharType="begin"/>
        </w:r>
        <w:r w:rsidR="00A666F2">
          <w:rPr>
            <w:b/>
            <w:bCs/>
          </w:rPr>
          <w:instrText xml:space="preserve"> NUMPAGES  </w:instrText>
        </w:r>
        <w:r w:rsidR="00A666F2">
          <w:rPr>
            <w:b/>
            <w:bCs/>
            <w:sz w:val="24"/>
            <w:szCs w:val="24"/>
          </w:rPr>
          <w:fldChar w:fldCharType="separate"/>
        </w:r>
        <w:r w:rsidR="00EE5052">
          <w:rPr>
            <w:b/>
            <w:bCs/>
            <w:noProof/>
          </w:rPr>
          <w:t>3</w:t>
        </w:r>
        <w:r w:rsidR="00A666F2">
          <w:rPr>
            <w:b/>
            <w:bCs/>
            <w:sz w:val="24"/>
            <w:szCs w:val="24"/>
          </w:rPr>
          <w:fldChar w:fldCharType="end"/>
        </w:r>
      </w:sdtContent>
    </w:sdt>
    <w:r w:rsidR="00E962AA" w:rsidRPr="00D55628">
      <w:rPr>
        <w:noProof/>
      </w:rPr>
      <mc:AlternateContent>
        <mc:Choice Requires="wps">
          <w:drawing>
            <wp:anchor distT="0" distB="0" distL="114300" distR="114300" simplePos="0" relativeHeight="251651584" behindDoc="1" locked="1" layoutInCell="1" allowOverlap="1" wp14:anchorId="121BB204" wp14:editId="4B88EBFD">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BB204"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648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2AA" w:rsidRPr="008A3E38" w:rsidRDefault="00811A72" w:rsidP="008A3E38">
    <w:pPr>
      <w:pStyle w:val="Footer"/>
      <w:rPr>
        <w:sz w:val="20"/>
      </w:rPr>
    </w:pPr>
    <w:sdt>
      <w:sdtPr>
        <w:id w:val="10500778"/>
        <w:docPartObj>
          <w:docPartGallery w:val="Page Numbers (Top of Page)"/>
          <w:docPartUnique/>
        </w:docPartObj>
      </w:sdtPr>
      <w:sdtEndPr/>
      <w:sdtContent>
        <w:r w:rsidR="008A3E38">
          <w:t xml:space="preserve">Page </w:t>
        </w:r>
        <w:r w:rsidR="008A3E38">
          <w:rPr>
            <w:b/>
            <w:bCs/>
            <w:sz w:val="24"/>
            <w:szCs w:val="24"/>
          </w:rPr>
          <w:fldChar w:fldCharType="begin"/>
        </w:r>
        <w:r w:rsidR="008A3E38">
          <w:rPr>
            <w:b/>
            <w:bCs/>
          </w:rPr>
          <w:instrText xml:space="preserve"> PAGE </w:instrText>
        </w:r>
        <w:r w:rsidR="008A3E38">
          <w:rPr>
            <w:b/>
            <w:bCs/>
            <w:sz w:val="24"/>
            <w:szCs w:val="24"/>
          </w:rPr>
          <w:fldChar w:fldCharType="separate"/>
        </w:r>
        <w:r w:rsidR="00EE5052">
          <w:rPr>
            <w:b/>
            <w:bCs/>
            <w:noProof/>
          </w:rPr>
          <w:t>3</w:t>
        </w:r>
        <w:r w:rsidR="008A3E38">
          <w:rPr>
            <w:b/>
            <w:bCs/>
            <w:sz w:val="24"/>
            <w:szCs w:val="24"/>
          </w:rPr>
          <w:fldChar w:fldCharType="end"/>
        </w:r>
        <w:r w:rsidR="008A3E38">
          <w:t xml:space="preserve"> of </w:t>
        </w:r>
        <w:r w:rsidR="008A3E38">
          <w:rPr>
            <w:b/>
            <w:bCs/>
            <w:sz w:val="24"/>
            <w:szCs w:val="24"/>
          </w:rPr>
          <w:fldChar w:fldCharType="begin"/>
        </w:r>
        <w:r w:rsidR="008A3E38">
          <w:rPr>
            <w:b/>
            <w:bCs/>
          </w:rPr>
          <w:instrText xml:space="preserve"> NUMPAGES  </w:instrText>
        </w:r>
        <w:r w:rsidR="008A3E38">
          <w:rPr>
            <w:b/>
            <w:bCs/>
            <w:sz w:val="24"/>
            <w:szCs w:val="24"/>
          </w:rPr>
          <w:fldChar w:fldCharType="separate"/>
        </w:r>
        <w:r w:rsidR="00EE5052">
          <w:rPr>
            <w:b/>
            <w:bCs/>
            <w:noProof/>
          </w:rPr>
          <w:t>3</w:t>
        </w:r>
        <w:r w:rsidR="008A3E38">
          <w:rPr>
            <w:b/>
            <w:bCs/>
            <w:sz w:val="24"/>
            <w:szCs w:val="24"/>
          </w:rPr>
          <w:fldChar w:fldCharType="end"/>
        </w:r>
      </w:sdtContent>
    </w:sdt>
    <w:r w:rsidR="00E962AA" w:rsidRPr="00D55628">
      <w:rPr>
        <w:noProof/>
      </w:rPr>
      <mc:AlternateContent>
        <mc:Choice Requires="wps">
          <w:drawing>
            <wp:anchor distT="0" distB="0" distL="114300" distR="114300" simplePos="0" relativeHeight="251650560" behindDoc="1" locked="1" layoutInCell="1" allowOverlap="1" wp14:anchorId="5ED22D03" wp14:editId="4015BFB4">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D22D03"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659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rsidR="00E962AA" w:rsidRPr="0001226A" w:rsidRDefault="00E962AA"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2AA" w:rsidRDefault="00E962AA" w:rsidP="00BF3066">
    <w:pPr>
      <w:pStyle w:val="Footer"/>
      <w:spacing w:before="1600"/>
    </w:pPr>
    <w:r>
      <w:rPr>
        <w:noProof/>
      </w:rPr>
      <w:drawing>
        <wp:anchor distT="0" distB="0" distL="114300" distR="114300" simplePos="0" relativeHeight="251668480" behindDoc="1" locked="1" layoutInCell="1" allowOverlap="1" wp14:anchorId="2E7968C8" wp14:editId="02B58705">
          <wp:simplePos x="0" y="0"/>
          <wp:positionH relativeFrom="page">
            <wp:align>right</wp:align>
          </wp:positionH>
          <wp:positionV relativeFrom="page">
            <wp:align>bottom</wp:align>
          </wp:positionV>
          <wp:extent cx="2408753" cy="1085850"/>
          <wp:effectExtent l="0" t="0" r="0" b="0"/>
          <wp:wrapNone/>
          <wp:docPr id="14"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9504" behindDoc="0" locked="1" layoutInCell="1" allowOverlap="1" wp14:anchorId="144A6D6E" wp14:editId="0654DD92">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4A6D6E" id="_x0000_t202" coordsize="21600,21600" o:spt="202" path="m,l,21600r21600,l21600,xe">
              <v:stroke joinstyle="miter"/>
              <v:path gradientshapeok="t" o:connecttype="rect"/>
            </v:shapetype>
            <v:shape id="WebAddress" o:spid="_x0000_s1028" type="#_x0000_t202" style="position:absolute;margin-left:0;margin-top:0;width:303pt;height:56.7pt;z-index:25166950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rsidR="00E962AA" w:rsidRPr="009F69FA" w:rsidRDefault="00E962AA"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00C4DDE5" wp14:editId="1B8141FB">
          <wp:simplePos x="0" y="0"/>
          <wp:positionH relativeFrom="page">
            <wp:align>right</wp:align>
          </wp:positionH>
          <wp:positionV relativeFrom="page">
            <wp:align>bottom</wp:align>
          </wp:positionV>
          <wp:extent cx="2422800" cy="1083600"/>
          <wp:effectExtent l="0" t="0" r="0" b="0"/>
          <wp:wrapNone/>
          <wp:docPr id="15"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0DAE" w:rsidRPr="008F5280" w:rsidRDefault="00690DAE" w:rsidP="008F5280">
      <w:pPr>
        <w:pStyle w:val="FootnoteSeparator"/>
      </w:pPr>
    </w:p>
    <w:p w:rsidR="00690DAE" w:rsidRDefault="00690DAE"/>
  </w:footnote>
  <w:footnote w:type="continuationSeparator" w:id="0">
    <w:p w:rsidR="00690DAE" w:rsidRDefault="00690DAE" w:rsidP="008F5280">
      <w:pPr>
        <w:pStyle w:val="FootnoteSeparator"/>
      </w:pPr>
    </w:p>
    <w:p w:rsidR="00690DAE" w:rsidRDefault="00690DAE"/>
    <w:p w:rsidR="00690DAE" w:rsidRDefault="00690DAE"/>
  </w:footnote>
  <w:footnote w:type="continuationNotice" w:id="1">
    <w:p w:rsidR="00690DAE" w:rsidRDefault="00690DAE" w:rsidP="00D55628"/>
    <w:p w:rsidR="00690DAE" w:rsidRDefault="00690DAE"/>
    <w:p w:rsidR="00690DAE" w:rsidRDefault="00690D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8A3E38" w:rsidTr="00AC028D">
      <w:trPr>
        <w:trHeight w:hRule="exact" w:val="1418"/>
      </w:trPr>
      <w:tc>
        <w:tcPr>
          <w:tcW w:w="7761" w:type="dxa"/>
          <w:vAlign w:val="center"/>
        </w:tcPr>
        <w:p w:rsidR="00254A01" w:rsidRPr="008A3E38" w:rsidRDefault="00047236" w:rsidP="00AC028D">
          <w:pPr>
            <w:pStyle w:val="Header"/>
            <w:rPr>
              <w:szCs w:val="40"/>
            </w:rPr>
          </w:pPr>
          <w:r w:rsidRPr="008A3E38">
            <w:rPr>
              <w:szCs w:val="40"/>
            </w:rPr>
            <w:t>Customer Information Bulletin</w:t>
          </w:r>
          <w:r w:rsidR="00437C71">
            <w:rPr>
              <w:szCs w:val="40"/>
            </w:rPr>
            <w:t xml:space="preserve"> 188</w:t>
          </w:r>
        </w:p>
        <w:p w:rsidR="00047236" w:rsidRPr="008A3E38" w:rsidRDefault="00047236" w:rsidP="00AC028D">
          <w:pPr>
            <w:pStyle w:val="Header"/>
            <w:rPr>
              <w:szCs w:val="40"/>
            </w:rPr>
          </w:pPr>
          <w:r w:rsidRPr="008A3E38">
            <w:rPr>
              <w:szCs w:val="40"/>
            </w:rPr>
            <w:t>May 2018</w:t>
          </w:r>
        </w:p>
      </w:tc>
    </w:tr>
  </w:tbl>
  <w:p w:rsidR="00254A01" w:rsidRDefault="00254A01" w:rsidP="00254A01">
    <w:pPr>
      <w:pStyle w:val="Header"/>
    </w:pPr>
    <w:r w:rsidRPr="00806AB6">
      <w:rPr>
        <w:noProof/>
      </w:rPr>
      <mc:AlternateContent>
        <mc:Choice Requires="wps">
          <w:drawing>
            <wp:anchor distT="0" distB="0" distL="114300" distR="114300" simplePos="0" relativeHeight="251663872" behindDoc="1" locked="0" layoutInCell="1" allowOverlap="1" wp14:anchorId="5B8A1413" wp14:editId="5B31157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BAE496" id="TriangleRight" o:spid="_x0000_s1026" style="position:absolute;margin-left:56.7pt;margin-top:22.7pt;width:68.05pt;height:70.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752" behindDoc="1" locked="0" layoutInCell="1" allowOverlap="1" wp14:anchorId="051133AD" wp14:editId="7FF82539">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8225BE" id="TriangleLeft" o:spid="_x0000_s1026" style="position:absolute;margin-left:22.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4656" behindDoc="1" locked="0" layoutInCell="1" allowOverlap="1" wp14:anchorId="6DB8F071" wp14:editId="6AED1F1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62D64F" id="Rectangle" o:spid="_x0000_s1026" style="position:absolute;margin-left:22.7pt;margin-top:22.7pt;width:552.7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15522" w:type="dxa"/>
      <w:tblLayout w:type="fixed"/>
      <w:tblCellMar>
        <w:left w:w="0" w:type="dxa"/>
        <w:right w:w="0" w:type="dxa"/>
      </w:tblCellMar>
      <w:tblLook w:val="04A0" w:firstRow="1" w:lastRow="0" w:firstColumn="1" w:lastColumn="0" w:noHBand="0" w:noVBand="1"/>
    </w:tblPr>
    <w:tblGrid>
      <w:gridCol w:w="7761"/>
      <w:gridCol w:w="7761"/>
    </w:tblGrid>
    <w:tr w:rsidR="00442C5A" w:rsidRPr="00975ED3" w:rsidTr="003D06F6">
      <w:trPr>
        <w:trHeight w:hRule="exact" w:val="1418"/>
      </w:trPr>
      <w:tc>
        <w:tcPr>
          <w:tcW w:w="7761" w:type="dxa"/>
          <w:vAlign w:val="center"/>
        </w:tcPr>
        <w:p w:rsidR="00442C5A" w:rsidRPr="008A3E38" w:rsidRDefault="00442C5A" w:rsidP="00442C5A">
          <w:pPr>
            <w:pStyle w:val="Header"/>
            <w:rPr>
              <w:szCs w:val="40"/>
            </w:rPr>
          </w:pPr>
          <w:r w:rsidRPr="008A3E38">
            <w:rPr>
              <w:szCs w:val="40"/>
            </w:rPr>
            <w:t>Customer Information Bulletin</w:t>
          </w:r>
        </w:p>
        <w:p w:rsidR="00442C5A" w:rsidRPr="00047236" w:rsidRDefault="00442C5A" w:rsidP="00442C5A">
          <w:pPr>
            <w:pStyle w:val="Header"/>
            <w:rPr>
              <w:sz w:val="32"/>
              <w:szCs w:val="32"/>
            </w:rPr>
          </w:pPr>
          <w:r w:rsidRPr="008A3E38">
            <w:rPr>
              <w:szCs w:val="40"/>
            </w:rPr>
            <w:t>May 2018</w:t>
          </w:r>
        </w:p>
      </w:tc>
      <w:tc>
        <w:tcPr>
          <w:tcW w:w="7761" w:type="dxa"/>
          <w:vAlign w:val="center"/>
        </w:tcPr>
        <w:p w:rsidR="00442C5A" w:rsidRPr="00975ED3" w:rsidRDefault="003B1138" w:rsidP="00442C5A">
          <w:pPr>
            <w:pStyle w:val="Header"/>
          </w:pPr>
          <w:r>
            <w:rPr>
              <w:noProof/>
            </w:rPr>
            <w:fldChar w:fldCharType="begin"/>
          </w:r>
          <w:r>
            <w:rPr>
              <w:noProof/>
            </w:rPr>
            <w:instrText xml:space="preserve"> STYLEREF  Title  \* MERGEFORMAT </w:instrText>
          </w:r>
          <w:r>
            <w:rPr>
              <w:noProof/>
            </w:rPr>
            <w:fldChar w:fldCharType="separate"/>
          </w:r>
          <w:r w:rsidR="00005BD4">
            <w:rPr>
              <w:noProof/>
            </w:rPr>
            <w:t>May 2019</w:t>
          </w:r>
          <w:r>
            <w:rPr>
              <w:noProof/>
            </w:rPr>
            <w:fldChar w:fldCharType="end"/>
          </w:r>
        </w:p>
      </w:tc>
    </w:tr>
  </w:tbl>
  <w:p w:rsidR="00254A01" w:rsidRDefault="00254A01" w:rsidP="00254A01">
    <w:pPr>
      <w:pStyle w:val="Header"/>
    </w:pPr>
    <w:r w:rsidRPr="00806AB6">
      <w:rPr>
        <w:noProof/>
      </w:rPr>
      <mc:AlternateContent>
        <mc:Choice Requires="wps">
          <w:drawing>
            <wp:anchor distT="0" distB="0" distL="114300" distR="114300" simplePos="0" relativeHeight="251676160" behindDoc="1" locked="0" layoutInCell="1" allowOverlap="1" wp14:anchorId="58D82B39" wp14:editId="77FF1095">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BF66ED" id="TriangleRight" o:spid="_x0000_s1026" style="position:absolute;margin-left:56.7pt;margin-top:22.7pt;width:68.05pt;height:70.85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112" behindDoc="1" locked="0" layoutInCell="1" allowOverlap="1" wp14:anchorId="0F2C0D08" wp14:editId="27FCAAC6">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02AC00" id="TriangleLeft" o:spid="_x0000_s1026" style="position:absolute;margin-left:22.7pt;margin-top:22.7pt;width:68.05pt;height:70.8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2064" behindDoc="1" locked="0" layoutInCell="1" allowOverlap="1" wp14:anchorId="2330309E" wp14:editId="0AC5EA34">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1844EF" id="Rectangle" o:spid="_x0000_s1026" style="position:absolute;margin-left:22.7pt;margin-top:22.7pt;width:552.75pt;height:70.8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254A01" w:rsidRDefault="00254A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2AA" w:rsidRPr="00E97294" w:rsidRDefault="00E962AA" w:rsidP="00E97294">
    <w:pPr>
      <w:pStyle w:val="Header"/>
    </w:pPr>
    <w:r w:rsidRPr="00806AB6">
      <w:rPr>
        <w:noProof/>
      </w:rPr>
      <mc:AlternateContent>
        <mc:Choice Requires="wps">
          <w:drawing>
            <wp:anchor distT="0" distB="0" distL="114300" distR="114300" simplePos="0" relativeHeight="251654144" behindDoc="1" locked="0" layoutInCell="1" allowOverlap="1" wp14:anchorId="1D6840A6" wp14:editId="4384D52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3CA82E"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59F12F00" wp14:editId="14A4EEF1">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E7032B"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166F4229" wp14:editId="4549D19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A3CFA4"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3BFB997A" wp14:editId="3E3BB98F">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AAEFB91"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A4B3C7A"/>
    <w:multiLevelType w:val="hybridMultilevel"/>
    <w:tmpl w:val="24BA3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2B8446B"/>
    <w:multiLevelType w:val="hybridMultilevel"/>
    <w:tmpl w:val="F3326160"/>
    <w:lvl w:ilvl="0" w:tplc="2284698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545EC4"/>
    <w:multiLevelType w:val="multilevel"/>
    <w:tmpl w:val="4268E940"/>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5"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8"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9" w15:restartNumberingAfterBreak="0">
    <w:nsid w:val="6BD76A2A"/>
    <w:multiLevelType w:val="hybridMultilevel"/>
    <w:tmpl w:val="3424A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30"/>
  </w:num>
  <w:num w:numId="3">
    <w:abstractNumId w:val="26"/>
  </w:num>
  <w:num w:numId="4">
    <w:abstractNumId w:val="34"/>
  </w:num>
  <w:num w:numId="5">
    <w:abstractNumId w:val="16"/>
  </w:num>
  <w:num w:numId="6">
    <w:abstractNumId w:val="12"/>
  </w:num>
  <w:num w:numId="7">
    <w:abstractNumId w:val="11"/>
  </w:num>
  <w:num w:numId="8">
    <w:abstractNumId w:val="10"/>
  </w:num>
  <w:num w:numId="9">
    <w:abstractNumId w:val="31"/>
  </w:num>
  <w:num w:numId="10">
    <w:abstractNumId w:val="13"/>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5"/>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3"/>
    <w:lvlOverride w:ilvl="0">
      <w:startOverride w:val="1"/>
    </w:lvlOverride>
  </w:num>
  <w:num w:numId="29">
    <w:abstractNumId w:val="20"/>
  </w:num>
  <w:num w:numId="30">
    <w:abstractNumId w:val="32"/>
  </w:num>
  <w:num w:numId="31">
    <w:abstractNumId w:val="8"/>
  </w:num>
  <w:num w:numId="32">
    <w:abstractNumId w:val="28"/>
  </w:num>
  <w:num w:numId="33">
    <w:abstractNumId w:val="22"/>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21"/>
  </w:num>
  <w:num w:numId="44">
    <w:abstractNumId w:val="11"/>
  </w:num>
  <w:num w:numId="45">
    <w:abstractNumId w:val="15"/>
  </w:num>
  <w:num w:numId="46">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8193"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True"/>
  </w:docVars>
  <w:rsids>
    <w:rsidRoot w:val="00B1339F"/>
    <w:rsid w:val="0000017F"/>
    <w:rsid w:val="00000279"/>
    <w:rsid w:val="000004BD"/>
    <w:rsid w:val="00000B7A"/>
    <w:rsid w:val="00000C89"/>
    <w:rsid w:val="00000FEB"/>
    <w:rsid w:val="000012BE"/>
    <w:rsid w:val="000012CF"/>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5BD4"/>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0DE"/>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236"/>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3BE"/>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954"/>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138"/>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261"/>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37C71"/>
    <w:rsid w:val="004400F1"/>
    <w:rsid w:val="0044019A"/>
    <w:rsid w:val="004403B8"/>
    <w:rsid w:val="00440734"/>
    <w:rsid w:val="00440870"/>
    <w:rsid w:val="00441569"/>
    <w:rsid w:val="00441A0D"/>
    <w:rsid w:val="00441B87"/>
    <w:rsid w:val="004422DF"/>
    <w:rsid w:val="00442BAA"/>
    <w:rsid w:val="00442C5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A0"/>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326"/>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0DAE"/>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4BF"/>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079"/>
    <w:rsid w:val="00792161"/>
    <w:rsid w:val="0079245C"/>
    <w:rsid w:val="00792757"/>
    <w:rsid w:val="0079279B"/>
    <w:rsid w:val="00792A52"/>
    <w:rsid w:val="00792BEF"/>
    <w:rsid w:val="00792E00"/>
    <w:rsid w:val="00792FE4"/>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A72"/>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061"/>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B59"/>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3E38"/>
    <w:rsid w:val="008A4229"/>
    <w:rsid w:val="008A431B"/>
    <w:rsid w:val="008A43D8"/>
    <w:rsid w:val="008A447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4AB"/>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5E0"/>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6F2"/>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2E77"/>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442"/>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39F"/>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2B8"/>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10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1F8F"/>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5B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3DAC"/>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832"/>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5052"/>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0FBA"/>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3A"/>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35DB"/>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4BC2"/>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page;mso-position-vertical-relative:page" stroke="f">
      <v:stroke on="f"/>
      <o:colormru v:ext="edit" colors="white"/>
    </o:shapedefaults>
    <o:shapelayout v:ext="edit">
      <o:idmap v:ext="edit" data="1"/>
    </o:shapelayout>
  </w:shapeDefaults>
  <w:decimalSymbol w:val="."/>
  <w:listSeparator w:val=","/>
  <w14:docId w14:val="5386CA18"/>
  <w15:docId w15:val="{8132C752-66A2-4601-A9B3-F7FBADE06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E7442"/>
    <w:pPr>
      <w:keepNext/>
      <w:keepLines/>
      <w:numPr>
        <w:numId w:val="7"/>
      </w:numPr>
      <w:spacing w:before="300" w:after="24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B1339F"/>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E7442"/>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DTPLIbodycopy">
    <w:name w:val="DTPLI body copy"/>
    <w:basedOn w:val="Normal"/>
    <w:rsid w:val="00B1339F"/>
    <w:pPr>
      <w:spacing w:line="240" w:lineRule="auto"/>
    </w:pPr>
    <w:rPr>
      <w:rFonts w:ascii="Calibri" w:hAnsi="Calibri" w:cs="Tahoma"/>
      <w:color w:val="auto"/>
      <w:sz w:val="22"/>
      <w:szCs w:val="22"/>
    </w:rPr>
  </w:style>
  <w:style w:type="paragraph" w:customStyle="1" w:styleId="Body">
    <w:name w:val="_Body"/>
    <w:qFormat/>
    <w:rsid w:val="00B1339F"/>
    <w:pPr>
      <w:spacing w:after="113"/>
    </w:pPr>
    <w:rPr>
      <w:rFonts w:ascii="Calibri" w:hAnsi="Calibri"/>
      <w:color w:val="auto"/>
      <w:sz w:val="22"/>
      <w:szCs w:val="24"/>
      <w:lang w:eastAsia="en-US"/>
    </w:rPr>
  </w:style>
  <w:style w:type="character" w:styleId="UnresolvedMention">
    <w:name w:val="Unresolved Mention"/>
    <w:basedOn w:val="DefaultParagraphFont"/>
    <w:uiPriority w:val="99"/>
    <w:semiHidden/>
    <w:unhideWhenUsed/>
    <w:rsid w:val="00E60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delwp.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relayservice.com.au" TargetMode="External"/><Relationship Id="rId2" Type="http://schemas.openxmlformats.org/officeDocument/2006/relationships/numbering" Target="numbering.xml"/><Relationship Id="rId16" Type="http://schemas.openxmlformats.org/officeDocument/2006/relationships/hyperlink" Target="mailto:customer.service@delwp.vic.gov.au" TargetMode="External"/><Relationship Id="rId20" Type="http://schemas.openxmlformats.org/officeDocument/2006/relationships/hyperlink" Target="http://www.propertyandlandtitles.vic.gov.au/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hyperlink" Target="http://www.dtpli.vic.gov.au/property-and-land-titles/contact-u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ropertyandlandtitles.vic.gov.au/forms-guides-and-fees/fees"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28F6F-80AC-4B73-9C9B-BBCB0268F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Yvonne Baker (DELWP)</dc:creator>
  <cp:keywords/>
  <dc:description/>
  <cp:lastModifiedBy>Luke Rogan (DELWP)</cp:lastModifiedBy>
  <cp:revision>9</cp:revision>
  <cp:lastPrinted>2016-09-08T07:20:00Z</cp:lastPrinted>
  <dcterms:created xsi:type="dcterms:W3CDTF">2019-05-22T22:48:00Z</dcterms:created>
  <dcterms:modified xsi:type="dcterms:W3CDTF">2019-05-29T01:44:00Z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