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504"/>
      </w:tblGrid>
      <w:tr w:rsidR="00975ED3" w:rsidRPr="00975ED3" w14:paraId="05EF3915" w14:textId="77777777" w:rsidTr="00A541A9">
        <w:trPr>
          <w:trHeight w:hRule="exact" w:val="1345"/>
        </w:trPr>
        <w:tc>
          <w:tcPr>
            <w:tcW w:w="7504" w:type="dxa"/>
            <w:vAlign w:val="center"/>
          </w:tcPr>
          <w:p w14:paraId="7233A561" w14:textId="77777777" w:rsidR="003C3E55" w:rsidRDefault="003C3E55" w:rsidP="009B1003">
            <w:pPr>
              <w:pStyle w:val="Title"/>
            </w:pPr>
            <w:r>
              <w:t>Land Use Victoria</w:t>
            </w:r>
          </w:p>
          <w:p w14:paraId="425C5BDF" w14:textId="77777777" w:rsidR="003C3E55" w:rsidRDefault="003C3E55" w:rsidP="009B1003">
            <w:pPr>
              <w:pStyle w:val="Title"/>
            </w:pPr>
            <w:r>
              <w:t xml:space="preserve"> Customer Information Bulletin 189</w:t>
            </w:r>
          </w:p>
          <w:p w14:paraId="6C3D478F" w14:textId="77777777" w:rsidR="009B1003" w:rsidRPr="009B1003" w:rsidRDefault="003C3E55" w:rsidP="009B1003">
            <w:pPr>
              <w:pStyle w:val="Title"/>
            </w:pPr>
            <w:r>
              <w:t xml:space="preserve"> July 2019</w:t>
            </w:r>
          </w:p>
        </w:tc>
      </w:tr>
      <w:tr w:rsidR="00975ED3" w14:paraId="14B28D59" w14:textId="77777777" w:rsidTr="00A541A9">
        <w:trPr>
          <w:trHeight w:val="1183"/>
        </w:trPr>
        <w:tc>
          <w:tcPr>
            <w:tcW w:w="7504" w:type="dxa"/>
            <w:vAlign w:val="center"/>
          </w:tcPr>
          <w:p w14:paraId="456D7F1E" w14:textId="77777777" w:rsidR="009B1003" w:rsidRPr="009B1003" w:rsidRDefault="009B1003" w:rsidP="009B1003">
            <w:pPr>
              <w:pStyle w:val="Subtitle"/>
            </w:pPr>
          </w:p>
        </w:tc>
      </w:tr>
    </w:tbl>
    <w:p w14:paraId="20E554F1" w14:textId="77777777" w:rsidR="00806AB6" w:rsidRDefault="00806AB6" w:rsidP="00307C36"/>
    <w:p w14:paraId="18F87194" w14:textId="77777777"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2BAA43B6" w14:textId="77777777" w:rsidR="003C3E55" w:rsidRPr="003C3E55" w:rsidRDefault="003C3E55" w:rsidP="003C3E55">
      <w:pPr>
        <w:pStyle w:val="Heading1"/>
        <w:rPr>
          <w:rFonts w:eastAsia="Calibri"/>
        </w:rPr>
      </w:pPr>
      <w:bookmarkStart w:id="0" w:name="Here"/>
      <w:bookmarkEnd w:id="0"/>
      <w:r w:rsidRPr="003C3E55">
        <w:rPr>
          <w:rFonts w:eastAsia="Calibri"/>
        </w:rPr>
        <w:t xml:space="preserve">Registrar’s requirements for paper conveyancing transactions </w:t>
      </w:r>
    </w:p>
    <w:p w14:paraId="43DF750A" w14:textId="73144434" w:rsidR="004B784B" w:rsidRPr="003C3E55" w:rsidRDefault="004B784B" w:rsidP="003C3E55">
      <w:pPr>
        <w:pStyle w:val="BodyText"/>
      </w:pPr>
      <w:r>
        <w:t>U</w:t>
      </w:r>
      <w:r w:rsidRPr="003C3E55">
        <w:t xml:space="preserve">nder section 106A of the </w:t>
      </w:r>
      <w:r w:rsidRPr="002264D2">
        <w:rPr>
          <w:i/>
        </w:rPr>
        <w:t>Transfer of Land Act 1958</w:t>
      </w:r>
      <w:r>
        <w:t xml:space="preserve"> </w:t>
      </w:r>
      <w:r w:rsidRPr="003C3E55">
        <w:t>the Registrar of Titles determined Version 7 of the Registrar's Requirements for Paper Conveyancing Transactions</w:t>
      </w:r>
      <w:r>
        <w:t>, effective from 11 July 2019</w:t>
      </w:r>
      <w:r w:rsidRPr="003C3E55">
        <w:t>.</w:t>
      </w:r>
    </w:p>
    <w:p w14:paraId="009F2414" w14:textId="32958309" w:rsidR="00C72095" w:rsidRPr="00350D89" w:rsidRDefault="003C3E55" w:rsidP="00742F1C">
      <w:pPr>
        <w:pStyle w:val="BodyText"/>
      </w:pPr>
      <w:r w:rsidRPr="003C3E55">
        <w:t xml:space="preserve">Version 7 is </w:t>
      </w:r>
      <w:r w:rsidR="00742F1C">
        <w:t xml:space="preserve">published </w:t>
      </w:r>
      <w:r w:rsidRPr="003C3E55">
        <w:t>at</w:t>
      </w:r>
      <w:r w:rsidR="00742F1C">
        <w:t xml:space="preserve"> </w:t>
      </w:r>
      <w:hyperlink r:id="rId14" w:history="1">
        <w:r w:rsidRPr="00742F1C">
          <w:rPr>
            <w:rStyle w:val="Hyperlink"/>
            <w:color w:val="363534" w:themeColor="text1"/>
          </w:rPr>
          <w:t>www.propertyandlandtitles.vic.gov.au/publications</w:t>
        </w:r>
      </w:hyperlink>
      <w:r w:rsidR="00742F1C">
        <w:t xml:space="preserve"> and </w:t>
      </w:r>
      <w:r w:rsidR="00C72095" w:rsidRPr="00350D89">
        <w:t>contains the following substantive amendments:</w:t>
      </w:r>
    </w:p>
    <w:p w14:paraId="7437CBAF" w14:textId="6E044D57" w:rsidR="00C72095" w:rsidRPr="00C72095" w:rsidRDefault="00C72095" w:rsidP="00C72095">
      <w:pPr>
        <w:pStyle w:val="BodyText"/>
        <w:numPr>
          <w:ilvl w:val="0"/>
          <w:numId w:val="46"/>
        </w:numPr>
      </w:pPr>
      <w:r w:rsidRPr="00C72095">
        <w:t xml:space="preserve">exempt an officer of State Trustees Ltd </w:t>
      </w:r>
      <w:r w:rsidR="002264D2">
        <w:t xml:space="preserve">from </w:t>
      </w:r>
      <w:r w:rsidRPr="00C72095">
        <w:t>verification of identity</w:t>
      </w:r>
      <w:r w:rsidR="002264D2">
        <w:t xml:space="preserve"> requirements</w:t>
      </w:r>
      <w:r w:rsidRPr="00C72095">
        <w:t>;</w:t>
      </w:r>
    </w:p>
    <w:p w14:paraId="1B8DF02A" w14:textId="47C57D90" w:rsidR="00C72095" w:rsidRPr="00C72095" w:rsidRDefault="004B784B" w:rsidP="00C72095">
      <w:pPr>
        <w:pStyle w:val="BodyText"/>
        <w:numPr>
          <w:ilvl w:val="0"/>
          <w:numId w:val="46"/>
        </w:numPr>
      </w:pPr>
      <w:r w:rsidRPr="003C3E55">
        <w:rPr>
          <w:rStyle w:val="Hyperlink"/>
          <w:rFonts w:eastAsia="Tahoma"/>
          <w:color w:val="363534" w:themeColor="text1"/>
          <w:u w:val="none"/>
        </w:rPr>
        <w:t>for lawyers, conveyancers</w:t>
      </w:r>
      <w:r w:rsidR="002264D2">
        <w:rPr>
          <w:rStyle w:val="Hyperlink"/>
          <w:rFonts w:eastAsia="Tahoma"/>
          <w:color w:val="363534" w:themeColor="text1"/>
          <w:u w:val="none"/>
        </w:rPr>
        <w:t xml:space="preserve">, </w:t>
      </w:r>
      <w:r w:rsidRPr="003C3E55">
        <w:rPr>
          <w:rStyle w:val="Hyperlink"/>
          <w:rFonts w:eastAsia="Tahoma"/>
          <w:color w:val="363534" w:themeColor="text1"/>
          <w:u w:val="none"/>
        </w:rPr>
        <w:t>authorised deposit-taking institutions</w:t>
      </w:r>
      <w:r>
        <w:rPr>
          <w:rStyle w:val="Hyperlink"/>
          <w:rFonts w:eastAsia="Tahoma"/>
          <w:color w:val="363534" w:themeColor="text1"/>
          <w:u w:val="none"/>
        </w:rPr>
        <w:t xml:space="preserve"> (ADIs) and other subscribers to an Electronic Lodgment </w:t>
      </w:r>
      <w:r w:rsidR="002264D2">
        <w:rPr>
          <w:rStyle w:val="Hyperlink"/>
          <w:rFonts w:eastAsia="Tahoma"/>
          <w:color w:val="363534" w:themeColor="text1"/>
          <w:u w:val="none"/>
        </w:rPr>
        <w:t>N</w:t>
      </w:r>
      <w:r>
        <w:rPr>
          <w:rStyle w:val="Hyperlink"/>
          <w:rFonts w:eastAsia="Tahoma"/>
          <w:color w:val="363534" w:themeColor="text1"/>
          <w:u w:val="none"/>
        </w:rPr>
        <w:t xml:space="preserve">etwork (ELN), </w:t>
      </w:r>
      <w:r w:rsidR="00C72095" w:rsidRPr="00C72095">
        <w:t>require all Instruments available in an E</w:t>
      </w:r>
      <w:r w:rsidR="002264D2">
        <w:t>LN</w:t>
      </w:r>
      <w:r w:rsidR="00C72095" w:rsidRPr="00C72095">
        <w:t xml:space="preserve"> on 1 August 2019 to be lodged electronically;</w:t>
      </w:r>
    </w:p>
    <w:p w14:paraId="2F433661" w14:textId="3A35DF52" w:rsidR="00C72095" w:rsidRPr="00C72095" w:rsidRDefault="004B784B" w:rsidP="00C72095">
      <w:pPr>
        <w:pStyle w:val="BodyText"/>
        <w:numPr>
          <w:ilvl w:val="0"/>
          <w:numId w:val="46"/>
        </w:numPr>
      </w:pPr>
      <w:r w:rsidRPr="003C3E55">
        <w:rPr>
          <w:rStyle w:val="Hyperlink"/>
          <w:rFonts w:eastAsia="Tahoma"/>
          <w:color w:val="363534" w:themeColor="text1"/>
          <w:u w:val="none"/>
        </w:rPr>
        <w:t>for lawyers, conveyancers</w:t>
      </w:r>
      <w:r w:rsidR="002264D2">
        <w:rPr>
          <w:rStyle w:val="Hyperlink"/>
          <w:rFonts w:eastAsia="Tahoma"/>
          <w:color w:val="363534" w:themeColor="text1"/>
          <w:u w:val="none"/>
        </w:rPr>
        <w:t xml:space="preserve">, </w:t>
      </w:r>
      <w:r w:rsidRPr="003C3E55">
        <w:rPr>
          <w:rStyle w:val="Hyperlink"/>
          <w:rFonts w:eastAsia="Tahoma"/>
          <w:color w:val="363534" w:themeColor="text1"/>
          <w:u w:val="none"/>
        </w:rPr>
        <w:t>authorised deposit-taking institutions</w:t>
      </w:r>
      <w:r>
        <w:rPr>
          <w:rStyle w:val="Hyperlink"/>
          <w:rFonts w:eastAsia="Tahoma"/>
          <w:color w:val="363534" w:themeColor="text1"/>
          <w:u w:val="none"/>
        </w:rPr>
        <w:t xml:space="preserve"> (ADIs) and other subscribers to an Electronic Lodgment </w:t>
      </w:r>
      <w:r w:rsidR="002264D2">
        <w:rPr>
          <w:rStyle w:val="Hyperlink"/>
          <w:rFonts w:eastAsia="Tahoma"/>
          <w:color w:val="363534" w:themeColor="text1"/>
          <w:u w:val="none"/>
        </w:rPr>
        <w:t>N</w:t>
      </w:r>
      <w:r>
        <w:rPr>
          <w:rStyle w:val="Hyperlink"/>
          <w:rFonts w:eastAsia="Tahoma"/>
          <w:color w:val="363534" w:themeColor="text1"/>
          <w:u w:val="none"/>
        </w:rPr>
        <w:t xml:space="preserve">etwork (ELN), </w:t>
      </w:r>
      <w:r w:rsidR="00C72095" w:rsidRPr="00C72095">
        <w:t>require all Instruments available in an E</w:t>
      </w:r>
      <w:r w:rsidR="002264D2">
        <w:t xml:space="preserve">LN </w:t>
      </w:r>
      <w:r w:rsidR="00C72095" w:rsidRPr="00C72095">
        <w:t xml:space="preserve">on 1 October 2019 to be lodged electronically; </w:t>
      </w:r>
    </w:p>
    <w:p w14:paraId="4089E6C7" w14:textId="6067EB88" w:rsidR="00C72095" w:rsidRPr="00C72095" w:rsidRDefault="00C72095" w:rsidP="00C72095">
      <w:pPr>
        <w:pStyle w:val="BodyText"/>
        <w:numPr>
          <w:ilvl w:val="0"/>
          <w:numId w:val="46"/>
        </w:numPr>
      </w:pPr>
      <w:r w:rsidRPr="00C72095">
        <w:t xml:space="preserve">require plans and surveys to be submitted in SPEAR; </w:t>
      </w:r>
    </w:p>
    <w:p w14:paraId="05673B56" w14:textId="77777777" w:rsidR="00C72095" w:rsidRPr="00C72095" w:rsidRDefault="00C72095" w:rsidP="00C72095">
      <w:pPr>
        <w:pStyle w:val="BodyText"/>
        <w:numPr>
          <w:ilvl w:val="0"/>
          <w:numId w:val="46"/>
        </w:numPr>
      </w:pPr>
      <w:r w:rsidRPr="00C72095">
        <w:t>require owners corporation information to be submitted using the Excel spreadsheet available in SPEAR.</w:t>
      </w:r>
    </w:p>
    <w:p w14:paraId="517B3237" w14:textId="2B93097C" w:rsidR="00A87CFF" w:rsidRPr="003C3E55" w:rsidRDefault="002264D2" w:rsidP="00A87CFF">
      <w:pPr>
        <w:pStyle w:val="Heading1"/>
        <w:rPr>
          <w:rStyle w:val="Hyperlink"/>
          <w:rFonts w:eastAsia="Tahoma"/>
          <w:color w:val="B3272F" w:themeColor="text2"/>
          <w:u w:val="none"/>
        </w:rPr>
      </w:pPr>
      <w:r>
        <w:rPr>
          <w:rStyle w:val="Hyperlink"/>
          <w:rFonts w:eastAsia="Tahoma"/>
          <w:color w:val="B3272F" w:themeColor="text2"/>
          <w:u w:val="none"/>
        </w:rPr>
        <w:t>R</w:t>
      </w:r>
      <w:r w:rsidR="00742F1C">
        <w:rPr>
          <w:rStyle w:val="Hyperlink"/>
          <w:rFonts w:eastAsia="Tahoma"/>
          <w:color w:val="B3272F" w:themeColor="text2"/>
          <w:u w:val="none"/>
        </w:rPr>
        <w:t>elease of Residual document</w:t>
      </w:r>
      <w:r w:rsidR="00A541A9">
        <w:rPr>
          <w:rStyle w:val="Hyperlink"/>
          <w:rFonts w:eastAsia="Tahoma"/>
          <w:color w:val="B3272F" w:themeColor="text2"/>
          <w:u w:val="none"/>
        </w:rPr>
        <w:t>s in PEXA</w:t>
      </w:r>
      <w:r w:rsidR="00742F1C">
        <w:rPr>
          <w:rStyle w:val="Hyperlink"/>
          <w:rFonts w:eastAsia="Tahoma"/>
          <w:color w:val="B3272F" w:themeColor="text2"/>
          <w:u w:val="none"/>
        </w:rPr>
        <w:t xml:space="preserve"> </w:t>
      </w:r>
      <w:r>
        <w:rPr>
          <w:rStyle w:val="Hyperlink"/>
          <w:rFonts w:eastAsia="Tahoma"/>
          <w:color w:val="B3272F" w:themeColor="text2"/>
          <w:u w:val="none"/>
        </w:rPr>
        <w:t>and 1 August 2019 mandate</w:t>
      </w:r>
    </w:p>
    <w:p w14:paraId="3989428E" w14:textId="6396C2FF" w:rsidR="00742F1C" w:rsidRDefault="004B784B" w:rsidP="00A87CFF">
      <w:pPr>
        <w:pStyle w:val="BodyText"/>
        <w:rPr>
          <w:rStyle w:val="Hyperlink"/>
          <w:rFonts w:eastAsia="Tahoma"/>
          <w:color w:val="363534" w:themeColor="text1"/>
          <w:u w:val="none"/>
        </w:rPr>
      </w:pPr>
      <w:r>
        <w:rPr>
          <w:rStyle w:val="Hyperlink"/>
          <w:rFonts w:eastAsia="Tahoma"/>
          <w:color w:val="363534" w:themeColor="text1"/>
          <w:u w:val="none"/>
        </w:rPr>
        <w:t xml:space="preserve">In March and April 2019 PEXA released 18 new transaction types called Residual documents. </w:t>
      </w:r>
      <w:r w:rsidR="00742F1C">
        <w:rPr>
          <w:rStyle w:val="Hyperlink"/>
          <w:rFonts w:eastAsia="Tahoma"/>
          <w:color w:val="363534" w:themeColor="text1"/>
          <w:u w:val="none"/>
        </w:rPr>
        <w:t xml:space="preserve">The most common of these was </w:t>
      </w:r>
      <w:r w:rsidR="00742F1C" w:rsidRPr="00742F1C">
        <w:rPr>
          <w:rStyle w:val="Hyperlink"/>
          <w:rFonts w:eastAsia="Tahoma"/>
          <w:color w:val="363534" w:themeColor="text1"/>
          <w:u w:val="none"/>
        </w:rPr>
        <w:t>an application to record a</w:t>
      </w:r>
      <w:r w:rsidR="002264D2">
        <w:rPr>
          <w:rStyle w:val="Hyperlink"/>
          <w:rFonts w:eastAsia="Tahoma"/>
          <w:color w:val="363534" w:themeColor="text1"/>
          <w:u w:val="none"/>
        </w:rPr>
        <w:t>n agreement under</w:t>
      </w:r>
      <w:r w:rsidR="00742F1C" w:rsidRPr="00742F1C">
        <w:rPr>
          <w:rStyle w:val="Hyperlink"/>
          <w:rFonts w:eastAsia="Tahoma"/>
          <w:color w:val="363534" w:themeColor="text1"/>
          <w:u w:val="none"/>
        </w:rPr>
        <w:t xml:space="preserve"> section 173 of the </w:t>
      </w:r>
      <w:r w:rsidR="00742F1C" w:rsidRPr="00742F1C">
        <w:rPr>
          <w:rStyle w:val="Hyperlink"/>
          <w:rFonts w:eastAsia="Tahoma"/>
          <w:i/>
          <w:color w:val="363534" w:themeColor="text1"/>
          <w:u w:val="none"/>
        </w:rPr>
        <w:t>Planning and Environment Act 1987</w:t>
      </w:r>
      <w:r w:rsidR="00742F1C" w:rsidRPr="00742F1C">
        <w:rPr>
          <w:rStyle w:val="Hyperlink"/>
          <w:rFonts w:eastAsia="Tahoma"/>
          <w:color w:val="363534" w:themeColor="text1"/>
          <w:u w:val="none"/>
        </w:rPr>
        <w:t>.</w:t>
      </w:r>
      <w:r w:rsidR="00742F1C">
        <w:rPr>
          <w:rStyle w:val="Hyperlink"/>
          <w:rFonts w:eastAsia="Tahoma"/>
          <w:color w:val="363534" w:themeColor="text1"/>
          <w:u w:val="none"/>
        </w:rPr>
        <w:t xml:space="preserve"> </w:t>
      </w:r>
    </w:p>
    <w:p w14:paraId="00E9E9C0" w14:textId="67EE0852" w:rsidR="004B784B" w:rsidRDefault="004B784B" w:rsidP="00A87CFF">
      <w:pPr>
        <w:pStyle w:val="BodyText"/>
        <w:rPr>
          <w:rStyle w:val="Hyperlink"/>
          <w:rFonts w:eastAsia="Tahoma"/>
          <w:color w:val="363534" w:themeColor="text1"/>
          <w:u w:val="none"/>
        </w:rPr>
      </w:pPr>
      <w:r>
        <w:rPr>
          <w:rStyle w:val="Hyperlink"/>
          <w:rFonts w:eastAsia="Tahoma"/>
          <w:color w:val="363534" w:themeColor="text1"/>
          <w:u w:val="none"/>
        </w:rPr>
        <w:t xml:space="preserve">PEXA intends to release another 94 Residual documents before 1 August 2019.  A further 27 Residual documents will be released before 1 October 2019.     </w:t>
      </w:r>
    </w:p>
    <w:p w14:paraId="7E4258E5" w14:textId="70D7B03D" w:rsidR="00A87CFF" w:rsidRDefault="00A87CFF" w:rsidP="00A87CFF">
      <w:pPr>
        <w:pStyle w:val="BodyText"/>
        <w:rPr>
          <w:rStyle w:val="Hyperlink"/>
          <w:rFonts w:eastAsia="Tahoma"/>
          <w:color w:val="363534" w:themeColor="text1"/>
          <w:u w:val="none"/>
        </w:rPr>
      </w:pPr>
      <w:r w:rsidRPr="003C3E55">
        <w:rPr>
          <w:rStyle w:val="Hyperlink"/>
          <w:rFonts w:eastAsia="Tahoma"/>
          <w:color w:val="363534" w:themeColor="text1"/>
          <w:u w:val="none"/>
        </w:rPr>
        <w:t>From 1 August 2019, for lawyers, conveyancers</w:t>
      </w:r>
      <w:r w:rsidR="002264D2">
        <w:rPr>
          <w:rStyle w:val="Hyperlink"/>
          <w:rFonts w:eastAsia="Tahoma"/>
          <w:color w:val="363534" w:themeColor="text1"/>
          <w:u w:val="none"/>
        </w:rPr>
        <w:t xml:space="preserve">, </w:t>
      </w:r>
      <w:r w:rsidRPr="003C3E55">
        <w:rPr>
          <w:rStyle w:val="Hyperlink"/>
          <w:rFonts w:eastAsia="Tahoma"/>
          <w:color w:val="363534" w:themeColor="text1"/>
          <w:u w:val="none"/>
        </w:rPr>
        <w:t>authorised deposit-taking institutions</w:t>
      </w:r>
      <w:r>
        <w:rPr>
          <w:rStyle w:val="Hyperlink"/>
          <w:rFonts w:eastAsia="Tahoma"/>
          <w:color w:val="363534" w:themeColor="text1"/>
          <w:u w:val="none"/>
        </w:rPr>
        <w:t xml:space="preserve"> (ADIs) and other subscribers to an Electronic Lodgment </w:t>
      </w:r>
      <w:r w:rsidR="002264D2">
        <w:rPr>
          <w:rStyle w:val="Hyperlink"/>
          <w:rFonts w:eastAsia="Tahoma"/>
          <w:color w:val="363534" w:themeColor="text1"/>
          <w:u w:val="none"/>
        </w:rPr>
        <w:t>N</w:t>
      </w:r>
      <w:r>
        <w:rPr>
          <w:rStyle w:val="Hyperlink"/>
          <w:rFonts w:eastAsia="Tahoma"/>
          <w:color w:val="363534" w:themeColor="text1"/>
          <w:u w:val="none"/>
        </w:rPr>
        <w:t>etwork (ELN)</w:t>
      </w:r>
      <w:r w:rsidRPr="003C3E55">
        <w:rPr>
          <w:rStyle w:val="Hyperlink"/>
          <w:rFonts w:eastAsia="Tahoma"/>
          <w:color w:val="363534" w:themeColor="text1"/>
          <w:u w:val="none"/>
        </w:rPr>
        <w:t xml:space="preserve">, all Instruments (including Residual documents) available in an ELN will be required to be lodged using an ELN. </w:t>
      </w:r>
      <w:r w:rsidR="004B784B">
        <w:rPr>
          <w:rStyle w:val="Hyperlink"/>
          <w:rFonts w:eastAsia="Tahoma"/>
          <w:color w:val="363534" w:themeColor="text1"/>
          <w:u w:val="none"/>
        </w:rPr>
        <w:t xml:space="preserve">The remaining 27 Residual documents will be </w:t>
      </w:r>
      <w:r w:rsidR="00013F6E">
        <w:rPr>
          <w:rStyle w:val="Hyperlink"/>
          <w:rFonts w:eastAsia="Tahoma"/>
          <w:color w:val="363534" w:themeColor="text1"/>
          <w:u w:val="none"/>
        </w:rPr>
        <w:t xml:space="preserve">required to be lodged using an ELN from </w:t>
      </w:r>
      <w:bookmarkStart w:id="1" w:name="_GoBack"/>
      <w:bookmarkEnd w:id="1"/>
      <w:r w:rsidR="004B784B">
        <w:rPr>
          <w:rStyle w:val="Hyperlink"/>
          <w:rFonts w:eastAsia="Tahoma"/>
          <w:color w:val="363534" w:themeColor="text1"/>
          <w:u w:val="none"/>
        </w:rPr>
        <w:t xml:space="preserve">1 October 2019. </w:t>
      </w:r>
    </w:p>
    <w:p w14:paraId="61204599" w14:textId="63434675" w:rsidR="00742F1C" w:rsidRPr="003C3E55" w:rsidRDefault="00742F1C" w:rsidP="00742F1C">
      <w:pPr>
        <w:pStyle w:val="ListBullet"/>
        <w:rPr>
          <w:rStyle w:val="Hyperlink"/>
          <w:rFonts w:eastAsia="Tahoma"/>
          <w:color w:val="363534" w:themeColor="text1"/>
          <w:u w:val="none"/>
        </w:rPr>
      </w:pPr>
      <w:r>
        <w:t xml:space="preserve">By 1 August 2019 a complete list of Land Registry transactions available for electronic lodgment will be available. </w:t>
      </w:r>
    </w:p>
    <w:p w14:paraId="1A31922C" w14:textId="5B51F7AF" w:rsidR="00742F1C" w:rsidRPr="00742F1C" w:rsidRDefault="00742F1C" w:rsidP="00742F1C">
      <w:pPr>
        <w:pStyle w:val="ListBullet"/>
        <w:rPr>
          <w:rFonts w:eastAsiaTheme="minorHAnsi"/>
        </w:rPr>
      </w:pPr>
      <w:r>
        <w:rPr>
          <w:rFonts w:eastAsiaTheme="minorHAnsi"/>
        </w:rPr>
        <w:t xml:space="preserve">A guide outlining the requirements for all available Residual documents </w:t>
      </w:r>
      <w:r w:rsidRPr="00742F1C">
        <w:rPr>
          <w:rFonts w:eastAsiaTheme="minorHAnsi"/>
        </w:rPr>
        <w:t>will be updated as other documents are made available.</w:t>
      </w:r>
    </w:p>
    <w:p w14:paraId="0A8ACD17" w14:textId="25DB60AA" w:rsidR="00A541A9" w:rsidRDefault="00A87CFF" w:rsidP="00742F1C">
      <w:pPr>
        <w:pStyle w:val="ListBullet"/>
        <w:rPr>
          <w:rStyle w:val="Hyperlink"/>
          <w:rFonts w:eastAsia="Tahoma"/>
          <w:color w:val="363534" w:themeColor="text1"/>
          <w:u w:val="none"/>
        </w:rPr>
      </w:pPr>
      <w:r w:rsidRPr="003C3E55">
        <w:rPr>
          <w:rStyle w:val="Hyperlink"/>
          <w:rFonts w:eastAsia="Tahoma"/>
          <w:color w:val="363534" w:themeColor="text1"/>
          <w:u w:val="none"/>
        </w:rPr>
        <w:t xml:space="preserve">The Registrar will not accept paper lodgment of any such Instruments </w:t>
      </w:r>
      <w:r w:rsidR="00A541A9">
        <w:rPr>
          <w:rStyle w:val="Hyperlink"/>
          <w:rFonts w:eastAsia="Tahoma"/>
          <w:color w:val="363534" w:themeColor="text1"/>
          <w:u w:val="none"/>
        </w:rPr>
        <w:t xml:space="preserve">(including Residual documents) </w:t>
      </w:r>
      <w:r w:rsidRPr="003C3E55">
        <w:rPr>
          <w:rStyle w:val="Hyperlink"/>
          <w:rFonts w:eastAsia="Tahoma"/>
          <w:color w:val="363534" w:themeColor="text1"/>
          <w:u w:val="none"/>
        </w:rPr>
        <w:t xml:space="preserve">except in cases where the Instrument(s) cannot be lodged using an ELN for reason(s) set out in the </w:t>
      </w:r>
      <w:r w:rsidRPr="00742F1C">
        <w:rPr>
          <w:rStyle w:val="Hyperlink"/>
          <w:rFonts w:eastAsia="Tahoma"/>
          <w:i/>
          <w:color w:val="363534" w:themeColor="text1"/>
          <w:u w:val="none"/>
        </w:rPr>
        <w:t>Request to accept paper lodgment form</w:t>
      </w:r>
      <w:r w:rsidR="00A541A9">
        <w:rPr>
          <w:rStyle w:val="Hyperlink"/>
          <w:rFonts w:eastAsia="Tahoma"/>
          <w:color w:val="363534" w:themeColor="text1"/>
          <w:u w:val="none"/>
        </w:rPr>
        <w:t xml:space="preserve">. </w:t>
      </w:r>
      <w:r w:rsidRPr="003C3E55">
        <w:rPr>
          <w:rStyle w:val="Hyperlink"/>
          <w:rFonts w:eastAsia="Tahoma"/>
          <w:color w:val="363534" w:themeColor="text1"/>
          <w:u w:val="none"/>
        </w:rPr>
        <w:t xml:space="preserve"> </w:t>
      </w:r>
    </w:p>
    <w:p w14:paraId="6C181FD0" w14:textId="77777777" w:rsidR="00A541A9" w:rsidRDefault="00A541A9" w:rsidP="00A541A9">
      <w:pPr>
        <w:pStyle w:val="ListBullet"/>
        <w:numPr>
          <w:ilvl w:val="0"/>
          <w:numId w:val="0"/>
        </w:numPr>
        <w:ind w:left="170"/>
        <w:rPr>
          <w:rStyle w:val="Hyperlink"/>
          <w:rFonts w:eastAsia="Tahoma"/>
          <w:color w:val="363534" w:themeColor="text1"/>
          <w:u w:val="none"/>
        </w:rPr>
      </w:pPr>
    </w:p>
    <w:p w14:paraId="7E30AFD2" w14:textId="1ACF064F" w:rsidR="00A541A9" w:rsidRPr="00A541A9" w:rsidRDefault="00A541A9" w:rsidP="00A541A9">
      <w:pPr>
        <w:pStyle w:val="Heading1"/>
        <w:rPr>
          <w:rStyle w:val="Hyperlink"/>
          <w:rFonts w:eastAsia="Tahoma"/>
          <w:color w:val="B3272F" w:themeColor="text2"/>
          <w:u w:val="none"/>
        </w:rPr>
      </w:pPr>
      <w:r w:rsidRPr="00A541A9">
        <w:rPr>
          <w:rStyle w:val="Hyperlink"/>
          <w:rFonts w:eastAsia="Tahoma"/>
          <w:color w:val="B3272F" w:themeColor="text2"/>
          <w:u w:val="none"/>
        </w:rPr>
        <w:lastRenderedPageBreak/>
        <w:t>Where to find information on electronic lodgment</w:t>
      </w:r>
    </w:p>
    <w:p w14:paraId="63ABD657" w14:textId="5D7CEF8A" w:rsidR="00A541A9" w:rsidRDefault="00A541A9" w:rsidP="00A541A9">
      <w:pPr>
        <w:pStyle w:val="BodyText"/>
        <w:rPr>
          <w:rStyle w:val="Hyperlink"/>
          <w:rFonts w:eastAsia="Tahoma"/>
          <w:color w:val="363534" w:themeColor="text1"/>
          <w:u w:val="none"/>
        </w:rPr>
      </w:pPr>
      <w:r>
        <w:rPr>
          <w:rStyle w:val="Hyperlink"/>
          <w:rFonts w:eastAsia="Tahoma"/>
          <w:color w:val="363534" w:themeColor="text1"/>
          <w:u w:val="none"/>
        </w:rPr>
        <w:t>The documents</w:t>
      </w:r>
      <w:r w:rsidR="002264D2">
        <w:rPr>
          <w:rStyle w:val="Hyperlink"/>
          <w:rFonts w:eastAsia="Tahoma"/>
          <w:color w:val="363534" w:themeColor="text1"/>
          <w:u w:val="none"/>
        </w:rPr>
        <w:t>:</w:t>
      </w:r>
    </w:p>
    <w:p w14:paraId="3E32D366" w14:textId="4E1ACA19" w:rsidR="00A541A9" w:rsidRPr="00A541A9" w:rsidRDefault="00A541A9" w:rsidP="00A541A9">
      <w:pPr>
        <w:pStyle w:val="ListBullet"/>
        <w:rPr>
          <w:rStyle w:val="Hyperlink"/>
          <w:rFonts w:eastAsia="Tahoma"/>
          <w:i/>
          <w:color w:val="363534" w:themeColor="text1"/>
          <w:u w:val="none"/>
        </w:rPr>
      </w:pPr>
      <w:r w:rsidRPr="00A541A9">
        <w:rPr>
          <w:rStyle w:val="Hyperlink"/>
          <w:rFonts w:eastAsia="Tahoma"/>
          <w:i/>
          <w:color w:val="363534" w:themeColor="text1"/>
          <w:u w:val="none"/>
        </w:rPr>
        <w:t>Land Registry transactions available for electronic lodgment using an ELN</w:t>
      </w:r>
    </w:p>
    <w:p w14:paraId="65ED2F86" w14:textId="77777777" w:rsidR="00A541A9" w:rsidRPr="00A541A9" w:rsidRDefault="00A541A9" w:rsidP="00A541A9">
      <w:pPr>
        <w:pStyle w:val="ListBullet"/>
        <w:rPr>
          <w:rStyle w:val="Hyperlink"/>
          <w:rFonts w:eastAsia="Tahoma"/>
          <w:i/>
          <w:color w:val="363534" w:themeColor="text1"/>
          <w:u w:val="none"/>
        </w:rPr>
      </w:pPr>
      <w:r w:rsidRPr="00A541A9">
        <w:rPr>
          <w:rStyle w:val="Hyperlink"/>
          <w:rFonts w:eastAsia="Tahoma"/>
          <w:i/>
          <w:color w:val="363534" w:themeColor="text1"/>
          <w:u w:val="none"/>
        </w:rPr>
        <w:t>Guide to Residual documents in PEXA</w:t>
      </w:r>
    </w:p>
    <w:p w14:paraId="014F8F74" w14:textId="77777777" w:rsidR="00A541A9" w:rsidRPr="00A541A9" w:rsidRDefault="00A541A9" w:rsidP="00A541A9">
      <w:pPr>
        <w:pStyle w:val="ListBullet"/>
        <w:rPr>
          <w:rStyle w:val="Hyperlink"/>
          <w:rFonts w:eastAsia="Tahoma"/>
          <w:i/>
          <w:color w:val="363534" w:themeColor="text1"/>
          <w:u w:val="none"/>
        </w:rPr>
      </w:pPr>
      <w:r w:rsidRPr="00A541A9">
        <w:rPr>
          <w:rStyle w:val="Hyperlink"/>
          <w:rFonts w:eastAsia="Tahoma"/>
          <w:i/>
          <w:color w:val="363534" w:themeColor="text1"/>
          <w:u w:val="none"/>
        </w:rPr>
        <w:t xml:space="preserve">Request to accept paper lodgment form </w:t>
      </w:r>
    </w:p>
    <w:p w14:paraId="52593F21" w14:textId="65EF912F" w:rsidR="00A87CFF" w:rsidRPr="003C3E55" w:rsidRDefault="00A541A9" w:rsidP="00A541A9">
      <w:pPr>
        <w:pStyle w:val="BodyText"/>
        <w:rPr>
          <w:rStyle w:val="Hyperlink"/>
          <w:rFonts w:eastAsia="Tahoma"/>
          <w:color w:val="363534" w:themeColor="text1"/>
          <w:u w:val="none"/>
        </w:rPr>
      </w:pPr>
      <w:r>
        <w:rPr>
          <w:rStyle w:val="Hyperlink"/>
          <w:rFonts w:eastAsia="Tahoma"/>
          <w:color w:val="363534" w:themeColor="text1"/>
          <w:u w:val="none"/>
        </w:rPr>
        <w:t xml:space="preserve">are all </w:t>
      </w:r>
      <w:r w:rsidR="00A87CFF" w:rsidRPr="003C3E55">
        <w:rPr>
          <w:rStyle w:val="Hyperlink"/>
          <w:rFonts w:eastAsia="Tahoma"/>
          <w:color w:val="363534" w:themeColor="text1"/>
          <w:u w:val="none"/>
        </w:rPr>
        <w:t xml:space="preserve">available </w:t>
      </w:r>
      <w:r w:rsidR="008A667F">
        <w:rPr>
          <w:rStyle w:val="Hyperlink"/>
          <w:rFonts w:eastAsia="Tahoma"/>
          <w:color w:val="363534" w:themeColor="text1"/>
          <w:u w:val="none"/>
        </w:rPr>
        <w:t>on</w:t>
      </w:r>
      <w:r>
        <w:rPr>
          <w:rStyle w:val="Hyperlink"/>
          <w:rFonts w:eastAsia="Tahoma"/>
          <w:color w:val="363534" w:themeColor="text1"/>
          <w:u w:val="none"/>
        </w:rPr>
        <w:t xml:space="preserve"> a new</w:t>
      </w:r>
      <w:r w:rsidR="002264D2">
        <w:rPr>
          <w:rStyle w:val="Hyperlink"/>
          <w:rFonts w:eastAsia="Tahoma"/>
          <w:color w:val="363534" w:themeColor="text1"/>
          <w:u w:val="none"/>
        </w:rPr>
        <w:t xml:space="preserve"> </w:t>
      </w:r>
      <w:r w:rsidR="008A667F">
        <w:rPr>
          <w:rStyle w:val="Hyperlink"/>
          <w:rFonts w:eastAsia="Tahoma"/>
          <w:color w:val="363534" w:themeColor="text1"/>
          <w:u w:val="none"/>
        </w:rPr>
        <w:t>section of</w:t>
      </w:r>
      <w:r>
        <w:rPr>
          <w:rStyle w:val="Hyperlink"/>
          <w:rFonts w:eastAsia="Tahoma"/>
          <w:color w:val="363534" w:themeColor="text1"/>
          <w:u w:val="none"/>
        </w:rPr>
        <w:t xml:space="preserve"> </w:t>
      </w:r>
      <w:r w:rsidR="0094184B">
        <w:rPr>
          <w:rStyle w:val="Hyperlink"/>
          <w:rFonts w:eastAsia="Tahoma"/>
          <w:color w:val="363534" w:themeColor="text1"/>
          <w:u w:val="none"/>
        </w:rPr>
        <w:t xml:space="preserve">the </w:t>
      </w:r>
      <w:r>
        <w:rPr>
          <w:rStyle w:val="Hyperlink"/>
          <w:rFonts w:eastAsia="Tahoma"/>
          <w:color w:val="363534" w:themeColor="text1"/>
          <w:u w:val="none"/>
        </w:rPr>
        <w:t xml:space="preserve">Property and </w:t>
      </w:r>
      <w:r w:rsidR="0094184B">
        <w:rPr>
          <w:rStyle w:val="Hyperlink"/>
          <w:rFonts w:eastAsia="Tahoma"/>
          <w:color w:val="363534" w:themeColor="text1"/>
          <w:u w:val="none"/>
        </w:rPr>
        <w:t>land titles</w:t>
      </w:r>
      <w:r>
        <w:rPr>
          <w:rStyle w:val="Hyperlink"/>
          <w:rFonts w:eastAsia="Tahoma"/>
          <w:color w:val="363534" w:themeColor="text1"/>
          <w:u w:val="none"/>
        </w:rPr>
        <w:t xml:space="preserve"> website</w:t>
      </w:r>
      <w:r w:rsidR="0094184B">
        <w:rPr>
          <w:rStyle w:val="Hyperlink"/>
          <w:rFonts w:eastAsia="Tahoma"/>
          <w:color w:val="363534" w:themeColor="text1"/>
          <w:u w:val="none"/>
        </w:rPr>
        <w:t>:</w:t>
      </w:r>
      <w:r>
        <w:rPr>
          <w:rStyle w:val="Hyperlink"/>
          <w:rFonts w:eastAsia="Tahoma"/>
          <w:color w:val="363534" w:themeColor="text1"/>
          <w:u w:val="none"/>
        </w:rPr>
        <w:t xml:space="preserve"> </w:t>
      </w:r>
      <w:hyperlink r:id="rId15" w:history="1">
        <w:r w:rsidRPr="00A541A9">
          <w:rPr>
            <w:rStyle w:val="Hyperlink"/>
            <w:rFonts w:eastAsia="Tahoma"/>
            <w:color w:val="363534" w:themeColor="text1"/>
          </w:rPr>
          <w:t>https://www.propertyandlandtitles.vic.gov.au/forms-guides-and-fees/electronic-lodgment/key-documentation</w:t>
        </w:r>
      </w:hyperlink>
      <w:r w:rsidRPr="00A541A9">
        <w:rPr>
          <w:rStyle w:val="Hyperlink"/>
          <w:rFonts w:eastAsia="Tahoma"/>
          <w:color w:val="363534" w:themeColor="text1"/>
          <w:u w:val="none"/>
        </w:rPr>
        <w:t xml:space="preserve"> </w:t>
      </w:r>
      <w:r>
        <w:rPr>
          <w:rStyle w:val="Hyperlink"/>
          <w:rFonts w:eastAsia="Tahoma"/>
          <w:color w:val="363534" w:themeColor="text1"/>
          <w:u w:val="none"/>
        </w:rPr>
        <w:t xml:space="preserve"> </w:t>
      </w:r>
    </w:p>
    <w:p w14:paraId="35F8973E" w14:textId="1A2DFB98" w:rsidR="003C3E55" w:rsidRDefault="003C3E55" w:rsidP="003C3E55">
      <w:pPr>
        <w:pStyle w:val="Heading1"/>
        <w:numPr>
          <w:ilvl w:val="0"/>
          <w:numId w:val="0"/>
        </w:numPr>
        <w:spacing w:after="240"/>
      </w:pPr>
      <w:r>
        <w:t>Subscribe</w:t>
      </w:r>
    </w:p>
    <w:p w14:paraId="1CCEF181" w14:textId="77777777" w:rsidR="003C3E55" w:rsidRDefault="003C3E55" w:rsidP="003C3E55">
      <w:pPr>
        <w:pStyle w:val="BodyText"/>
        <w:rPr>
          <w:rFonts w:eastAsia="Calibri"/>
        </w:rPr>
      </w:pPr>
      <w:r>
        <w:rPr>
          <w:rFonts w:eastAsia="Calibri"/>
        </w:rPr>
        <w:t xml:space="preserve">To receive notification when a </w:t>
      </w:r>
      <w:r>
        <w:rPr>
          <w:rFonts w:eastAsia="Calibri"/>
          <w:i/>
        </w:rPr>
        <w:t>Customer Information Bulletin</w:t>
      </w:r>
      <w:r>
        <w:rPr>
          <w:rFonts w:eastAsia="Calibri"/>
        </w:rPr>
        <w:t xml:space="preserve"> is published, please send an email to lv.cib@delwp.vic.gov.au with SUBSCRIBE in the subject line – include your name and email address in the body of the email.</w:t>
      </w:r>
    </w:p>
    <w:p w14:paraId="4A139C62" w14:textId="77777777" w:rsidR="003C3E55" w:rsidRDefault="003C3E55" w:rsidP="003C3E55">
      <w:pPr>
        <w:pStyle w:val="Heading1"/>
        <w:numPr>
          <w:ilvl w:val="0"/>
          <w:numId w:val="0"/>
        </w:numPr>
        <w:spacing w:after="240"/>
        <w:rPr>
          <w:rFonts w:eastAsiaTheme="minorHAnsi"/>
          <w:lang w:eastAsia="en-US"/>
        </w:rPr>
      </w:pPr>
      <w:r>
        <w:rPr>
          <w:rFonts w:eastAsiaTheme="minorHAnsi"/>
          <w:lang w:eastAsia="en-US"/>
        </w:rPr>
        <w:t>Contact us</w:t>
      </w:r>
    </w:p>
    <w:p w14:paraId="1139EAE8" w14:textId="66F852CE" w:rsidR="00254A01" w:rsidRDefault="003C3E55" w:rsidP="00467CA8">
      <w:pPr>
        <w:pStyle w:val="BodyText"/>
      </w:pPr>
      <w:r>
        <w:rPr>
          <w:rFonts w:eastAsiaTheme="minorHAnsi"/>
        </w:rPr>
        <w:t xml:space="preserve">For </w:t>
      </w:r>
      <w:hyperlink w:history="1">
        <w:r w:rsidR="00A541A9" w:rsidRPr="008B7AD9">
          <w:rPr>
            <w:rStyle w:val="Hyperlink"/>
            <w:rFonts w:eastAsiaTheme="minorHAnsi" w:cs="Calibri"/>
            <w:szCs w:val="22"/>
          </w:rPr>
          <w:t>location and contact details</w:t>
        </w:r>
      </w:hyperlink>
      <w:r>
        <w:rPr>
          <w:rFonts w:eastAsiaTheme="minorHAnsi"/>
        </w:rPr>
        <w:t xml:space="preserve">, go to </w:t>
      </w:r>
      <w:hyperlink r:id="rId16" w:history="1">
        <w:r>
          <w:rPr>
            <w:rStyle w:val="Hyperlink"/>
            <w:rFonts w:eastAsiaTheme="minorHAnsi" w:cs="Calibri"/>
            <w:color w:val="000000"/>
            <w:szCs w:val="22"/>
          </w:rPr>
          <w:t>www.propertyandlandtitles.vic.gov.au/contact-us</w:t>
        </w:r>
      </w:hyperlink>
      <w:r>
        <w:rPr>
          <w:rFonts w:eastAsiaTheme="minorHAnsi"/>
        </w:rPr>
        <w:t>.</w:t>
      </w:r>
      <w:r w:rsidR="00254A01">
        <w:t xml:space="preserve"> </w:t>
      </w:r>
    </w:p>
    <w:p w14:paraId="5F8D99FA" w14:textId="72264311" w:rsidR="00467CA8" w:rsidRDefault="00467CA8" w:rsidP="00467CA8">
      <w:pPr>
        <w:pStyle w:val="BodyText"/>
      </w:pPr>
    </w:p>
    <w:p w14:paraId="40E7CB2D" w14:textId="7E82DCA7" w:rsidR="00467CA8" w:rsidRDefault="00467CA8" w:rsidP="00467CA8">
      <w:pPr>
        <w:pStyle w:val="BodyText"/>
      </w:pPr>
    </w:p>
    <w:p w14:paraId="7D57E23C" w14:textId="71F4B3CB" w:rsidR="00467CA8" w:rsidRDefault="00467CA8" w:rsidP="00467CA8">
      <w:pPr>
        <w:pStyle w:val="BodyText"/>
      </w:pPr>
    </w:p>
    <w:tbl>
      <w:tblPr>
        <w:tblpPr w:leftFromText="181" w:rightFromText="181" w:topFromText="113" w:horzAnchor="page" w:tblpX="852" w:tblpYSpec="bottom"/>
        <w:tblOverlap w:val="never"/>
        <w:tblW w:w="10336"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83"/>
        <w:gridCol w:w="5053"/>
      </w:tblGrid>
      <w:tr w:rsidR="00A81676" w14:paraId="78040287" w14:textId="77777777" w:rsidTr="004E0CF8">
        <w:trPr>
          <w:trHeight w:val="962"/>
        </w:trPr>
        <w:tc>
          <w:tcPr>
            <w:tcW w:w="5283" w:type="dxa"/>
            <w:shd w:val="clear" w:color="auto" w:fill="auto"/>
          </w:tcPr>
          <w:p w14:paraId="670AD5FD" w14:textId="74AE2A82" w:rsidR="00A81676" w:rsidRDefault="00A81676" w:rsidP="004E0CF8">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013F6E">
              <w:rPr>
                <w:noProof/>
              </w:rPr>
              <w:t>2019</w:t>
            </w:r>
            <w:r>
              <w:fldChar w:fldCharType="end"/>
            </w:r>
          </w:p>
          <w:p w14:paraId="25C02C65" w14:textId="77777777" w:rsidR="00A81676" w:rsidRDefault="00A81676" w:rsidP="004E0CF8">
            <w:pPr>
              <w:pStyle w:val="SmallBodyText"/>
            </w:pPr>
            <w:r>
              <w:rPr>
                <w:noProof/>
              </w:rPr>
              <w:drawing>
                <wp:anchor distT="0" distB="0" distL="114300" distR="36195" simplePos="0" relativeHeight="251659264" behindDoc="0" locked="1" layoutInCell="1" allowOverlap="1" wp14:anchorId="4CE1F7CB" wp14:editId="13EBFF3D">
                  <wp:simplePos x="0" y="0"/>
                  <wp:positionH relativeFrom="column">
                    <wp:posOffset>0</wp:posOffset>
                  </wp:positionH>
                  <wp:positionV relativeFrom="paragraph">
                    <wp:posOffset>28575</wp:posOffset>
                  </wp:positionV>
                  <wp:extent cx="658800" cy="237600"/>
                  <wp:effectExtent l="0" t="0" r="8255" b="0"/>
                  <wp:wrapSquare wrapText="bothSides"/>
                  <wp:docPr id="20" name="Picture 2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7">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5873DE3B" w14:textId="77777777" w:rsidR="00A81676" w:rsidRPr="008F559C" w:rsidRDefault="00A81676" w:rsidP="004E0CF8">
            <w:pPr>
              <w:pStyle w:val="SmallHeading"/>
            </w:pPr>
            <w:r w:rsidRPr="00C255C2">
              <w:t>Disclaimer</w:t>
            </w:r>
          </w:p>
          <w:p w14:paraId="70215878" w14:textId="77777777" w:rsidR="00A81676" w:rsidRDefault="00A81676" w:rsidP="004E0CF8">
            <w:pPr>
              <w:pStyle w:val="SmallBodyText"/>
            </w:pPr>
            <w:r w:rsidRPr="00405DE3">
              <w:t xml:space="preserve">This publication may be of assistance to </w:t>
            </w:r>
            <w:proofErr w:type="gramStart"/>
            <w:r w:rsidRPr="00405DE3">
              <w:t>you</w:t>
            </w:r>
            <w:proofErr w:type="gramEnd"/>
            <w:r w:rsidRPr="00405DE3">
              <w:t xml:space="preserve">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5053" w:type="dxa"/>
            <w:shd w:val="clear" w:color="auto" w:fill="auto"/>
          </w:tcPr>
          <w:p w14:paraId="4A4BE808" w14:textId="77777777" w:rsidR="00A81676" w:rsidRPr="00E97294" w:rsidRDefault="00A81676" w:rsidP="004E0CF8">
            <w:pPr>
              <w:pStyle w:val="xAccessibilityHeading"/>
            </w:pPr>
            <w:r w:rsidRPr="00E97294">
              <w:t>Accessibility</w:t>
            </w:r>
          </w:p>
          <w:p w14:paraId="5D115F3C" w14:textId="77777777" w:rsidR="00A81676" w:rsidRDefault="00A81676" w:rsidP="004E0CF8">
            <w:pPr>
              <w:pStyle w:val="xAccessibilityText"/>
            </w:pPr>
            <w:r>
              <w:t>If you would like to receive this publication in an alternative format, please telephone the DELWP Customer Service Centre on 136186, email </w:t>
            </w:r>
            <w:hyperlink r:id="rId18" w:history="1">
              <w:r w:rsidRPr="003C5C56">
                <w:t>customer.service@delwp.vic.gov.au</w:t>
              </w:r>
            </w:hyperlink>
            <w:r>
              <w:t xml:space="preserve">, or via the National Relay Service on 133 677 </w:t>
            </w:r>
            <w:hyperlink r:id="rId19" w:history="1">
              <w:r w:rsidRPr="00AE3298">
                <w:t>www.relayservice.com.au</w:t>
              </w:r>
            </w:hyperlink>
            <w:r>
              <w:t xml:space="preserve">. This document is also available at </w:t>
            </w:r>
            <w:hyperlink r:id="rId20" w:history="1">
              <w:r w:rsidRPr="00AE3298">
                <w:t>www.delwp.vic.gov.au</w:t>
              </w:r>
            </w:hyperlink>
            <w:r>
              <w:t xml:space="preserve">. </w:t>
            </w:r>
          </w:p>
          <w:p w14:paraId="7E7F62F3" w14:textId="77777777" w:rsidR="00A81676" w:rsidRDefault="00A81676" w:rsidP="004E0CF8">
            <w:pPr>
              <w:pStyle w:val="SmallBodyText"/>
            </w:pPr>
          </w:p>
        </w:tc>
      </w:tr>
    </w:tbl>
    <w:p w14:paraId="10A47FD7" w14:textId="77777777" w:rsidR="00467CA8" w:rsidRDefault="00467CA8" w:rsidP="00467CA8">
      <w:pPr>
        <w:pStyle w:val="BodyText"/>
      </w:pPr>
    </w:p>
    <w:p w14:paraId="657B43E1" w14:textId="77777777" w:rsidR="00467CA8" w:rsidRDefault="00467CA8" w:rsidP="00467CA8">
      <w:pPr>
        <w:pStyle w:val="BodyText"/>
      </w:pPr>
    </w:p>
    <w:p w14:paraId="4DA800B6" w14:textId="77777777" w:rsidR="00467CA8" w:rsidRDefault="00467CA8" w:rsidP="00467CA8">
      <w:pPr>
        <w:pStyle w:val="BodyText"/>
      </w:pPr>
    </w:p>
    <w:p w14:paraId="6E05AB94" w14:textId="77777777" w:rsidR="00467CA8" w:rsidRDefault="00467CA8" w:rsidP="00467CA8">
      <w:pPr>
        <w:pStyle w:val="BodyText"/>
      </w:pPr>
    </w:p>
    <w:p w14:paraId="53A26802" w14:textId="6C5684DF" w:rsidR="00467CA8" w:rsidRDefault="00467CA8" w:rsidP="00467CA8">
      <w:pPr>
        <w:pStyle w:val="BodyText"/>
      </w:pPr>
    </w:p>
    <w:sectPr w:rsidR="00467CA8" w:rsidSect="003C3E55">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391F6" w14:textId="77777777" w:rsidR="003C3E55" w:rsidRDefault="003C3E55">
      <w:r>
        <w:separator/>
      </w:r>
    </w:p>
    <w:p w14:paraId="4943761D" w14:textId="77777777" w:rsidR="003C3E55" w:rsidRDefault="003C3E55"/>
    <w:p w14:paraId="3C171804" w14:textId="77777777" w:rsidR="003C3E55" w:rsidRDefault="003C3E55"/>
  </w:endnote>
  <w:endnote w:type="continuationSeparator" w:id="0">
    <w:p w14:paraId="12B57919" w14:textId="77777777" w:rsidR="003C3E55" w:rsidRDefault="003C3E55">
      <w:r>
        <w:continuationSeparator/>
      </w:r>
    </w:p>
    <w:p w14:paraId="56F38228" w14:textId="77777777" w:rsidR="003C3E55" w:rsidRDefault="003C3E55"/>
    <w:p w14:paraId="56D51CB6" w14:textId="77777777" w:rsidR="003C3E55" w:rsidRDefault="003C3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119F7" w14:textId="77777777" w:rsidR="00B40C2E" w:rsidRPr="00B5221E" w:rsidRDefault="00B40C2E" w:rsidP="00E97294">
    <w:pPr>
      <w:pStyle w:val="FooterEven"/>
    </w:pPr>
    <w:r w:rsidRPr="00D55628">
      <w:rPr>
        <w:noProof/>
      </w:rPr>
      <mc:AlternateContent>
        <mc:Choice Requires="wps">
          <w:drawing>
            <wp:anchor distT="0" distB="0" distL="114300" distR="114300" simplePos="0" relativeHeight="251637760" behindDoc="1" locked="1" layoutInCell="1" allowOverlap="1" wp14:anchorId="2B4339E2" wp14:editId="4D105C3B">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E1B09" w14:textId="38FDB74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339E2"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709E1B09" w14:textId="38FDB74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46E1A" w14:textId="77777777" w:rsidR="00B40C2E" w:rsidRDefault="00B40C2E" w:rsidP="00213C82">
    <w:pPr>
      <w:pStyle w:val="Footer"/>
    </w:pPr>
    <w:r w:rsidRPr="00D55628">
      <w:rPr>
        <w:noProof/>
      </w:rPr>
      <mc:AlternateContent>
        <mc:Choice Requires="wps">
          <w:drawing>
            <wp:anchor distT="0" distB="0" distL="114300" distR="114300" simplePos="0" relativeHeight="251641856" behindDoc="1" locked="1" layoutInCell="1" allowOverlap="1" wp14:anchorId="07AF2811" wp14:editId="65A0C57A">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1BBFB" w14:textId="0529CBF2"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F2811"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58D1BBFB" w14:textId="0529CBF2"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42E1" w14:textId="77777777" w:rsidR="00B40C2E" w:rsidRDefault="00B40C2E" w:rsidP="00BF3066">
    <w:pPr>
      <w:pStyle w:val="Footer"/>
      <w:spacing w:before="1600"/>
    </w:pPr>
    <w:r>
      <w:rPr>
        <w:noProof/>
      </w:rPr>
      <w:drawing>
        <wp:anchor distT="0" distB="0" distL="114300" distR="114300" simplePos="0" relativeHeight="251668480" behindDoc="1" locked="1" layoutInCell="1" allowOverlap="1" wp14:anchorId="2F059211" wp14:editId="03C168FA">
          <wp:simplePos x="0" y="0"/>
          <wp:positionH relativeFrom="page">
            <wp:align>right</wp:align>
          </wp:positionH>
          <wp:positionV relativeFrom="page">
            <wp:align>bottom</wp:align>
          </wp:positionV>
          <wp:extent cx="2408753" cy="1085850"/>
          <wp:effectExtent l="0" t="0" r="0" b="0"/>
          <wp:wrapNone/>
          <wp:docPr id="16"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73600" behindDoc="0" locked="1" layoutInCell="1" allowOverlap="1" wp14:anchorId="2DE4E748" wp14:editId="4189924B">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D3F21"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4E748" id="_x0000_t202" coordsize="21600,21600" o:spt="202" path="m,l,21600r21600,l21600,xe">
              <v:stroke joinstyle="miter"/>
              <v:path gradientshapeok="t" o:connecttype="rect"/>
            </v:shapetype>
            <v:shape id="WebAddress" o:spid="_x0000_s1028" type="#_x0000_t202" style="position:absolute;margin-left:0;margin-top:0;width:303pt;height:56.7pt;z-index:2516736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135D3F21"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55BE189E" wp14:editId="78C34946">
          <wp:simplePos x="0" y="0"/>
          <wp:positionH relativeFrom="page">
            <wp:align>right</wp:align>
          </wp:positionH>
          <wp:positionV relativeFrom="page">
            <wp:align>bottom</wp:align>
          </wp:positionV>
          <wp:extent cx="2422800" cy="1083600"/>
          <wp:effectExtent l="0" t="0" r="0" b="0"/>
          <wp:wrapNone/>
          <wp:docPr id="19"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279407" w14:textId="77777777" w:rsidR="003C3E55" w:rsidRPr="008F5280" w:rsidRDefault="003C3E55" w:rsidP="008F5280">
      <w:pPr>
        <w:pStyle w:val="FootnoteSeparator"/>
      </w:pPr>
    </w:p>
    <w:p w14:paraId="7266D769" w14:textId="77777777" w:rsidR="003C3E55" w:rsidRDefault="003C3E55"/>
  </w:footnote>
  <w:footnote w:type="continuationSeparator" w:id="0">
    <w:p w14:paraId="60A7462E" w14:textId="77777777" w:rsidR="003C3E55" w:rsidRDefault="003C3E55" w:rsidP="008F5280">
      <w:pPr>
        <w:pStyle w:val="FootnoteSeparator"/>
      </w:pPr>
    </w:p>
    <w:p w14:paraId="0C3C4953" w14:textId="77777777" w:rsidR="003C3E55" w:rsidRDefault="003C3E55"/>
    <w:p w14:paraId="7FD5BD3B" w14:textId="77777777" w:rsidR="003C3E55" w:rsidRDefault="003C3E55"/>
  </w:footnote>
  <w:footnote w:type="continuationNotice" w:id="1">
    <w:p w14:paraId="5CD7904A" w14:textId="77777777" w:rsidR="003C3E55" w:rsidRDefault="003C3E55" w:rsidP="00D55628"/>
    <w:p w14:paraId="54C75660" w14:textId="77777777" w:rsidR="003C3E55" w:rsidRDefault="003C3E55"/>
    <w:p w14:paraId="7E498580" w14:textId="77777777" w:rsidR="003C3E55" w:rsidRDefault="003C3E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5E210B70" w14:textId="77777777" w:rsidTr="00B40C2E">
      <w:trPr>
        <w:trHeight w:hRule="exact" w:val="1418"/>
      </w:trPr>
      <w:tc>
        <w:tcPr>
          <w:tcW w:w="7761" w:type="dxa"/>
          <w:vAlign w:val="center"/>
        </w:tcPr>
        <w:p w14:paraId="53863160" w14:textId="5DF5D3FE"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013F6E">
            <w:rPr>
              <w:noProof/>
            </w:rPr>
            <w:t>July 2019</w:t>
          </w:r>
          <w:r>
            <w:rPr>
              <w:noProof/>
            </w:rPr>
            <w:fldChar w:fldCharType="end"/>
          </w:r>
        </w:p>
      </w:tc>
    </w:tr>
  </w:tbl>
  <w:p w14:paraId="34C0A02E" w14:textId="77777777" w:rsidR="00B40C2E" w:rsidRDefault="00B40C2E" w:rsidP="00254A01">
    <w:pPr>
      <w:pStyle w:val="Header"/>
    </w:pPr>
    <w:r w:rsidRPr="00806AB6">
      <w:rPr>
        <w:noProof/>
      </w:rPr>
      <mc:AlternateContent>
        <mc:Choice Requires="wps">
          <w:drawing>
            <wp:anchor distT="0" distB="0" distL="114300" distR="114300" simplePos="0" relativeHeight="251658752" behindDoc="1" locked="0" layoutInCell="1" allowOverlap="1" wp14:anchorId="0744F41C" wp14:editId="7B558E5D">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89CD07"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1C438ED5" wp14:editId="66CB3D6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AC9A28"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1DFF387D" wp14:editId="6326E35B">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14C394"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5CCDCC0B"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57A65A45" w14:textId="77777777" w:rsidTr="00B40C2E">
      <w:trPr>
        <w:trHeight w:hRule="exact" w:val="1418"/>
      </w:trPr>
      <w:tc>
        <w:tcPr>
          <w:tcW w:w="7761" w:type="dxa"/>
          <w:vAlign w:val="center"/>
        </w:tcPr>
        <w:p w14:paraId="17093797" w14:textId="42D77F5B"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7F3259">
            <w:rPr>
              <w:noProof/>
            </w:rPr>
            <w:t>Land Use Victoria</w:t>
          </w:r>
          <w:r>
            <w:rPr>
              <w:noProof/>
            </w:rPr>
            <w:fldChar w:fldCharType="end"/>
          </w:r>
        </w:p>
      </w:tc>
    </w:tr>
  </w:tbl>
  <w:p w14:paraId="23E1EEAC" w14:textId="77777777" w:rsidR="00B40C2E" w:rsidRDefault="00B40C2E" w:rsidP="00254A01">
    <w:pPr>
      <w:pStyle w:val="Header"/>
    </w:pPr>
    <w:r w:rsidRPr="00806AB6">
      <w:rPr>
        <w:noProof/>
      </w:rPr>
      <mc:AlternateContent>
        <mc:Choice Requires="wps">
          <w:drawing>
            <wp:anchor distT="0" distB="0" distL="114300" distR="114300" simplePos="0" relativeHeight="251661824" behindDoc="1" locked="0" layoutInCell="1" allowOverlap="1" wp14:anchorId="65ED12FE" wp14:editId="52FE7A8E">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3842D"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07B08317" wp14:editId="19A1B33E">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AA3A22"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6B66199A" wp14:editId="46F11F1B">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E7F2AFC"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2D8DFBA6"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D4F3D" w14:textId="77777777" w:rsidR="00B40C2E" w:rsidRPr="00E97294" w:rsidRDefault="000B66BB" w:rsidP="00E97294">
    <w:pPr>
      <w:pStyle w:val="Header"/>
    </w:pPr>
    <w:r>
      <w:rPr>
        <w:noProof/>
      </w:rPr>
      <w:drawing>
        <wp:anchor distT="0" distB="0" distL="114300" distR="114300" simplePos="0" relativeHeight="251672576" behindDoc="1" locked="0" layoutInCell="1" allowOverlap="1" wp14:anchorId="63C4C717" wp14:editId="0F169B2B">
          <wp:simplePos x="0" y="0"/>
          <wp:positionH relativeFrom="page">
            <wp:posOffset>720090</wp:posOffset>
          </wp:positionH>
          <wp:positionV relativeFrom="page">
            <wp:posOffset>1188085</wp:posOffset>
          </wp:positionV>
          <wp:extent cx="860400" cy="896400"/>
          <wp:effectExtent l="0" t="0" r="0" b="0"/>
          <wp:wrapNone/>
          <wp:docPr id="14"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714B83FB" wp14:editId="79131955">
          <wp:simplePos x="0" y="0"/>
          <wp:positionH relativeFrom="page">
            <wp:posOffset>720090</wp:posOffset>
          </wp:positionH>
          <wp:positionV relativeFrom="page">
            <wp:posOffset>1188085</wp:posOffset>
          </wp:positionV>
          <wp:extent cx="864000" cy="896400"/>
          <wp:effectExtent l="0" t="0" r="0" b="0"/>
          <wp:wrapNone/>
          <wp:docPr id="1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4144" behindDoc="1" locked="0" layoutInCell="1" allowOverlap="1" wp14:anchorId="6CBFDA79" wp14:editId="172D32E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6052F7"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0" behindDoc="1" locked="0" layoutInCell="1" allowOverlap="1" wp14:anchorId="3C063410" wp14:editId="55081E7B">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7BE244"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qO3wIAAOMGAAAOAAAAZHJzL2Uyb0RvYy54bWysVV1v0zAUfUfiP1h+RGJJ2q5bq6UTbBpC&#10;GjBp5Qe4jtNEOL7GdpuOX79rO+nSso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" path="m,l669,1415,1339,,,xe" fillcolor="#e1a9ac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33863844" wp14:editId="3F294B8A">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E46F7B"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45952" behindDoc="1" locked="0" layoutInCell="1" allowOverlap="1" wp14:anchorId="2E43C7DF" wp14:editId="79578E9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9769CCE"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81956F9"/>
    <w:multiLevelType w:val="hybridMultilevel"/>
    <w:tmpl w:val="F87EB6AC"/>
    <w:lvl w:ilvl="0" w:tplc="E244F3CE">
      <w:start w:val="1"/>
      <w:numFmt w:val="bullet"/>
      <w:pStyle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06426F0"/>
    <w:multiLevelType w:val="hybridMultilevel"/>
    <w:tmpl w:val="03A40CFC"/>
    <w:lvl w:ilvl="0" w:tplc="73167F44">
      <w:start w:val="1"/>
      <w:numFmt w:val="decimal"/>
      <w:lvlText w:val="%1."/>
      <w:lvlJc w:val="left"/>
      <w:pPr>
        <w:ind w:left="360" w:hanging="360"/>
      </w:pPr>
      <w:rPr>
        <w:i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4C45E95"/>
    <w:multiLevelType w:val="hybridMultilevel"/>
    <w:tmpl w:val="67825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4D545EC4"/>
    <w:multiLevelType w:val="multilevel"/>
    <w:tmpl w:val="72E4F70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B0E71ED"/>
    <w:multiLevelType w:val="hybridMultilevel"/>
    <w:tmpl w:val="C17EA01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C7F508F"/>
    <w:multiLevelType w:val="hybridMultilevel"/>
    <w:tmpl w:val="7968E54E"/>
    <w:lvl w:ilvl="0" w:tplc="0C09000F">
      <w:start w:val="1"/>
      <w:numFmt w:val="decimal"/>
      <w:lvlText w:val="%1."/>
      <w:lvlJc w:val="left"/>
      <w:pPr>
        <w:ind w:left="720" w:hanging="36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1"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4"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0"/>
  </w:num>
  <w:num w:numId="2">
    <w:abstractNumId w:val="32"/>
  </w:num>
  <w:num w:numId="3">
    <w:abstractNumId w:val="29"/>
  </w:num>
  <w:num w:numId="4">
    <w:abstractNumId w:val="36"/>
  </w:num>
  <w:num w:numId="5">
    <w:abstractNumId w:val="16"/>
  </w:num>
  <w:num w:numId="6">
    <w:abstractNumId w:val="13"/>
  </w:num>
  <w:num w:numId="7">
    <w:abstractNumId w:val="12"/>
  </w:num>
  <w:num w:numId="8">
    <w:abstractNumId w:val="10"/>
  </w:num>
  <w:num w:numId="9">
    <w:abstractNumId w:val="33"/>
  </w:num>
  <w:num w:numId="10">
    <w:abstractNumId w:val="14"/>
  </w:num>
  <w:num w:numId="11">
    <w:abstractNumId w:val="1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5"/>
    <w:lvlOverride w:ilvl="0">
      <w:startOverride w:val="1"/>
    </w:lvlOverride>
  </w:num>
  <w:num w:numId="29">
    <w:abstractNumId w:val="21"/>
  </w:num>
  <w:num w:numId="30">
    <w:abstractNumId w:val="34"/>
  </w:num>
  <w:num w:numId="31">
    <w:abstractNumId w:val="8"/>
  </w:num>
  <w:num w:numId="32">
    <w:abstractNumId w:val="31"/>
  </w:num>
  <w:num w:numId="33">
    <w:abstractNumId w:val="23"/>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28"/>
    <w:lvlOverride w:ilvl="0">
      <w:startOverride w:val="1"/>
    </w:lvlOverride>
    <w:lvlOverride w:ilvl="1"/>
    <w:lvlOverride w:ilvl="2"/>
    <w:lvlOverride w:ilvl="3"/>
    <w:lvlOverride w:ilvl="4"/>
    <w:lvlOverride w:ilvl="5"/>
    <w:lvlOverride w:ilvl="6"/>
    <w:lvlOverride w:ilvl="7"/>
    <w:lvlOverride w:ilvl="8"/>
  </w:num>
  <w:num w:numId="44">
    <w:abstractNumId w:val="22"/>
  </w:num>
  <w:num w:numId="45">
    <w:abstractNumId w:val="17"/>
  </w:num>
  <w:num w:numId="46">
    <w:abstractNumId w:val="27"/>
  </w:num>
  <w:num w:numId="47">
    <w:abstractNumId w:val="11"/>
  </w:num>
  <w:num w:numId="48">
    <w:abstractNumId w:val="12"/>
  </w:num>
  <w:num w:numId="49">
    <w:abstractNumId w:val="10"/>
  </w:num>
  <w:num w:numId="50">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457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2"/>
    <w:docVar w:name="WebAddress" w:val="True"/>
  </w:docVars>
  <w:rsids>
    <w:rsidRoot w:val="003C3E55"/>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3F6E"/>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17D1"/>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0E37"/>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53D"/>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CF4"/>
    <w:rsid w:val="00224EDC"/>
    <w:rsid w:val="00224F1D"/>
    <w:rsid w:val="00225CB2"/>
    <w:rsid w:val="002262A7"/>
    <w:rsid w:val="002264D2"/>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7AE"/>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D89"/>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0F"/>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E55"/>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2EA3"/>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11F"/>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E7CD8"/>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05F"/>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CA8"/>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A7C"/>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84B"/>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2F1C"/>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2F19"/>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59"/>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67F"/>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083"/>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4B"/>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1C9E"/>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1A9"/>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676"/>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87CFF"/>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355"/>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095"/>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4EB7"/>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D7FB7"/>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horizontal-relative:page;mso-position-vertical-relative:page" stroke="f">
      <v:stroke on="f"/>
      <o:colormru v:ext="edit" colors="white"/>
    </o:shapedefaults>
    <o:shapelayout v:ext="edit">
      <o:idmap v:ext="edit" data="1"/>
    </o:shapelayout>
  </w:shapeDefaults>
  <w:decimalSymbol w:val="."/>
  <w:listSeparator w:val=","/>
  <w14:docId w14:val="761E902E"/>
  <w15:docId w15:val="{371CCFAE-EBDD-4C42-BF74-5F09E46B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3C3E55"/>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3C3E55"/>
    <w:pPr>
      <w:spacing w:after="113"/>
    </w:pPr>
    <w:rPr>
      <w:rFonts w:ascii="Calibri" w:hAnsi="Calibri"/>
      <w:color w:val="auto"/>
      <w:sz w:val="22"/>
      <w:szCs w:val="24"/>
      <w:lang w:eastAsia="en-US"/>
    </w:rPr>
  </w:style>
  <w:style w:type="character" w:customStyle="1" w:styleId="BulletChar">
    <w:name w:val="_Bullet Char"/>
    <w:link w:val="Bullet"/>
    <w:locked/>
    <w:rsid w:val="000817D1"/>
    <w:rPr>
      <w:rFonts w:ascii="Calibri" w:hAnsi="Calibri" w:cs="Calibri"/>
      <w:szCs w:val="24"/>
    </w:rPr>
  </w:style>
  <w:style w:type="paragraph" w:customStyle="1" w:styleId="Bullet">
    <w:name w:val="_Bullet"/>
    <w:link w:val="BulletChar"/>
    <w:qFormat/>
    <w:rsid w:val="000817D1"/>
    <w:pPr>
      <w:numPr>
        <w:numId w:val="47"/>
      </w:numPr>
      <w:spacing w:after="113" w:line="220" w:lineRule="atLeast"/>
    </w:pPr>
    <w:rPr>
      <w:rFonts w:ascii="Calibri" w:hAnsi="Calibri" w:cs="Calibri"/>
      <w:szCs w:val="24"/>
    </w:rPr>
  </w:style>
  <w:style w:type="character" w:styleId="UnresolvedMention">
    <w:name w:val="Unresolved Mention"/>
    <w:basedOn w:val="DefaultParagraphFont"/>
    <w:uiPriority w:val="99"/>
    <w:semiHidden/>
    <w:unhideWhenUsed/>
    <w:rsid w:val="00742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ustomer.service@delwp.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http://www.propertyandlandtitles.vic.gov.au/contact-us" TargetMode="External"/><Relationship Id="rId20"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ropertyandlandtitles.vic.gov.au/forms-guides-and-fees/electronic-lodgment/key-documentation" TargetMode="External"/><Relationship Id="rId10" Type="http://schemas.openxmlformats.org/officeDocument/2006/relationships/footer" Target="footer1.xml"/><Relationship Id="rId19" Type="http://schemas.openxmlformats.org/officeDocument/2006/relationships/hyperlink" Target="http://www.relayservice.com.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ropertyandlandtitles.vic.gov.au/publication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2C243-06F8-4846-A9AC-27DE06D19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27</TotalTime>
  <Pages>2</Pages>
  <Words>642</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Yvonne S Baker (DELWP)</dc:creator>
  <cp:keywords/>
  <dc:description/>
  <cp:lastModifiedBy>Wendy Bowran (DELWP)</cp:lastModifiedBy>
  <cp:revision>7</cp:revision>
  <cp:lastPrinted>2019-07-10T04:44:00Z</cp:lastPrinted>
  <dcterms:created xsi:type="dcterms:W3CDTF">2019-07-10T02:57:00Z</dcterms:created>
  <dcterms:modified xsi:type="dcterms:W3CDTF">2019-07-10T05:00:00Z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