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7CA5788D" w14:textId="77777777" w:rsidTr="002543A9">
        <w:trPr>
          <w:trHeight w:hRule="exact" w:val="1418"/>
        </w:trPr>
        <w:tc>
          <w:tcPr>
            <w:tcW w:w="7761" w:type="dxa"/>
            <w:vAlign w:val="center"/>
          </w:tcPr>
          <w:p w14:paraId="68EAABCF" w14:textId="14FB7B5C" w:rsidR="00EC2D14" w:rsidRDefault="00EC2D14" w:rsidP="00EC2D14">
            <w:pPr>
              <w:pStyle w:val="Title"/>
              <w:ind w:left="720"/>
            </w:pPr>
            <w:r>
              <w:t>Subdivision Act fees</w:t>
            </w:r>
          </w:p>
          <w:p w14:paraId="030F4A63" w14:textId="2CD0548C" w:rsidR="00C46A59" w:rsidRPr="00F579ED" w:rsidRDefault="00EA592C" w:rsidP="00C46A59">
            <w:pPr>
              <w:pStyle w:val="Title"/>
            </w:pPr>
            <w:r w:rsidRPr="00720B1B">
              <w:rPr>
                <w:color w:val="FFFFFF" w:themeColor="background1"/>
              </w:rPr>
              <w:t>Effective 1 July 2022</w:t>
            </w:r>
          </w:p>
        </w:tc>
      </w:tr>
      <w:tr w:rsidR="00C46A59" w:rsidRPr="00F579ED" w14:paraId="1479CF78" w14:textId="77777777" w:rsidTr="002543A9">
        <w:trPr>
          <w:trHeight w:val="1247"/>
        </w:trPr>
        <w:tc>
          <w:tcPr>
            <w:tcW w:w="7761" w:type="dxa"/>
            <w:vAlign w:val="center"/>
          </w:tcPr>
          <w:p w14:paraId="730EA917" w14:textId="348A7078" w:rsidR="00C46A59" w:rsidRPr="00F579ED" w:rsidRDefault="00EA592C" w:rsidP="00C46A59">
            <w:pPr>
              <w:pStyle w:val="Subtitle"/>
            </w:pPr>
            <w:r w:rsidRPr="002076C7">
              <w:t xml:space="preserve"> The value of a fee unit is $15.29</w:t>
            </w:r>
          </w:p>
        </w:tc>
      </w:tr>
    </w:tbl>
    <w:tbl>
      <w:tblPr>
        <w:tblStyle w:val="TableGrid"/>
        <w:tblW w:w="11055" w:type="dxa"/>
        <w:tblInd w:w="-426" w:type="dxa"/>
        <w:tblLayout w:type="fixed"/>
        <w:tblLook w:val="04A0" w:firstRow="1" w:lastRow="0" w:firstColumn="1" w:lastColumn="0" w:noHBand="0" w:noVBand="1"/>
      </w:tblPr>
      <w:tblGrid>
        <w:gridCol w:w="1701"/>
        <w:gridCol w:w="7794"/>
        <w:gridCol w:w="1560"/>
      </w:tblGrid>
      <w:tr w:rsidR="00EC2D14" w14:paraId="2DD8666B" w14:textId="77777777" w:rsidTr="00EC2D14">
        <w:trPr>
          <w:cnfStyle w:val="100000000000" w:firstRow="1" w:lastRow="0" w:firstColumn="0" w:lastColumn="0" w:oddVBand="0" w:evenVBand="0" w:oddHBand="0" w:evenHBand="0" w:firstRowFirstColumn="0" w:firstRowLastColumn="0" w:lastRowFirstColumn="0" w:lastRowLastColumn="0"/>
          <w:trHeight w:val="681"/>
          <w:tblHeader/>
        </w:trPr>
        <w:tc>
          <w:tcPr>
            <w:cnfStyle w:val="000000000100" w:firstRow="0" w:lastRow="0" w:firstColumn="0" w:lastColumn="0" w:oddVBand="0" w:evenVBand="0" w:oddHBand="0" w:evenHBand="0" w:firstRowFirstColumn="1" w:firstRowLastColumn="0" w:lastRowFirstColumn="0" w:lastRowLastColumn="0"/>
            <w:tcW w:w="1701" w:type="dxa"/>
            <w:tcBorders>
              <w:top w:val="single" w:sz="8" w:space="0" w:color="B3272F" w:themeColor="text2"/>
              <w:left w:val="nil"/>
              <w:bottom w:val="single" w:sz="8" w:space="0" w:color="B3272F" w:themeColor="text2"/>
              <w:right w:val="nil"/>
            </w:tcBorders>
            <w:hideMark/>
          </w:tcPr>
          <w:p w14:paraId="000C0FD0" w14:textId="5DD526A2" w:rsidR="00EC2D14" w:rsidRDefault="00EC2D14" w:rsidP="00D02845">
            <w:pPr>
              <w:pStyle w:val="Heading2"/>
              <w:outlineLvl w:val="1"/>
              <w:rPr>
                <w:color w:val="FFFFFF" w:themeColor="background1"/>
              </w:rPr>
            </w:pPr>
            <w:r>
              <w:rPr>
                <w:color w:val="FFFFFF" w:themeColor="background1"/>
              </w:rPr>
              <w:t xml:space="preserve"> Common fees</w:t>
            </w:r>
          </w:p>
        </w:tc>
        <w:tc>
          <w:tcPr>
            <w:tcW w:w="7794" w:type="dxa"/>
            <w:tcBorders>
              <w:top w:val="single" w:sz="8" w:space="0" w:color="B3272F" w:themeColor="text2"/>
              <w:left w:val="nil"/>
              <w:bottom w:val="single" w:sz="8" w:space="0" w:color="B3272F" w:themeColor="text2"/>
              <w:right w:val="nil"/>
            </w:tcBorders>
          </w:tcPr>
          <w:p w14:paraId="69C7418D" w14:textId="77777777" w:rsidR="00EC2D14" w:rsidRDefault="00EC2D14">
            <w:pPr>
              <w:pStyle w:val="Heading2"/>
              <w:spacing w:beforeAutospacing="1" w:afterAutospacing="1"/>
              <w:outlineLvl w:val="1"/>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1560" w:type="dxa"/>
            <w:tcBorders>
              <w:top w:val="single" w:sz="8" w:space="0" w:color="B3272F" w:themeColor="text2"/>
              <w:left w:val="nil"/>
              <w:bottom w:val="single" w:sz="8" w:space="0" w:color="B3272F" w:themeColor="text2"/>
              <w:right w:val="nil"/>
            </w:tcBorders>
          </w:tcPr>
          <w:p w14:paraId="1C2AB7C3" w14:textId="77777777" w:rsidR="00EC2D14" w:rsidRDefault="00EC2D14">
            <w:pPr>
              <w:pStyle w:val="Heading2"/>
              <w:spacing w:beforeAutospacing="1" w:afterAutospacing="1"/>
              <w:outlineLvl w:val="1"/>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EC2D14" w14:paraId="7AA82665" w14:textId="77777777" w:rsidTr="00EC2D14">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701" w:type="dxa"/>
            <w:tcBorders>
              <w:top w:val="single" w:sz="8" w:space="0" w:color="B3272F" w:themeColor="text2"/>
              <w:left w:val="nil"/>
              <w:bottom w:val="single" w:sz="8" w:space="0" w:color="B3272F" w:themeColor="text2"/>
              <w:right w:val="nil"/>
            </w:tcBorders>
            <w:shd w:val="clear" w:color="auto" w:fill="F7E9EA" w:themeFill="background2"/>
            <w:hideMark/>
          </w:tcPr>
          <w:p w14:paraId="61DDE1A6" w14:textId="77777777" w:rsidR="00EC2D14" w:rsidRDefault="00EC2D14" w:rsidP="00D02845">
            <w:pPr>
              <w:pStyle w:val="Heading3"/>
              <w:outlineLvl w:val="2"/>
            </w:pPr>
            <w:r>
              <w:t>Section of Act</w:t>
            </w:r>
          </w:p>
        </w:tc>
        <w:tc>
          <w:tcPr>
            <w:tcW w:w="7794" w:type="dxa"/>
            <w:tcBorders>
              <w:top w:val="single" w:sz="8" w:space="0" w:color="B3272F" w:themeColor="text2"/>
              <w:left w:val="nil"/>
              <w:bottom w:val="single" w:sz="8" w:space="0" w:color="B3272F" w:themeColor="text2"/>
              <w:right w:val="nil"/>
            </w:tcBorders>
            <w:shd w:val="clear" w:color="auto" w:fill="F7E9EA" w:themeFill="background2"/>
            <w:hideMark/>
          </w:tcPr>
          <w:p w14:paraId="182681C9" w14:textId="77777777" w:rsidR="00EC2D14" w:rsidRDefault="00EC2D14" w:rsidP="00D02845">
            <w:pPr>
              <w:pStyle w:val="Heading3"/>
              <w:ind w:left="146"/>
              <w:outlineLvl w:val="2"/>
              <w:cnfStyle w:val="100000000000" w:firstRow="1" w:lastRow="0" w:firstColumn="0" w:lastColumn="0" w:oddVBand="0" w:evenVBand="0" w:oddHBand="0" w:evenHBand="0" w:firstRowFirstColumn="0" w:firstRowLastColumn="0" w:lastRowFirstColumn="0" w:lastRowLastColumn="0"/>
            </w:pPr>
            <w:r>
              <w:t>Description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hideMark/>
          </w:tcPr>
          <w:p w14:paraId="184DC5C0" w14:textId="77777777" w:rsidR="00EC2D14" w:rsidRDefault="00EC2D14" w:rsidP="00D02845">
            <w:pPr>
              <w:pStyle w:val="Heading3"/>
              <w:ind w:left="138"/>
              <w:outlineLvl w:val="2"/>
              <w:cnfStyle w:val="100000000000" w:firstRow="1" w:lastRow="0" w:firstColumn="0" w:lastColumn="0" w:oddVBand="0" w:evenVBand="0" w:oddHBand="0" w:evenHBand="0" w:firstRowFirstColumn="0" w:firstRowLastColumn="0" w:lastRowFirstColumn="0" w:lastRowLastColumn="0"/>
            </w:pPr>
            <w:r>
              <w:t>Fee $</w:t>
            </w:r>
          </w:p>
        </w:tc>
      </w:tr>
      <w:tr w:rsidR="00EC2D14" w14:paraId="72995A82"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1FD5F41E" w14:textId="77777777" w:rsidR="00EC2D14" w:rsidRDefault="00EC2D14">
            <w:pPr>
              <w:pStyle w:val="BodyText"/>
            </w:pPr>
            <w:r>
              <w:t>22</w:t>
            </w:r>
          </w:p>
          <w:p w14:paraId="6E02ED73"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015C4AB8" w14:textId="77777777" w:rsidR="00EC2D14" w:rsidRDefault="00EC2D14">
            <w:pPr>
              <w:pStyle w:val="BodyText"/>
            </w:pPr>
            <w:r>
              <w:t>Plan of subdivision</w:t>
            </w:r>
          </w:p>
          <w:p w14:paraId="4CAB24B9" w14:textId="77777777" w:rsidR="00EC2D14" w:rsidRDefault="00EC2D14">
            <w:pPr>
              <w:pStyle w:val="BodyText"/>
            </w:pPr>
            <w:r>
              <w:t>Application to register a plan of subdivision</w:t>
            </w:r>
          </w:p>
          <w:p w14:paraId="5CACA9AB" w14:textId="77777777" w:rsidR="00EC2D14" w:rsidRDefault="00EC2D14">
            <w:pPr>
              <w:pStyle w:val="BodyText"/>
            </w:pPr>
            <w:r>
              <w:t>Plus for each parcel</w:t>
            </w:r>
          </w:p>
          <w:p w14:paraId="66F5EFF7" w14:textId="32616B18" w:rsidR="00EC2D14" w:rsidRDefault="00EC2D14">
            <w:pPr>
              <w:pStyle w:val="BodyText"/>
            </w:pPr>
            <w:r>
              <w:t xml:space="preserve">Calculate the fees using Land Use Victoria’s online fee calculator, available on the </w:t>
            </w:r>
            <w:hyperlink r:id="rId8" w:history="1">
              <w:r>
                <w:rPr>
                  <w:rStyle w:val="Hyperlink"/>
                  <w:rFonts w:eastAsiaTheme="majorEastAsia"/>
                </w:rPr>
                <w:t>F</w:t>
              </w:r>
              <w:r>
                <w:rPr>
                  <w:rStyle w:val="Hyperlink"/>
                  <w:rFonts w:eastAsiaTheme="majorEastAsia"/>
                </w:rPr>
                <w:t>e</w:t>
              </w:r>
              <w:r>
                <w:rPr>
                  <w:rStyle w:val="Hyperlink"/>
                  <w:rFonts w:eastAsiaTheme="majorEastAsia"/>
                </w:rPr>
                <w:t>e</w:t>
              </w:r>
              <w:r>
                <w:rPr>
                  <w:rStyle w:val="Hyperlink"/>
                  <w:rFonts w:eastAsiaTheme="majorEastAsia"/>
                </w:rPr>
                <w:t>s</w:t>
              </w:r>
            </w:hyperlink>
            <w:r>
              <w:t xml:space="preserve"> page at </w:t>
            </w:r>
            <w:hyperlink r:id="rId9" w:history="1">
              <w:r w:rsidR="001B64FF" w:rsidRPr="00F44E42">
                <w:rPr>
                  <w:rStyle w:val="Hyperlink"/>
                </w:rPr>
                <w:t>www.land.vic.gov.au/land-registration/fees-guides-and-forms</w:t>
              </w:r>
            </w:hyperlink>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0403D7B0" w14:textId="77777777" w:rsidR="00EC2D14" w:rsidRDefault="00EC2D14">
            <w:pPr>
              <w:pStyle w:val="BodyText"/>
            </w:pPr>
          </w:p>
          <w:p w14:paraId="22761F34" w14:textId="77777777" w:rsidR="00EC2D14" w:rsidRDefault="00EC2D14">
            <w:pPr>
              <w:pStyle w:val="BodyText"/>
            </w:pPr>
            <w:r>
              <w:t>640.30</w:t>
            </w:r>
          </w:p>
          <w:p w14:paraId="2897E46F" w14:textId="77777777" w:rsidR="00EC2D14" w:rsidRDefault="00EC2D14">
            <w:pPr>
              <w:pStyle w:val="BodyText"/>
            </w:pPr>
            <w:r>
              <w:t>198.00</w:t>
            </w:r>
          </w:p>
          <w:p w14:paraId="6623484B" w14:textId="77777777" w:rsidR="00EC2D14" w:rsidRDefault="00EC2D14">
            <w:pPr>
              <w:pStyle w:val="BodyText"/>
            </w:pPr>
          </w:p>
        </w:tc>
      </w:tr>
      <w:tr w:rsidR="00EC2D14" w14:paraId="20C68BBA"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00321156" w14:textId="77777777" w:rsidR="00EC2D14" w:rsidRDefault="00EC2D14">
            <w:pPr>
              <w:pStyle w:val="BodyText"/>
            </w:pPr>
            <w:r>
              <w:t>22</w:t>
            </w:r>
          </w:p>
          <w:p w14:paraId="1BCFB722"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tcPr>
          <w:p w14:paraId="0AB1513F" w14:textId="77777777" w:rsidR="00EC2D14" w:rsidRDefault="00EC2D14">
            <w:pPr>
              <w:pStyle w:val="BodyText"/>
            </w:pPr>
            <w:r>
              <w:t>Staged plan of subdivision</w:t>
            </w:r>
          </w:p>
          <w:p w14:paraId="4F86A119" w14:textId="77777777" w:rsidR="00EC2D14" w:rsidRDefault="00EC2D14">
            <w:pPr>
              <w:pStyle w:val="BodyText"/>
            </w:pPr>
            <w:r>
              <w:t>For staged plans of subdivision:</w:t>
            </w:r>
          </w:p>
          <w:p w14:paraId="7ADF134C" w14:textId="77777777" w:rsidR="00EC2D14" w:rsidRDefault="00EC2D14">
            <w:pPr>
              <w:pStyle w:val="BodyText"/>
            </w:pPr>
            <w:r>
              <w:t>Application to register a master plan of subdivision</w:t>
            </w:r>
          </w:p>
          <w:p w14:paraId="5AF434EE" w14:textId="77777777" w:rsidR="00EC2D14" w:rsidRDefault="00EC2D14">
            <w:pPr>
              <w:pStyle w:val="BodyText"/>
            </w:pPr>
            <w:r>
              <w:t>Plus for each parcel</w:t>
            </w:r>
          </w:p>
          <w:p w14:paraId="659F8512" w14:textId="77777777" w:rsidR="00EC2D14" w:rsidRDefault="00EC2D14">
            <w:pPr>
              <w:pStyle w:val="BodyText"/>
            </w:pPr>
          </w:p>
          <w:p w14:paraId="33C0F1FC" w14:textId="77777777" w:rsidR="00EC2D14" w:rsidRDefault="00EC2D14">
            <w:pPr>
              <w:pStyle w:val="BodyText"/>
            </w:pPr>
            <w:r>
              <w:t>For a plan for the second or subsequent stage</w:t>
            </w:r>
          </w:p>
          <w:p w14:paraId="0C102059" w14:textId="77777777" w:rsidR="00EC2D14" w:rsidRDefault="00EC2D14">
            <w:pPr>
              <w:pStyle w:val="BodyText"/>
            </w:pPr>
            <w:r>
              <w:t xml:space="preserve">plus for each parcel </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61B5BAF7" w14:textId="77777777" w:rsidR="00EC2D14" w:rsidRDefault="00EC2D14">
            <w:pPr>
              <w:pStyle w:val="BodyText"/>
            </w:pPr>
          </w:p>
          <w:p w14:paraId="13D27E42" w14:textId="77777777" w:rsidR="00EC2D14" w:rsidRDefault="00EC2D14">
            <w:pPr>
              <w:pStyle w:val="BodyText"/>
            </w:pPr>
          </w:p>
          <w:p w14:paraId="0D426C5E" w14:textId="77777777" w:rsidR="00EC2D14" w:rsidRDefault="00EC2D14">
            <w:pPr>
              <w:pStyle w:val="BodyText"/>
            </w:pPr>
            <w:r>
              <w:t>640.30</w:t>
            </w:r>
          </w:p>
          <w:p w14:paraId="48440314" w14:textId="77777777" w:rsidR="00EC2D14" w:rsidRDefault="00EC2D14">
            <w:pPr>
              <w:pStyle w:val="BodyText"/>
            </w:pPr>
            <w:r>
              <w:t>198.00</w:t>
            </w:r>
          </w:p>
          <w:p w14:paraId="7436E131" w14:textId="77777777" w:rsidR="00EC2D14" w:rsidRDefault="00EC2D14">
            <w:pPr>
              <w:pStyle w:val="BodyText"/>
            </w:pPr>
          </w:p>
          <w:p w14:paraId="786A0737" w14:textId="77777777" w:rsidR="00EC2D14" w:rsidRDefault="00EC2D14">
            <w:pPr>
              <w:pStyle w:val="BodyText"/>
            </w:pPr>
            <w:r>
              <w:t>640.30</w:t>
            </w:r>
          </w:p>
          <w:p w14:paraId="16A3B0E9" w14:textId="77777777" w:rsidR="00EC2D14" w:rsidRDefault="00EC2D14">
            <w:pPr>
              <w:pStyle w:val="BodyText"/>
            </w:pPr>
            <w:r>
              <w:t>198.00</w:t>
            </w:r>
          </w:p>
        </w:tc>
      </w:tr>
      <w:tr w:rsidR="00EC2D14" w14:paraId="5D7F6488"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7BEB1112" w14:textId="77777777" w:rsidR="00EC2D14" w:rsidRDefault="00EC2D14">
            <w:pPr>
              <w:pStyle w:val="BodyText"/>
            </w:pPr>
            <w:r>
              <w:t>22</w:t>
            </w:r>
          </w:p>
        </w:tc>
        <w:tc>
          <w:tcPr>
            <w:tcW w:w="7794" w:type="dxa"/>
            <w:tcBorders>
              <w:top w:val="single" w:sz="8" w:space="0" w:color="B3272F" w:themeColor="text2"/>
              <w:left w:val="nil"/>
              <w:bottom w:val="single" w:sz="8" w:space="0" w:color="B3272F" w:themeColor="text2"/>
              <w:right w:val="nil"/>
            </w:tcBorders>
            <w:hideMark/>
          </w:tcPr>
          <w:p w14:paraId="03FAC9B7" w14:textId="77777777" w:rsidR="00EC2D14" w:rsidRDefault="00EC2D14">
            <w:pPr>
              <w:pStyle w:val="BodyText"/>
            </w:pPr>
            <w:r>
              <w:t>Plan of consolidation</w:t>
            </w:r>
          </w:p>
          <w:p w14:paraId="471933CB" w14:textId="77777777" w:rsidR="00EC2D14" w:rsidRDefault="00EC2D14">
            <w:pPr>
              <w:pStyle w:val="BodyText"/>
              <w:rPr>
                <w:strike/>
                <w:color w:val="FF0000"/>
              </w:rPr>
            </w:pPr>
            <w:r>
              <w:t>Application to register a plan of consolidation, other than under Section 32(j) of the Act</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2CE4C312" w14:textId="77777777" w:rsidR="00EC2D14" w:rsidRDefault="00EC2D14">
            <w:pPr>
              <w:pStyle w:val="BodyText"/>
            </w:pPr>
          </w:p>
          <w:p w14:paraId="5F1C5896" w14:textId="77777777" w:rsidR="00EC2D14" w:rsidRDefault="00EC2D14">
            <w:pPr>
              <w:pStyle w:val="BodyText"/>
            </w:pPr>
            <w:r>
              <w:t>640.30</w:t>
            </w:r>
          </w:p>
        </w:tc>
      </w:tr>
      <w:tr w:rsidR="00EC2D14" w14:paraId="58E46853"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7B40A0C6" w14:textId="77777777" w:rsidR="00EC2D14" w:rsidRDefault="00EC2D14">
            <w:pPr>
              <w:pStyle w:val="BodyText"/>
            </w:pPr>
            <w:r>
              <w:t>22(1B)</w:t>
            </w:r>
          </w:p>
        </w:tc>
        <w:tc>
          <w:tcPr>
            <w:tcW w:w="7794" w:type="dxa"/>
            <w:tcBorders>
              <w:top w:val="single" w:sz="8" w:space="0" w:color="B3272F" w:themeColor="text2"/>
              <w:left w:val="nil"/>
              <w:bottom w:val="single" w:sz="8" w:space="0" w:color="B3272F" w:themeColor="text2"/>
              <w:right w:val="nil"/>
            </w:tcBorders>
            <w:hideMark/>
          </w:tcPr>
          <w:p w14:paraId="7964D74B" w14:textId="77777777" w:rsidR="00EC2D14" w:rsidRDefault="00EC2D14">
            <w:pPr>
              <w:pStyle w:val="BodyText"/>
            </w:pPr>
            <w:r>
              <w:t>Service of notice for consent</w:t>
            </w:r>
          </w:p>
          <w:p w14:paraId="2CA452C1" w14:textId="77777777" w:rsidR="00EC2D14" w:rsidRDefault="00EC2D14">
            <w:pPr>
              <w:pStyle w:val="BodyText"/>
            </w:pPr>
            <w:r>
              <w:t xml:space="preserve">Application for service of a notice – for each mortgage, charge, lease, sub-lease, annuity or caveat </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37078F5B" w14:textId="77777777" w:rsidR="00EC2D14" w:rsidRDefault="00EC2D14">
            <w:pPr>
              <w:pStyle w:val="BodyText"/>
            </w:pPr>
          </w:p>
          <w:p w14:paraId="38135659" w14:textId="77777777" w:rsidR="00EC2D14" w:rsidRDefault="00EC2D14">
            <w:pPr>
              <w:pStyle w:val="BodyText"/>
            </w:pPr>
            <w:r>
              <w:t>101.70</w:t>
            </w:r>
          </w:p>
        </w:tc>
      </w:tr>
      <w:tr w:rsidR="00EC2D14" w14:paraId="402EFE7F"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4D8329BE" w14:textId="77777777" w:rsidR="00EC2D14" w:rsidRDefault="00EC2D14">
            <w:pPr>
              <w:pStyle w:val="BodyText"/>
            </w:pPr>
            <w:r>
              <w:t>23</w:t>
            </w:r>
          </w:p>
        </w:tc>
        <w:tc>
          <w:tcPr>
            <w:tcW w:w="7794" w:type="dxa"/>
            <w:tcBorders>
              <w:top w:val="single" w:sz="8" w:space="0" w:color="B3272F" w:themeColor="text2"/>
              <w:left w:val="nil"/>
              <w:bottom w:val="single" w:sz="8" w:space="0" w:color="B3272F" w:themeColor="text2"/>
              <w:right w:val="nil"/>
            </w:tcBorders>
            <w:hideMark/>
          </w:tcPr>
          <w:p w14:paraId="3BE545F3" w14:textId="77777777" w:rsidR="00EC2D14" w:rsidRDefault="00EC2D14">
            <w:pPr>
              <w:pStyle w:val="BodyText"/>
            </w:pPr>
            <w:r>
              <w:t>Easements – creation, removal, variation</w:t>
            </w:r>
          </w:p>
          <w:p w14:paraId="65B952A4" w14:textId="77777777" w:rsidR="00EC2D14" w:rsidRDefault="00EC2D14">
            <w:pPr>
              <w:pStyle w:val="BodyText"/>
            </w:pPr>
            <w:r>
              <w:t>Plan to create, vary or remove an easement or condition in the nature of an easement in a Crown grant, other than under Section 32(i) of the Act</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11A455D7" w14:textId="77777777" w:rsidR="00EC2D14" w:rsidRDefault="00EC2D14">
            <w:pPr>
              <w:pStyle w:val="BodyText"/>
            </w:pPr>
          </w:p>
          <w:p w14:paraId="687DE109" w14:textId="77777777" w:rsidR="00EC2D14" w:rsidRDefault="00EC2D14">
            <w:pPr>
              <w:pStyle w:val="BodyText"/>
            </w:pPr>
            <w:r>
              <w:t>640.30</w:t>
            </w:r>
          </w:p>
        </w:tc>
      </w:tr>
      <w:tr w:rsidR="00EC2D14" w14:paraId="5DEA9ED4"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65E61B03" w14:textId="77777777" w:rsidR="00EC2D14" w:rsidRDefault="00EC2D14">
            <w:pPr>
              <w:pStyle w:val="BodyText"/>
            </w:pPr>
            <w:r>
              <w:t>23</w:t>
            </w:r>
          </w:p>
          <w:p w14:paraId="47A729DE"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72FDF313" w14:textId="77777777" w:rsidR="00EC2D14" w:rsidRDefault="00EC2D14">
            <w:pPr>
              <w:pStyle w:val="BodyText"/>
            </w:pPr>
            <w:r>
              <w:t>Restrictions – creation, removal, variation</w:t>
            </w:r>
          </w:p>
          <w:p w14:paraId="13632068" w14:textId="77777777" w:rsidR="00EC2D14" w:rsidRDefault="00EC2D14">
            <w:pPr>
              <w:pStyle w:val="BodyText"/>
            </w:pPr>
            <w:r>
              <w:t>Plan to create, vary or remove a restriction, other than under Section 32(i) of the Act</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5CDEFD09" w14:textId="77777777" w:rsidR="00EC2D14" w:rsidRDefault="00EC2D14">
            <w:pPr>
              <w:pStyle w:val="BodyText"/>
            </w:pPr>
          </w:p>
          <w:p w14:paraId="719E3881" w14:textId="77777777" w:rsidR="00EC2D14" w:rsidRDefault="00EC2D14">
            <w:pPr>
              <w:pStyle w:val="BodyText"/>
            </w:pPr>
            <w:r>
              <w:t>101.70</w:t>
            </w:r>
          </w:p>
        </w:tc>
      </w:tr>
      <w:tr w:rsidR="00EC2D14" w14:paraId="30342BB9"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0CDC0F7F" w14:textId="77777777" w:rsidR="00EC2D14" w:rsidRDefault="00EC2D14">
            <w:pPr>
              <w:pStyle w:val="BodyText"/>
            </w:pPr>
            <w:r>
              <w:t>24A</w:t>
            </w:r>
          </w:p>
          <w:p w14:paraId="714B44DD"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6F9DC84B" w14:textId="77777777" w:rsidR="00EC2D14" w:rsidRDefault="00EC2D14">
            <w:pPr>
              <w:pStyle w:val="BodyText"/>
            </w:pPr>
            <w:r>
              <w:t>Removal of reservation</w:t>
            </w:r>
          </w:p>
          <w:p w14:paraId="1319E8C0" w14:textId="77777777" w:rsidR="00EC2D14" w:rsidRDefault="00EC2D14">
            <w:pPr>
              <w:pStyle w:val="BodyText"/>
            </w:pPr>
            <w:r>
              <w:t xml:space="preserve">Plan to remove or vest and remove a reservation under Section 24A of the Act </w:t>
            </w:r>
          </w:p>
          <w:p w14:paraId="6402B8D5" w14:textId="77777777" w:rsidR="00EC2D14" w:rsidRDefault="00EC2D14">
            <w:pPr>
              <w:pStyle w:val="BodyText"/>
            </w:pPr>
            <w:r>
              <w:t>Plus for each parcel</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5779AE3A" w14:textId="77777777" w:rsidR="00EC2D14" w:rsidRDefault="00EC2D14">
            <w:pPr>
              <w:pStyle w:val="BodyText"/>
            </w:pPr>
          </w:p>
          <w:p w14:paraId="721DC1A8" w14:textId="77777777" w:rsidR="00EC2D14" w:rsidRDefault="00EC2D14">
            <w:pPr>
              <w:pStyle w:val="BodyText"/>
            </w:pPr>
            <w:r>
              <w:t>640.30</w:t>
            </w:r>
          </w:p>
          <w:p w14:paraId="7A9B3B05" w14:textId="77777777" w:rsidR="00EC2D14" w:rsidRDefault="00EC2D14">
            <w:pPr>
              <w:pStyle w:val="BodyText"/>
            </w:pPr>
            <w:r>
              <w:t>198.00</w:t>
            </w:r>
          </w:p>
        </w:tc>
      </w:tr>
      <w:tr w:rsidR="00EC2D14" w14:paraId="4FE9EB8E"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5C7E2A41" w14:textId="77777777" w:rsidR="00EC2D14" w:rsidRDefault="00EC2D14">
            <w:pPr>
              <w:pStyle w:val="BodyText"/>
            </w:pPr>
            <w:r>
              <w:t>24A</w:t>
            </w:r>
          </w:p>
          <w:p w14:paraId="6F27D57B"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6635AFAA" w14:textId="77777777" w:rsidR="00EC2D14" w:rsidRDefault="00EC2D14">
            <w:pPr>
              <w:pStyle w:val="BodyText"/>
            </w:pPr>
            <w:r>
              <w:t>Vesting</w:t>
            </w:r>
          </w:p>
          <w:p w14:paraId="34A100D3" w14:textId="77777777" w:rsidR="00EC2D14" w:rsidRDefault="00EC2D14">
            <w:pPr>
              <w:pStyle w:val="BodyText"/>
            </w:pPr>
            <w:r>
              <w:t>Plan to vest land referred to in column 2 of the table in Section 24A of the Act</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1FA95FFE" w14:textId="77777777" w:rsidR="00EC2D14" w:rsidRDefault="00EC2D14">
            <w:pPr>
              <w:pStyle w:val="BodyText"/>
            </w:pPr>
          </w:p>
          <w:p w14:paraId="3FD455BC" w14:textId="77777777" w:rsidR="00EC2D14" w:rsidRDefault="00EC2D14">
            <w:pPr>
              <w:pStyle w:val="BodyText"/>
            </w:pPr>
            <w:r>
              <w:t>203.40</w:t>
            </w:r>
          </w:p>
        </w:tc>
      </w:tr>
      <w:tr w:rsidR="00EC2D14" w14:paraId="5C6E53C6"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5BFE93C1" w14:textId="77777777" w:rsidR="00EC2D14" w:rsidRDefault="00EC2D14">
            <w:pPr>
              <w:pStyle w:val="BodyText"/>
            </w:pPr>
            <w:r>
              <w:t>26</w:t>
            </w:r>
          </w:p>
        </w:tc>
        <w:tc>
          <w:tcPr>
            <w:tcW w:w="7794" w:type="dxa"/>
            <w:tcBorders>
              <w:top w:val="single" w:sz="8" w:space="0" w:color="B3272F" w:themeColor="text2"/>
              <w:left w:val="nil"/>
              <w:bottom w:val="single" w:sz="8" w:space="0" w:color="B3272F" w:themeColor="text2"/>
              <w:right w:val="nil"/>
            </w:tcBorders>
            <w:hideMark/>
          </w:tcPr>
          <w:p w14:paraId="507745E7" w14:textId="77777777" w:rsidR="00EC2D14" w:rsidRDefault="00EC2D14">
            <w:pPr>
              <w:pStyle w:val="BodyText"/>
            </w:pPr>
            <w:r>
              <w:t>Boundary plans</w:t>
            </w:r>
          </w:p>
          <w:p w14:paraId="0AC19340" w14:textId="77777777" w:rsidR="00EC2D14" w:rsidRDefault="00EC2D14">
            <w:pPr>
              <w:pStyle w:val="BodyText"/>
            </w:pPr>
            <w:r>
              <w:lastRenderedPageBreak/>
              <w:t xml:space="preserve">Application for approval of a boundary plan </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3F3ABA0B" w14:textId="77777777" w:rsidR="00EC2D14" w:rsidRDefault="00EC2D14">
            <w:pPr>
              <w:pStyle w:val="BodyText"/>
            </w:pPr>
          </w:p>
          <w:p w14:paraId="4B000FE3" w14:textId="77777777" w:rsidR="00EC2D14" w:rsidRDefault="00EC2D14">
            <w:pPr>
              <w:pStyle w:val="BodyText"/>
            </w:pPr>
            <w:r>
              <w:lastRenderedPageBreak/>
              <w:t>203.40</w:t>
            </w:r>
          </w:p>
        </w:tc>
      </w:tr>
      <w:tr w:rsidR="00EC2D14" w14:paraId="6C63BFB2"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0F90CABE" w14:textId="77777777" w:rsidR="00EC2D14" w:rsidRDefault="00EC2D14">
            <w:pPr>
              <w:pStyle w:val="BodyText"/>
            </w:pPr>
            <w:r>
              <w:lastRenderedPageBreak/>
              <w:t>27E(1)</w:t>
            </w:r>
          </w:p>
          <w:p w14:paraId="40BE9F82" w14:textId="77777777" w:rsidR="00EC2D14" w:rsidRDefault="00EC2D14">
            <w:pPr>
              <w:pStyle w:val="BodyText"/>
            </w:pPr>
          </w:p>
          <w:p w14:paraId="6BFA18D0"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7496D48D" w14:textId="77777777" w:rsidR="00EC2D14" w:rsidRDefault="00EC2D14">
            <w:pPr>
              <w:pStyle w:val="BodyText"/>
            </w:pPr>
            <w:r>
              <w:t>Owners corporation rules</w:t>
            </w:r>
          </w:p>
          <w:p w14:paraId="59652220" w14:textId="77777777" w:rsidR="00EC2D14" w:rsidRDefault="00EC2D14">
            <w:pPr>
              <w:pStyle w:val="BodyText"/>
            </w:pPr>
            <w:r>
              <w:t xml:space="preserve">For any rules for an owners corporation, including recording rules that accompany a plan creating an owners corporation, or merging owners corporations </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17DB1E0A" w14:textId="77777777" w:rsidR="00EC2D14" w:rsidRDefault="00EC2D14">
            <w:pPr>
              <w:pStyle w:val="BodyText"/>
            </w:pPr>
          </w:p>
          <w:p w14:paraId="4C1C1523" w14:textId="77777777" w:rsidR="00EC2D14" w:rsidRDefault="00EC2D14">
            <w:pPr>
              <w:pStyle w:val="BodyText"/>
            </w:pPr>
            <w:r>
              <w:t>50.80</w:t>
            </w:r>
          </w:p>
        </w:tc>
      </w:tr>
      <w:tr w:rsidR="00EC2D14" w14:paraId="14669BC0"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49BE03A7" w14:textId="77777777" w:rsidR="00EC2D14" w:rsidRDefault="00EC2D14">
            <w:pPr>
              <w:pStyle w:val="BodyText"/>
            </w:pPr>
            <w:r>
              <w:t>27H(2)</w:t>
            </w:r>
          </w:p>
          <w:p w14:paraId="199EFE67"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03927C01" w14:textId="77777777" w:rsidR="00EC2D14" w:rsidRDefault="00EC2D14">
            <w:pPr>
              <w:pStyle w:val="BodyText"/>
            </w:pPr>
            <w:r>
              <w:t xml:space="preserve">Owners corporation </w:t>
            </w:r>
          </w:p>
          <w:p w14:paraId="25ABE9E3" w14:textId="77777777" w:rsidR="00EC2D14" w:rsidRDefault="00EC2D14">
            <w:pPr>
              <w:pStyle w:val="BodyText"/>
            </w:pPr>
            <w:r>
              <w:t>Application to alter the purposes of the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4F3873CB" w14:textId="77777777" w:rsidR="00EC2D14" w:rsidRDefault="00EC2D14">
            <w:pPr>
              <w:pStyle w:val="BodyText"/>
            </w:pPr>
          </w:p>
          <w:p w14:paraId="43BF13C7" w14:textId="77777777" w:rsidR="00EC2D14" w:rsidRDefault="00EC2D14">
            <w:pPr>
              <w:pStyle w:val="BodyText"/>
            </w:pPr>
            <w:r>
              <w:t>101.70</w:t>
            </w:r>
          </w:p>
        </w:tc>
      </w:tr>
      <w:tr w:rsidR="00EC2D14" w14:paraId="5E9FE57D"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3F71E227" w14:textId="77777777" w:rsidR="00EC2D14" w:rsidRDefault="00EC2D14">
            <w:pPr>
              <w:pStyle w:val="BodyText"/>
            </w:pPr>
            <w:r>
              <w:t>27H(3)</w:t>
            </w:r>
          </w:p>
          <w:p w14:paraId="0EFDBE00" w14:textId="77777777" w:rsidR="00EC2D14" w:rsidRDefault="00EC2D14">
            <w:pPr>
              <w:pStyle w:val="BodyText"/>
            </w:pPr>
          </w:p>
          <w:p w14:paraId="376EB295"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2CC5DAE4" w14:textId="77777777" w:rsidR="00EC2D14" w:rsidRDefault="00EC2D14">
            <w:pPr>
              <w:pStyle w:val="BodyText"/>
            </w:pPr>
            <w:r>
              <w:t xml:space="preserve">Owners corporation </w:t>
            </w:r>
          </w:p>
          <w:p w14:paraId="3D6B31B9" w14:textId="77777777" w:rsidR="00EC2D14" w:rsidRDefault="00EC2D14">
            <w:pPr>
              <w:pStyle w:val="BodyText"/>
            </w:pPr>
            <w:r>
              <w:t>Application to alter the functions or obligations of a limited owners corporation</w:t>
            </w:r>
          </w:p>
          <w:p w14:paraId="545F5854" w14:textId="77777777" w:rsidR="00EC2D14" w:rsidRDefault="00EC2D14">
            <w:pPr>
              <w:pStyle w:val="BodyText"/>
            </w:pPr>
            <w:r>
              <w:t>Note: a separate application is required for each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68CC6B5A" w14:textId="77777777" w:rsidR="00EC2D14" w:rsidRDefault="00EC2D14">
            <w:pPr>
              <w:pStyle w:val="BodyText"/>
            </w:pPr>
          </w:p>
          <w:p w14:paraId="053F3790" w14:textId="77777777" w:rsidR="00EC2D14" w:rsidRDefault="00EC2D14">
            <w:pPr>
              <w:pStyle w:val="BodyText"/>
            </w:pPr>
          </w:p>
          <w:p w14:paraId="654336F3" w14:textId="77777777" w:rsidR="00EC2D14" w:rsidRDefault="00EC2D14">
            <w:pPr>
              <w:pStyle w:val="BodyText"/>
            </w:pPr>
            <w:r>
              <w:t>101.70</w:t>
            </w:r>
          </w:p>
        </w:tc>
      </w:tr>
      <w:tr w:rsidR="00EC2D14" w14:paraId="584F7B27"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3733C4C0" w14:textId="77777777" w:rsidR="00EC2D14" w:rsidRDefault="00EC2D14">
            <w:pPr>
              <w:pStyle w:val="BodyText"/>
            </w:pPr>
            <w:r>
              <w:t>32(c)</w:t>
            </w:r>
          </w:p>
          <w:p w14:paraId="580FD982"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73182F4F" w14:textId="77777777" w:rsidR="00EC2D14" w:rsidRDefault="00EC2D14">
            <w:pPr>
              <w:pStyle w:val="BodyText"/>
            </w:pPr>
            <w:r>
              <w:t>Owners corporation</w:t>
            </w:r>
          </w:p>
          <w:p w14:paraId="01DBD6CD" w14:textId="77777777" w:rsidR="00EC2D14" w:rsidRDefault="00EC2D14">
            <w:pPr>
              <w:pStyle w:val="BodyText"/>
            </w:pPr>
            <w:r>
              <w:t>Plan to alter the boundaries of any land affected by the owners corporation</w:t>
            </w:r>
          </w:p>
          <w:p w14:paraId="69CC1591" w14:textId="77777777" w:rsidR="00EC2D14" w:rsidRDefault="00EC2D14">
            <w:pPr>
              <w:pStyle w:val="BodyText"/>
            </w:pPr>
            <w:r>
              <w:t xml:space="preserve">Plus for each parcel </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55644421" w14:textId="77777777" w:rsidR="00EC2D14" w:rsidRDefault="00EC2D14">
            <w:pPr>
              <w:pStyle w:val="BodyText"/>
            </w:pPr>
          </w:p>
          <w:p w14:paraId="0296786A" w14:textId="77777777" w:rsidR="00EC2D14" w:rsidRDefault="00EC2D14">
            <w:pPr>
              <w:pStyle w:val="BodyText"/>
            </w:pPr>
            <w:r>
              <w:t>640.30</w:t>
            </w:r>
          </w:p>
          <w:p w14:paraId="6196267D" w14:textId="77777777" w:rsidR="00EC2D14" w:rsidRDefault="00EC2D14">
            <w:pPr>
              <w:pStyle w:val="BodyText"/>
            </w:pPr>
            <w:r>
              <w:t>198.00</w:t>
            </w:r>
          </w:p>
        </w:tc>
      </w:tr>
      <w:tr w:rsidR="00EC2D14" w14:paraId="5F90CF58"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7C346DAB" w14:textId="77777777" w:rsidR="00EC2D14" w:rsidRDefault="00EC2D14">
            <w:pPr>
              <w:pStyle w:val="BodyText"/>
            </w:pPr>
            <w:r>
              <w:t>32(d)</w:t>
            </w:r>
          </w:p>
          <w:p w14:paraId="0260258C"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3D8D190B" w14:textId="77777777" w:rsidR="00EC2D14" w:rsidRDefault="00EC2D14">
            <w:pPr>
              <w:pStyle w:val="BodyText"/>
            </w:pPr>
            <w:r>
              <w:t>Owners corporation</w:t>
            </w:r>
          </w:p>
          <w:p w14:paraId="690682C7" w14:textId="77777777" w:rsidR="00EC2D14" w:rsidRDefault="00EC2D14">
            <w:pPr>
              <w:pStyle w:val="BodyText"/>
            </w:pPr>
            <w:r>
              <w:t>Plan to increase or reduce the number of lots affected by the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39D3FD96" w14:textId="77777777" w:rsidR="00EC2D14" w:rsidRDefault="00EC2D14">
            <w:pPr>
              <w:pStyle w:val="BodyText"/>
            </w:pPr>
          </w:p>
          <w:p w14:paraId="14B42F8C" w14:textId="77777777" w:rsidR="00EC2D14" w:rsidRDefault="00EC2D14">
            <w:pPr>
              <w:pStyle w:val="BodyText"/>
            </w:pPr>
            <w:r>
              <w:t>101.70</w:t>
            </w:r>
          </w:p>
        </w:tc>
      </w:tr>
      <w:tr w:rsidR="00EC2D14" w14:paraId="17F6C7C8"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516F59BB" w14:textId="77777777" w:rsidR="00EC2D14" w:rsidRDefault="00EC2D14">
            <w:pPr>
              <w:pStyle w:val="BodyText"/>
            </w:pPr>
            <w:r>
              <w:t>32(e)</w:t>
            </w:r>
          </w:p>
        </w:tc>
        <w:tc>
          <w:tcPr>
            <w:tcW w:w="7794" w:type="dxa"/>
            <w:tcBorders>
              <w:top w:val="single" w:sz="8" w:space="0" w:color="B3272F" w:themeColor="text2"/>
              <w:left w:val="nil"/>
              <w:bottom w:val="single" w:sz="8" w:space="0" w:color="B3272F" w:themeColor="text2"/>
              <w:right w:val="nil"/>
            </w:tcBorders>
            <w:hideMark/>
          </w:tcPr>
          <w:p w14:paraId="37D230F4" w14:textId="77777777" w:rsidR="00EC2D14" w:rsidRDefault="00EC2D14">
            <w:pPr>
              <w:pStyle w:val="BodyText"/>
            </w:pPr>
            <w:r>
              <w:t>Owners corporation</w:t>
            </w:r>
          </w:p>
          <w:p w14:paraId="15ACC833" w14:textId="77777777" w:rsidR="00EC2D14" w:rsidRDefault="00EC2D14">
            <w:pPr>
              <w:pStyle w:val="BodyText"/>
            </w:pPr>
            <w:r>
              <w:t>Plan to create new lots or new common property</w:t>
            </w:r>
          </w:p>
          <w:p w14:paraId="208911EA" w14:textId="77777777" w:rsidR="00EC2D14" w:rsidRDefault="00EC2D14">
            <w:pPr>
              <w:pStyle w:val="BodyText"/>
              <w:rPr>
                <w:strike/>
                <w:color w:val="FF0000"/>
              </w:rPr>
            </w:pPr>
            <w:r>
              <w:t>Plus for each parcel</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4580F920" w14:textId="77777777" w:rsidR="00EC2D14" w:rsidRDefault="00EC2D14">
            <w:pPr>
              <w:pStyle w:val="BodyText"/>
            </w:pPr>
          </w:p>
          <w:p w14:paraId="7FE22686" w14:textId="77777777" w:rsidR="00EC2D14" w:rsidRDefault="00EC2D14">
            <w:pPr>
              <w:pStyle w:val="BodyText"/>
            </w:pPr>
            <w:r>
              <w:t>640.30</w:t>
            </w:r>
          </w:p>
          <w:p w14:paraId="21ECE415" w14:textId="77777777" w:rsidR="00EC2D14" w:rsidRDefault="00EC2D14">
            <w:pPr>
              <w:pStyle w:val="BodyText"/>
            </w:pPr>
            <w:r>
              <w:t>198.00</w:t>
            </w:r>
          </w:p>
        </w:tc>
      </w:tr>
      <w:tr w:rsidR="00EC2D14" w14:paraId="3985059D"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715B0870" w14:textId="77777777" w:rsidR="00EC2D14" w:rsidRDefault="00EC2D14">
            <w:pPr>
              <w:pStyle w:val="BodyText"/>
            </w:pPr>
            <w:r>
              <w:t>32(f)</w:t>
            </w:r>
          </w:p>
          <w:p w14:paraId="4C5FA726"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0C9C3D64" w14:textId="77777777" w:rsidR="00EC2D14" w:rsidRDefault="00EC2D14">
            <w:pPr>
              <w:pStyle w:val="BodyText"/>
            </w:pPr>
            <w:r>
              <w:t>Owners corporation</w:t>
            </w:r>
          </w:p>
          <w:p w14:paraId="60EBDDF9" w14:textId="77777777" w:rsidR="00EC2D14" w:rsidRDefault="00EC2D14">
            <w:pPr>
              <w:pStyle w:val="BodyText"/>
            </w:pPr>
            <w:r>
              <w:t>Plan to create a new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53AF7F95" w14:textId="77777777" w:rsidR="00EC2D14" w:rsidRDefault="00EC2D14">
            <w:pPr>
              <w:pStyle w:val="BodyText"/>
            </w:pPr>
          </w:p>
          <w:p w14:paraId="0EBE6713" w14:textId="77777777" w:rsidR="00EC2D14" w:rsidRDefault="00EC2D14">
            <w:pPr>
              <w:pStyle w:val="BodyText"/>
            </w:pPr>
            <w:r>
              <w:t>101.70</w:t>
            </w:r>
          </w:p>
        </w:tc>
      </w:tr>
      <w:tr w:rsidR="00EC2D14" w14:paraId="5A2671D8"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3F353D57" w14:textId="77777777" w:rsidR="00EC2D14" w:rsidRDefault="00EC2D14">
            <w:pPr>
              <w:pStyle w:val="BodyText"/>
            </w:pPr>
            <w:r>
              <w:t>32(g)</w:t>
            </w:r>
          </w:p>
        </w:tc>
        <w:tc>
          <w:tcPr>
            <w:tcW w:w="7794" w:type="dxa"/>
            <w:tcBorders>
              <w:top w:val="single" w:sz="8" w:space="0" w:color="B3272F" w:themeColor="text2"/>
              <w:left w:val="nil"/>
              <w:bottom w:val="single" w:sz="8" w:space="0" w:color="B3272F" w:themeColor="text2"/>
              <w:right w:val="nil"/>
            </w:tcBorders>
            <w:hideMark/>
          </w:tcPr>
          <w:p w14:paraId="787EFC42" w14:textId="77777777" w:rsidR="00EC2D14" w:rsidRDefault="00EC2D14">
            <w:pPr>
              <w:pStyle w:val="BodyText"/>
            </w:pPr>
            <w:r>
              <w:t>Owners corporation</w:t>
            </w:r>
          </w:p>
          <w:p w14:paraId="3AA05F05" w14:textId="77777777" w:rsidR="00EC2D14" w:rsidRDefault="00EC2D14">
            <w:pPr>
              <w:pStyle w:val="BodyText"/>
            </w:pPr>
            <w:r>
              <w:t>Plan to dissolve an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356A2426" w14:textId="77777777" w:rsidR="00EC2D14" w:rsidRDefault="00EC2D14">
            <w:pPr>
              <w:pStyle w:val="BodyText"/>
            </w:pPr>
          </w:p>
          <w:p w14:paraId="43F99DC5" w14:textId="77777777" w:rsidR="00EC2D14" w:rsidRDefault="00EC2D14">
            <w:pPr>
              <w:pStyle w:val="BodyText"/>
            </w:pPr>
            <w:r>
              <w:t>101.70</w:t>
            </w:r>
          </w:p>
        </w:tc>
      </w:tr>
      <w:tr w:rsidR="00EC2D14" w14:paraId="60A64DDD"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0FEA5F29" w14:textId="77777777" w:rsidR="00EC2D14" w:rsidRDefault="00EC2D14">
            <w:pPr>
              <w:pStyle w:val="BodyText"/>
            </w:pPr>
            <w:r>
              <w:t>32(h)</w:t>
            </w:r>
          </w:p>
        </w:tc>
        <w:tc>
          <w:tcPr>
            <w:tcW w:w="7794" w:type="dxa"/>
            <w:tcBorders>
              <w:top w:val="single" w:sz="8" w:space="0" w:color="B3272F" w:themeColor="text2"/>
              <w:left w:val="nil"/>
              <w:bottom w:val="single" w:sz="8" w:space="0" w:color="B3272F" w:themeColor="text2"/>
              <w:right w:val="nil"/>
            </w:tcBorders>
            <w:hideMark/>
          </w:tcPr>
          <w:p w14:paraId="2D516CC1" w14:textId="77777777" w:rsidR="00EC2D14" w:rsidRDefault="00EC2D14">
            <w:pPr>
              <w:pStyle w:val="BodyText"/>
            </w:pPr>
            <w:r>
              <w:t>Owners corporation</w:t>
            </w:r>
          </w:p>
          <w:p w14:paraId="27C5FF2F" w14:textId="77777777" w:rsidR="00EC2D14" w:rsidRDefault="00EC2D14">
            <w:pPr>
              <w:pStyle w:val="BodyText"/>
            </w:pPr>
            <w:r>
              <w:t>Plan to merge owners corporations</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71DB6418" w14:textId="77777777" w:rsidR="00EC2D14" w:rsidRDefault="00EC2D14">
            <w:pPr>
              <w:pStyle w:val="BodyText"/>
            </w:pPr>
          </w:p>
          <w:p w14:paraId="089BEB80" w14:textId="77777777" w:rsidR="00EC2D14" w:rsidRDefault="00EC2D14">
            <w:pPr>
              <w:pStyle w:val="BodyText"/>
            </w:pPr>
            <w:r>
              <w:t>101.70</w:t>
            </w:r>
          </w:p>
        </w:tc>
      </w:tr>
      <w:tr w:rsidR="00EC2D14" w14:paraId="0B2E966F"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6705F23F" w14:textId="77777777" w:rsidR="00EC2D14" w:rsidRDefault="00EC2D14">
            <w:pPr>
              <w:pStyle w:val="BodyText"/>
            </w:pPr>
            <w:r>
              <w:t>32(i)</w:t>
            </w:r>
          </w:p>
          <w:p w14:paraId="6A2B485B"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1983B35D" w14:textId="77777777" w:rsidR="00EC2D14" w:rsidRDefault="00EC2D14">
            <w:pPr>
              <w:pStyle w:val="BodyText"/>
            </w:pPr>
            <w:r>
              <w:t>Owners corporation</w:t>
            </w:r>
          </w:p>
          <w:p w14:paraId="6C84A444" w14:textId="77777777" w:rsidR="00EC2D14" w:rsidRDefault="00EC2D14">
            <w:pPr>
              <w:pStyle w:val="BodyText"/>
            </w:pPr>
            <w:r>
              <w:t>Plan to create, vary or remove an easement or condition in an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379EA85C" w14:textId="77777777" w:rsidR="00EC2D14" w:rsidRDefault="00EC2D14">
            <w:pPr>
              <w:pStyle w:val="BodyText"/>
            </w:pPr>
          </w:p>
          <w:p w14:paraId="5CAD9B60" w14:textId="77777777" w:rsidR="00EC2D14" w:rsidRDefault="00EC2D14">
            <w:pPr>
              <w:pStyle w:val="BodyText"/>
            </w:pPr>
            <w:r>
              <w:t>640.30</w:t>
            </w:r>
          </w:p>
        </w:tc>
      </w:tr>
      <w:tr w:rsidR="00EC2D14" w14:paraId="3F9372F2"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154DCAA9" w14:textId="77777777" w:rsidR="00EC2D14" w:rsidRDefault="00EC2D14">
            <w:pPr>
              <w:pStyle w:val="BodyText"/>
            </w:pPr>
            <w:r>
              <w:t>32(i)</w:t>
            </w:r>
          </w:p>
        </w:tc>
        <w:tc>
          <w:tcPr>
            <w:tcW w:w="7794" w:type="dxa"/>
            <w:tcBorders>
              <w:top w:val="single" w:sz="8" w:space="0" w:color="B3272F" w:themeColor="text2"/>
              <w:left w:val="nil"/>
              <w:bottom w:val="single" w:sz="8" w:space="0" w:color="B3272F" w:themeColor="text2"/>
              <w:right w:val="nil"/>
            </w:tcBorders>
            <w:hideMark/>
          </w:tcPr>
          <w:p w14:paraId="646480EC" w14:textId="77777777" w:rsidR="00EC2D14" w:rsidRDefault="00EC2D14">
            <w:pPr>
              <w:pStyle w:val="BodyText"/>
            </w:pPr>
            <w:r>
              <w:t>Owners corporation</w:t>
            </w:r>
          </w:p>
          <w:p w14:paraId="7EB2BB2B" w14:textId="77777777" w:rsidR="00EC2D14" w:rsidRDefault="00EC2D14">
            <w:pPr>
              <w:pStyle w:val="BodyText"/>
              <w:rPr>
                <w:strike/>
                <w:color w:val="FF0000"/>
              </w:rPr>
            </w:pPr>
            <w:r>
              <w:t>Plan to create, vary or remove a restriction in an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29C34DDE" w14:textId="77777777" w:rsidR="00EC2D14" w:rsidRDefault="00EC2D14">
            <w:pPr>
              <w:pStyle w:val="BodyText"/>
            </w:pPr>
          </w:p>
          <w:p w14:paraId="448F1132" w14:textId="77777777" w:rsidR="00EC2D14" w:rsidRDefault="00EC2D14">
            <w:pPr>
              <w:pStyle w:val="BodyText"/>
            </w:pPr>
            <w:r>
              <w:t>101.70</w:t>
            </w:r>
          </w:p>
        </w:tc>
      </w:tr>
      <w:tr w:rsidR="00EC2D14" w14:paraId="16D39B06"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16AD8835" w14:textId="77777777" w:rsidR="00EC2D14" w:rsidRDefault="00EC2D14">
            <w:pPr>
              <w:pStyle w:val="BodyText"/>
            </w:pPr>
            <w:r>
              <w:t>32(j)</w:t>
            </w:r>
          </w:p>
          <w:p w14:paraId="1A4F0803"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64F31BC0" w14:textId="77777777" w:rsidR="00EC2D14" w:rsidRDefault="00EC2D14">
            <w:pPr>
              <w:pStyle w:val="BodyText"/>
            </w:pPr>
            <w:r>
              <w:t>Owners corporation</w:t>
            </w:r>
          </w:p>
          <w:p w14:paraId="5D7C8B96" w14:textId="77777777" w:rsidR="00EC2D14" w:rsidRDefault="00EC2D14">
            <w:pPr>
              <w:pStyle w:val="BodyText"/>
            </w:pPr>
            <w:r>
              <w:t>Application to consolidate parcels in an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0E03D67B" w14:textId="77777777" w:rsidR="00EC2D14" w:rsidRDefault="00EC2D14">
            <w:pPr>
              <w:pStyle w:val="BodyText"/>
            </w:pPr>
          </w:p>
          <w:p w14:paraId="4447F01E" w14:textId="77777777" w:rsidR="00EC2D14" w:rsidRDefault="00EC2D14">
            <w:pPr>
              <w:pStyle w:val="BodyText"/>
            </w:pPr>
            <w:r>
              <w:t>640.30</w:t>
            </w:r>
          </w:p>
        </w:tc>
      </w:tr>
      <w:tr w:rsidR="00EC2D14" w14:paraId="3B8D1864"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4EEEECC7" w14:textId="77777777" w:rsidR="00EC2D14" w:rsidRDefault="00EC2D14">
            <w:pPr>
              <w:pStyle w:val="BodyText"/>
            </w:pPr>
            <w:r>
              <w:t>32(k)</w:t>
            </w:r>
          </w:p>
        </w:tc>
        <w:tc>
          <w:tcPr>
            <w:tcW w:w="7794" w:type="dxa"/>
            <w:tcBorders>
              <w:top w:val="single" w:sz="8" w:space="0" w:color="B3272F" w:themeColor="text2"/>
              <w:left w:val="nil"/>
              <w:bottom w:val="single" w:sz="8" w:space="0" w:color="B3272F" w:themeColor="text2"/>
              <w:right w:val="nil"/>
            </w:tcBorders>
            <w:hideMark/>
          </w:tcPr>
          <w:p w14:paraId="3EFE5F97" w14:textId="77777777" w:rsidR="00EC2D14" w:rsidRDefault="00EC2D14">
            <w:pPr>
              <w:pStyle w:val="BodyText"/>
            </w:pPr>
            <w:r>
              <w:t>Owners corporation</w:t>
            </w:r>
          </w:p>
          <w:p w14:paraId="3FA600C4" w14:textId="77777777" w:rsidR="00EC2D14" w:rsidRDefault="00EC2D14">
            <w:pPr>
              <w:pStyle w:val="BodyText"/>
            </w:pPr>
            <w:r>
              <w:t>Plan to create, alter or extinguish a lot entitlement or lot liability in an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5E784208" w14:textId="77777777" w:rsidR="00EC2D14" w:rsidRDefault="00EC2D14">
            <w:pPr>
              <w:pStyle w:val="BodyText"/>
            </w:pPr>
          </w:p>
          <w:p w14:paraId="468A1D26" w14:textId="77777777" w:rsidR="00EC2D14" w:rsidRDefault="00EC2D14">
            <w:pPr>
              <w:pStyle w:val="BodyText"/>
            </w:pPr>
            <w:r>
              <w:t>101.70</w:t>
            </w:r>
          </w:p>
        </w:tc>
      </w:tr>
      <w:tr w:rsidR="00EC2D14" w14:paraId="5D26A415"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2EED8926" w14:textId="77777777" w:rsidR="00EC2D14" w:rsidRDefault="00EC2D14">
            <w:pPr>
              <w:pStyle w:val="BodyText"/>
            </w:pPr>
            <w:r>
              <w:t>32(l)</w:t>
            </w:r>
          </w:p>
        </w:tc>
        <w:tc>
          <w:tcPr>
            <w:tcW w:w="7794" w:type="dxa"/>
            <w:tcBorders>
              <w:top w:val="single" w:sz="8" w:space="0" w:color="B3272F" w:themeColor="text2"/>
              <w:left w:val="nil"/>
              <w:bottom w:val="single" w:sz="8" w:space="0" w:color="B3272F" w:themeColor="text2"/>
              <w:right w:val="nil"/>
            </w:tcBorders>
            <w:hideMark/>
          </w:tcPr>
          <w:p w14:paraId="69B341F5" w14:textId="77777777" w:rsidR="00EC2D14" w:rsidRDefault="00EC2D14">
            <w:pPr>
              <w:pStyle w:val="BodyText"/>
            </w:pPr>
            <w:r>
              <w:t>Owners corporation</w:t>
            </w:r>
          </w:p>
          <w:p w14:paraId="1CF634F7" w14:textId="77777777" w:rsidR="00EC2D14" w:rsidRDefault="00EC2D14">
            <w:pPr>
              <w:pStyle w:val="BodyText"/>
            </w:pPr>
            <w:r>
              <w:t xml:space="preserve">Plan to amend or cancel a scheme of development under the </w:t>
            </w:r>
            <w:r>
              <w:rPr>
                <w:i/>
              </w:rPr>
              <w:t>Cluster Titles Act 1974</w:t>
            </w:r>
            <w:r>
              <w:t xml:space="preserve"> in an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2C5A9CDB" w14:textId="77777777" w:rsidR="00EC2D14" w:rsidRDefault="00EC2D14">
            <w:pPr>
              <w:pStyle w:val="BodyText"/>
            </w:pPr>
          </w:p>
          <w:p w14:paraId="2B404F15" w14:textId="77777777" w:rsidR="00EC2D14" w:rsidRDefault="00EC2D14">
            <w:pPr>
              <w:pStyle w:val="BodyText"/>
            </w:pPr>
            <w:r>
              <w:t>101.70</w:t>
            </w:r>
          </w:p>
        </w:tc>
      </w:tr>
      <w:tr w:rsidR="00EC2D14" w14:paraId="3E63D84F" w14:textId="77777777" w:rsidTr="00EC2D14">
        <w:tc>
          <w:tcPr>
            <w:tcW w:w="1701" w:type="dxa"/>
            <w:tcBorders>
              <w:top w:val="single" w:sz="8" w:space="0" w:color="B3272F" w:themeColor="text2"/>
              <w:left w:val="nil"/>
              <w:bottom w:val="nil"/>
              <w:right w:val="nil"/>
            </w:tcBorders>
            <w:shd w:val="clear" w:color="auto" w:fill="FFFFFF" w:themeFill="background1"/>
          </w:tcPr>
          <w:p w14:paraId="2E719019" w14:textId="77777777" w:rsidR="00EC2D14" w:rsidRDefault="00EC2D14">
            <w:pPr>
              <w:pStyle w:val="BodyText"/>
            </w:pPr>
            <w:r>
              <w:t>32</w:t>
            </w:r>
          </w:p>
          <w:p w14:paraId="55B1DA16" w14:textId="77777777" w:rsidR="00EC2D14" w:rsidRDefault="00EC2D14">
            <w:pPr>
              <w:pStyle w:val="BodyText"/>
            </w:pPr>
          </w:p>
        </w:tc>
        <w:tc>
          <w:tcPr>
            <w:tcW w:w="7794" w:type="dxa"/>
            <w:tcBorders>
              <w:top w:val="single" w:sz="8" w:space="0" w:color="B3272F" w:themeColor="text2"/>
              <w:left w:val="nil"/>
              <w:bottom w:val="nil"/>
              <w:right w:val="nil"/>
            </w:tcBorders>
            <w:hideMark/>
          </w:tcPr>
          <w:p w14:paraId="23085104" w14:textId="77777777" w:rsidR="00EC2D14" w:rsidRDefault="00EC2D14">
            <w:pPr>
              <w:pStyle w:val="BodyText"/>
            </w:pPr>
            <w:r>
              <w:t>Owners corporation</w:t>
            </w:r>
          </w:p>
          <w:p w14:paraId="1118C3D3" w14:textId="77777777" w:rsidR="00EC2D14" w:rsidRDefault="00EC2D14">
            <w:pPr>
              <w:pStyle w:val="BodyText"/>
            </w:pPr>
            <w:r>
              <w:t xml:space="preserve">Plan containing more than one alteration as referred to in Sections 32(a), (b), (c), (d), (e), (f), (g), (h), (i), (j), (k) and (l) of the Act </w:t>
            </w:r>
          </w:p>
        </w:tc>
        <w:tc>
          <w:tcPr>
            <w:tcW w:w="1560" w:type="dxa"/>
            <w:tcBorders>
              <w:top w:val="single" w:sz="8" w:space="0" w:color="B3272F" w:themeColor="text2"/>
              <w:left w:val="nil"/>
              <w:bottom w:val="nil"/>
              <w:right w:val="nil"/>
            </w:tcBorders>
            <w:shd w:val="clear" w:color="auto" w:fill="F7E9EA" w:themeFill="background2"/>
            <w:hideMark/>
          </w:tcPr>
          <w:p w14:paraId="7E1D200F" w14:textId="77777777" w:rsidR="00EC2D14" w:rsidRDefault="00EC2D14">
            <w:pPr>
              <w:pStyle w:val="BodyText"/>
            </w:pPr>
            <w:r>
              <w:t>The fee is the aggregate of each individual item, to a maximum of 640.30</w:t>
            </w:r>
          </w:p>
        </w:tc>
      </w:tr>
      <w:tr w:rsidR="00EC2D14" w14:paraId="28F3F528" w14:textId="77777777" w:rsidTr="00EC2D14">
        <w:tc>
          <w:tcPr>
            <w:tcW w:w="1701" w:type="dxa"/>
            <w:tcBorders>
              <w:top w:val="nil"/>
              <w:left w:val="nil"/>
              <w:bottom w:val="single" w:sz="8" w:space="0" w:color="B3272F" w:themeColor="text2"/>
              <w:right w:val="nil"/>
            </w:tcBorders>
            <w:shd w:val="clear" w:color="auto" w:fill="FFFFFF" w:themeFill="background1"/>
          </w:tcPr>
          <w:p w14:paraId="176E2817" w14:textId="77777777" w:rsidR="00EC2D14" w:rsidRDefault="00EC2D14">
            <w:pPr>
              <w:pStyle w:val="BodyText"/>
            </w:pPr>
          </w:p>
        </w:tc>
        <w:tc>
          <w:tcPr>
            <w:tcW w:w="7794" w:type="dxa"/>
            <w:tcBorders>
              <w:top w:val="nil"/>
              <w:left w:val="nil"/>
              <w:bottom w:val="single" w:sz="8" w:space="0" w:color="B3272F" w:themeColor="text2"/>
              <w:right w:val="nil"/>
            </w:tcBorders>
            <w:hideMark/>
          </w:tcPr>
          <w:p w14:paraId="7804C894" w14:textId="77777777" w:rsidR="00EC2D14" w:rsidRDefault="00EC2D14">
            <w:pPr>
              <w:pStyle w:val="BodyText"/>
            </w:pPr>
            <w:r>
              <w:t>Plus for each parcel</w:t>
            </w:r>
          </w:p>
        </w:tc>
        <w:tc>
          <w:tcPr>
            <w:tcW w:w="1560" w:type="dxa"/>
            <w:tcBorders>
              <w:top w:val="nil"/>
              <w:left w:val="nil"/>
              <w:bottom w:val="single" w:sz="8" w:space="0" w:color="B3272F" w:themeColor="text2"/>
              <w:right w:val="nil"/>
            </w:tcBorders>
            <w:shd w:val="clear" w:color="auto" w:fill="F7E9EA" w:themeFill="background2"/>
            <w:hideMark/>
          </w:tcPr>
          <w:p w14:paraId="6A8FC7E1" w14:textId="77777777" w:rsidR="00EC2D14" w:rsidRDefault="00EC2D14">
            <w:pPr>
              <w:pStyle w:val="BodyText"/>
            </w:pPr>
            <w:r>
              <w:t>198.00</w:t>
            </w:r>
          </w:p>
        </w:tc>
      </w:tr>
      <w:tr w:rsidR="00EC2D14" w14:paraId="0A56055D" w14:textId="77777777" w:rsidTr="00EC2D14">
        <w:tc>
          <w:tcPr>
            <w:tcW w:w="1701" w:type="dxa"/>
            <w:tcBorders>
              <w:top w:val="single" w:sz="8" w:space="0" w:color="B3272F" w:themeColor="text2"/>
              <w:left w:val="nil"/>
              <w:bottom w:val="nil"/>
              <w:right w:val="nil"/>
            </w:tcBorders>
            <w:shd w:val="clear" w:color="auto" w:fill="FFFFFF" w:themeFill="background1"/>
            <w:hideMark/>
          </w:tcPr>
          <w:p w14:paraId="3210C105" w14:textId="77777777" w:rsidR="00EC2D14" w:rsidRDefault="00EC2D14">
            <w:pPr>
              <w:pStyle w:val="BodyText"/>
            </w:pPr>
            <w:r>
              <w:t>32AI(2)</w:t>
            </w:r>
          </w:p>
        </w:tc>
        <w:tc>
          <w:tcPr>
            <w:tcW w:w="7794" w:type="dxa"/>
            <w:tcBorders>
              <w:top w:val="single" w:sz="8" w:space="0" w:color="B3272F" w:themeColor="text2"/>
              <w:left w:val="nil"/>
              <w:bottom w:val="nil"/>
              <w:right w:val="nil"/>
            </w:tcBorders>
            <w:hideMark/>
          </w:tcPr>
          <w:p w14:paraId="47C9AD37" w14:textId="77777777" w:rsidR="00EC2D14" w:rsidRDefault="00EC2D14">
            <w:pPr>
              <w:pStyle w:val="BodyText"/>
            </w:pPr>
            <w:r>
              <w:t>Owners corporation</w:t>
            </w:r>
          </w:p>
          <w:p w14:paraId="1F06ED00" w14:textId="77777777" w:rsidR="00EC2D14" w:rsidRDefault="00EC2D14">
            <w:pPr>
              <w:pStyle w:val="BodyText"/>
            </w:pPr>
            <w:r>
              <w:t>Plan of consolidation, subdivision or alteration of land affected by an owners corporation</w:t>
            </w:r>
          </w:p>
        </w:tc>
        <w:tc>
          <w:tcPr>
            <w:tcW w:w="1560" w:type="dxa"/>
            <w:tcBorders>
              <w:top w:val="single" w:sz="8" w:space="0" w:color="B3272F" w:themeColor="text2"/>
              <w:left w:val="nil"/>
              <w:bottom w:val="nil"/>
              <w:right w:val="nil"/>
            </w:tcBorders>
            <w:shd w:val="clear" w:color="auto" w:fill="F7E9EA" w:themeFill="background2"/>
          </w:tcPr>
          <w:p w14:paraId="67BEE08E" w14:textId="77777777" w:rsidR="00EC2D14" w:rsidRDefault="00EC2D14">
            <w:pPr>
              <w:pStyle w:val="BodyText"/>
            </w:pPr>
          </w:p>
          <w:p w14:paraId="20B99356" w14:textId="77777777" w:rsidR="00EC2D14" w:rsidRDefault="00EC2D14">
            <w:pPr>
              <w:pStyle w:val="BodyText"/>
            </w:pPr>
            <w:r>
              <w:t>640.30</w:t>
            </w:r>
          </w:p>
        </w:tc>
      </w:tr>
      <w:tr w:rsidR="00EC2D14" w14:paraId="20B3498E" w14:textId="77777777" w:rsidTr="00EC2D14">
        <w:tc>
          <w:tcPr>
            <w:tcW w:w="1701" w:type="dxa"/>
            <w:tcBorders>
              <w:top w:val="nil"/>
              <w:left w:val="nil"/>
              <w:bottom w:val="single" w:sz="8" w:space="0" w:color="B3272F" w:themeColor="text2"/>
              <w:right w:val="nil"/>
            </w:tcBorders>
            <w:shd w:val="clear" w:color="auto" w:fill="FFFFFF" w:themeFill="background1"/>
          </w:tcPr>
          <w:p w14:paraId="21188054" w14:textId="77777777" w:rsidR="00EC2D14" w:rsidRDefault="00EC2D14">
            <w:pPr>
              <w:pStyle w:val="BodyText"/>
            </w:pPr>
          </w:p>
        </w:tc>
        <w:tc>
          <w:tcPr>
            <w:tcW w:w="7794" w:type="dxa"/>
            <w:tcBorders>
              <w:top w:val="nil"/>
              <w:left w:val="nil"/>
              <w:bottom w:val="single" w:sz="8" w:space="0" w:color="B3272F" w:themeColor="text2"/>
              <w:right w:val="nil"/>
            </w:tcBorders>
            <w:hideMark/>
          </w:tcPr>
          <w:p w14:paraId="43FFCB31" w14:textId="77777777" w:rsidR="00EC2D14" w:rsidRDefault="00EC2D14">
            <w:pPr>
              <w:pStyle w:val="BodyText"/>
            </w:pPr>
            <w:r>
              <w:t>Plus for each parcel</w:t>
            </w:r>
          </w:p>
        </w:tc>
        <w:tc>
          <w:tcPr>
            <w:tcW w:w="1560" w:type="dxa"/>
            <w:tcBorders>
              <w:top w:val="nil"/>
              <w:left w:val="nil"/>
              <w:bottom w:val="single" w:sz="8" w:space="0" w:color="B3272F" w:themeColor="text2"/>
              <w:right w:val="nil"/>
            </w:tcBorders>
            <w:shd w:val="clear" w:color="auto" w:fill="F7E9EA" w:themeFill="background2"/>
            <w:hideMark/>
          </w:tcPr>
          <w:p w14:paraId="4722E4E0" w14:textId="77777777" w:rsidR="00EC2D14" w:rsidRDefault="00EC2D14">
            <w:pPr>
              <w:pStyle w:val="BodyText"/>
            </w:pPr>
            <w:r>
              <w:t>198.00</w:t>
            </w:r>
          </w:p>
        </w:tc>
      </w:tr>
      <w:tr w:rsidR="00EC2D14" w14:paraId="057659CE" w14:textId="77777777" w:rsidTr="00EC2D14">
        <w:tc>
          <w:tcPr>
            <w:tcW w:w="1701" w:type="dxa"/>
            <w:tcBorders>
              <w:top w:val="single" w:sz="8" w:space="0" w:color="B3272F" w:themeColor="text2"/>
              <w:left w:val="nil"/>
              <w:bottom w:val="nil"/>
              <w:right w:val="nil"/>
            </w:tcBorders>
            <w:shd w:val="clear" w:color="auto" w:fill="FFFFFF" w:themeFill="background1"/>
            <w:hideMark/>
          </w:tcPr>
          <w:p w14:paraId="1919A0CF" w14:textId="77777777" w:rsidR="00EC2D14" w:rsidRDefault="00EC2D14">
            <w:pPr>
              <w:pStyle w:val="BodyText"/>
            </w:pPr>
            <w:r>
              <w:t>32A(1)</w:t>
            </w:r>
          </w:p>
        </w:tc>
        <w:tc>
          <w:tcPr>
            <w:tcW w:w="7794" w:type="dxa"/>
            <w:tcBorders>
              <w:top w:val="single" w:sz="8" w:space="0" w:color="B3272F" w:themeColor="text2"/>
              <w:left w:val="nil"/>
              <w:bottom w:val="nil"/>
              <w:right w:val="nil"/>
            </w:tcBorders>
            <w:hideMark/>
          </w:tcPr>
          <w:p w14:paraId="073ADEF9" w14:textId="77777777" w:rsidR="00EC2D14" w:rsidRDefault="00EC2D14">
            <w:pPr>
              <w:pStyle w:val="BodyText"/>
            </w:pPr>
            <w:r>
              <w:t>Owners corporation</w:t>
            </w:r>
          </w:p>
          <w:p w14:paraId="7888ABA7" w14:textId="77777777" w:rsidR="00EC2D14" w:rsidRDefault="00EC2D14">
            <w:pPr>
              <w:pStyle w:val="BodyText"/>
            </w:pPr>
            <w:r>
              <w:t>Plan of consolidation or re-subdivision of the whole of the land affected by an owners corporation</w:t>
            </w:r>
          </w:p>
        </w:tc>
        <w:tc>
          <w:tcPr>
            <w:tcW w:w="1560" w:type="dxa"/>
            <w:tcBorders>
              <w:top w:val="single" w:sz="8" w:space="0" w:color="B3272F" w:themeColor="text2"/>
              <w:left w:val="nil"/>
              <w:bottom w:val="nil"/>
              <w:right w:val="nil"/>
            </w:tcBorders>
            <w:shd w:val="clear" w:color="auto" w:fill="F7E9EA" w:themeFill="background2"/>
          </w:tcPr>
          <w:p w14:paraId="2E2E2486" w14:textId="77777777" w:rsidR="00EC2D14" w:rsidRDefault="00EC2D14">
            <w:pPr>
              <w:pStyle w:val="BodyText"/>
            </w:pPr>
          </w:p>
          <w:p w14:paraId="3B3BF016" w14:textId="77777777" w:rsidR="00EC2D14" w:rsidRDefault="00EC2D14">
            <w:pPr>
              <w:pStyle w:val="BodyText"/>
            </w:pPr>
            <w:r>
              <w:t>640.30</w:t>
            </w:r>
          </w:p>
        </w:tc>
      </w:tr>
      <w:tr w:rsidR="00EC2D14" w14:paraId="2EE5AB27" w14:textId="77777777" w:rsidTr="00EC2D14">
        <w:tc>
          <w:tcPr>
            <w:tcW w:w="1701" w:type="dxa"/>
            <w:tcBorders>
              <w:top w:val="nil"/>
              <w:left w:val="nil"/>
              <w:bottom w:val="single" w:sz="8" w:space="0" w:color="B3272F" w:themeColor="text2"/>
              <w:right w:val="nil"/>
            </w:tcBorders>
            <w:shd w:val="clear" w:color="auto" w:fill="FFFFFF" w:themeFill="background1"/>
          </w:tcPr>
          <w:p w14:paraId="285FF733" w14:textId="77777777" w:rsidR="00EC2D14" w:rsidRDefault="00EC2D14">
            <w:pPr>
              <w:pStyle w:val="BodyText"/>
            </w:pPr>
          </w:p>
        </w:tc>
        <w:tc>
          <w:tcPr>
            <w:tcW w:w="7794" w:type="dxa"/>
            <w:tcBorders>
              <w:top w:val="nil"/>
              <w:left w:val="nil"/>
              <w:bottom w:val="single" w:sz="8" w:space="0" w:color="B3272F" w:themeColor="text2"/>
              <w:right w:val="nil"/>
            </w:tcBorders>
            <w:hideMark/>
          </w:tcPr>
          <w:p w14:paraId="049B1E52" w14:textId="77777777" w:rsidR="00EC2D14" w:rsidRDefault="00EC2D14">
            <w:pPr>
              <w:pStyle w:val="BodyText"/>
            </w:pPr>
            <w:r>
              <w:t>Plus for each parcel</w:t>
            </w:r>
          </w:p>
        </w:tc>
        <w:tc>
          <w:tcPr>
            <w:tcW w:w="1560" w:type="dxa"/>
            <w:tcBorders>
              <w:top w:val="nil"/>
              <w:left w:val="nil"/>
              <w:bottom w:val="single" w:sz="8" w:space="0" w:color="B3272F" w:themeColor="text2"/>
              <w:right w:val="nil"/>
            </w:tcBorders>
            <w:shd w:val="clear" w:color="auto" w:fill="F7E9EA" w:themeFill="background2"/>
            <w:hideMark/>
          </w:tcPr>
          <w:p w14:paraId="4DE6EB82" w14:textId="77777777" w:rsidR="00EC2D14" w:rsidRDefault="00EC2D14">
            <w:pPr>
              <w:pStyle w:val="BodyText"/>
            </w:pPr>
            <w:r>
              <w:t>198.00</w:t>
            </w:r>
          </w:p>
        </w:tc>
      </w:tr>
      <w:tr w:rsidR="00EC2D14" w14:paraId="728FCFF3"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3BE3B13D" w14:textId="77777777" w:rsidR="00EC2D14" w:rsidRDefault="00EC2D14">
            <w:pPr>
              <w:pStyle w:val="BodyText"/>
            </w:pPr>
            <w:r>
              <w:t>32B</w:t>
            </w:r>
          </w:p>
          <w:p w14:paraId="2913423C"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62E0BFCD" w14:textId="77777777" w:rsidR="00EC2D14" w:rsidRDefault="00EC2D14">
            <w:pPr>
              <w:pStyle w:val="BodyText"/>
            </w:pPr>
            <w:r>
              <w:t>Owners corporation</w:t>
            </w:r>
          </w:p>
          <w:p w14:paraId="632B0AAA" w14:textId="77777777" w:rsidR="00EC2D14" w:rsidRDefault="00EC2D14">
            <w:pPr>
              <w:pStyle w:val="BodyText"/>
            </w:pPr>
            <w:r>
              <w:t>Plan to create an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05450AE1" w14:textId="77777777" w:rsidR="00EC2D14" w:rsidRDefault="00EC2D14">
            <w:pPr>
              <w:pStyle w:val="BodyText"/>
            </w:pPr>
          </w:p>
          <w:p w14:paraId="44BF1B86" w14:textId="77777777" w:rsidR="00EC2D14" w:rsidRDefault="00EC2D14">
            <w:pPr>
              <w:pStyle w:val="BodyText"/>
              <w:rPr>
                <w:strike/>
                <w:color w:val="FF0000"/>
              </w:rPr>
            </w:pPr>
            <w:r>
              <w:t>101.70</w:t>
            </w:r>
          </w:p>
        </w:tc>
      </w:tr>
      <w:tr w:rsidR="00EC2D14" w14:paraId="3A0D594A"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1229892D" w14:textId="77777777" w:rsidR="00EC2D14" w:rsidRDefault="00EC2D14">
            <w:pPr>
              <w:pStyle w:val="BodyText"/>
            </w:pPr>
            <w:r>
              <w:t>33(1)</w:t>
            </w:r>
          </w:p>
          <w:p w14:paraId="5E804C67"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7AFFE913" w14:textId="77777777" w:rsidR="00EC2D14" w:rsidRDefault="00EC2D14">
            <w:pPr>
              <w:pStyle w:val="BodyText"/>
            </w:pPr>
            <w:r>
              <w:t>Owners corporation</w:t>
            </w:r>
          </w:p>
          <w:p w14:paraId="469D800D" w14:textId="77777777" w:rsidR="00EC2D14" w:rsidRDefault="00EC2D14">
            <w:pPr>
              <w:pStyle w:val="BodyText"/>
            </w:pPr>
            <w:r>
              <w:t>Application to alter a lot entitlement or lot liability other than under Section 32(k) of the Act</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23466032" w14:textId="77777777" w:rsidR="00EC2D14" w:rsidRDefault="00EC2D14">
            <w:pPr>
              <w:pStyle w:val="BodyText"/>
            </w:pPr>
          </w:p>
          <w:p w14:paraId="5DE52019" w14:textId="77777777" w:rsidR="00EC2D14" w:rsidRDefault="00EC2D14">
            <w:pPr>
              <w:pStyle w:val="BodyText"/>
            </w:pPr>
            <w:r>
              <w:t>101.70</w:t>
            </w:r>
          </w:p>
        </w:tc>
      </w:tr>
      <w:tr w:rsidR="00EC2D14" w14:paraId="1E0A7B8C"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tcPr>
          <w:p w14:paraId="2D274F8A" w14:textId="77777777" w:rsidR="00EC2D14" w:rsidRDefault="00EC2D14">
            <w:pPr>
              <w:pStyle w:val="BodyText"/>
            </w:pPr>
            <w:r>
              <w:t>34(2)</w:t>
            </w:r>
          </w:p>
          <w:p w14:paraId="58232AF0" w14:textId="77777777" w:rsidR="00EC2D14" w:rsidRDefault="00EC2D14">
            <w:pPr>
              <w:pStyle w:val="BodyText"/>
            </w:pPr>
          </w:p>
        </w:tc>
        <w:tc>
          <w:tcPr>
            <w:tcW w:w="7794" w:type="dxa"/>
            <w:tcBorders>
              <w:top w:val="single" w:sz="8" w:space="0" w:color="B3272F" w:themeColor="text2"/>
              <w:left w:val="nil"/>
              <w:bottom w:val="single" w:sz="8" w:space="0" w:color="B3272F" w:themeColor="text2"/>
              <w:right w:val="nil"/>
            </w:tcBorders>
            <w:hideMark/>
          </w:tcPr>
          <w:p w14:paraId="58330FCE" w14:textId="77777777" w:rsidR="00EC2D14" w:rsidRDefault="00EC2D14">
            <w:pPr>
              <w:pStyle w:val="BodyText"/>
            </w:pPr>
            <w:r>
              <w:t>Owners corporation address</w:t>
            </w:r>
          </w:p>
          <w:p w14:paraId="39F22AC7" w14:textId="77777777" w:rsidR="00EC2D14" w:rsidRDefault="00EC2D14">
            <w:pPr>
              <w:pStyle w:val="BodyText"/>
            </w:pPr>
            <w:r>
              <w:t>Application to alter the address for service of notice of the owners corporation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1A5FDF13" w14:textId="77777777" w:rsidR="00EC2D14" w:rsidRDefault="00EC2D14">
            <w:pPr>
              <w:pStyle w:val="BodyText"/>
            </w:pPr>
          </w:p>
          <w:p w14:paraId="6AFD9A04" w14:textId="77777777" w:rsidR="00EC2D14" w:rsidRDefault="00EC2D14">
            <w:pPr>
              <w:pStyle w:val="BodyText"/>
            </w:pPr>
            <w:r>
              <w:t>31.30</w:t>
            </w:r>
          </w:p>
        </w:tc>
      </w:tr>
      <w:tr w:rsidR="00EC2D14" w14:paraId="3C2DCA72"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13327983" w14:textId="77777777" w:rsidR="00EC2D14" w:rsidRDefault="00EC2D14">
            <w:pPr>
              <w:pStyle w:val="BodyText"/>
            </w:pPr>
            <w:r>
              <w:t>34G</w:t>
            </w:r>
          </w:p>
        </w:tc>
        <w:tc>
          <w:tcPr>
            <w:tcW w:w="7794" w:type="dxa"/>
            <w:tcBorders>
              <w:top w:val="single" w:sz="8" w:space="0" w:color="B3272F" w:themeColor="text2"/>
              <w:left w:val="nil"/>
              <w:bottom w:val="single" w:sz="8" w:space="0" w:color="B3272F" w:themeColor="text2"/>
              <w:right w:val="nil"/>
            </w:tcBorders>
            <w:hideMark/>
          </w:tcPr>
          <w:p w14:paraId="126C4D4A" w14:textId="77777777" w:rsidR="00EC2D14" w:rsidRDefault="00EC2D14">
            <w:pPr>
              <w:pStyle w:val="BodyText"/>
            </w:pPr>
            <w:r>
              <w:t>Owners corporation</w:t>
            </w:r>
          </w:p>
          <w:p w14:paraId="5FDDDA49" w14:textId="77777777" w:rsidR="00EC2D14" w:rsidRDefault="00EC2D14">
            <w:pPr>
              <w:pStyle w:val="BodyText"/>
            </w:pPr>
            <w:r>
              <w:t>Notice of application to VCAT for an order that the owners corporation be wound up</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5D0C0A85" w14:textId="77777777" w:rsidR="00EC2D14" w:rsidRDefault="00EC2D14">
            <w:pPr>
              <w:pStyle w:val="BodyText"/>
            </w:pPr>
          </w:p>
          <w:p w14:paraId="31FC6EA7" w14:textId="77777777" w:rsidR="00EC2D14" w:rsidRDefault="00EC2D14">
            <w:pPr>
              <w:pStyle w:val="BodyText"/>
            </w:pPr>
            <w:r>
              <w:t>50.80</w:t>
            </w:r>
          </w:p>
        </w:tc>
      </w:tr>
      <w:tr w:rsidR="00EC2D14" w14:paraId="6C13C212"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43BC3FB8" w14:textId="77777777" w:rsidR="00EC2D14" w:rsidRDefault="00EC2D14">
            <w:pPr>
              <w:pStyle w:val="BodyText"/>
            </w:pPr>
            <w:r>
              <w:t>34H</w:t>
            </w:r>
          </w:p>
        </w:tc>
        <w:tc>
          <w:tcPr>
            <w:tcW w:w="7794" w:type="dxa"/>
            <w:tcBorders>
              <w:top w:val="single" w:sz="8" w:space="0" w:color="B3272F" w:themeColor="text2"/>
              <w:left w:val="nil"/>
              <w:bottom w:val="single" w:sz="8" w:space="0" w:color="B3272F" w:themeColor="text2"/>
              <w:right w:val="nil"/>
            </w:tcBorders>
            <w:hideMark/>
          </w:tcPr>
          <w:p w14:paraId="27E55A8D" w14:textId="77777777" w:rsidR="00EC2D14" w:rsidRDefault="00EC2D14">
            <w:pPr>
              <w:pStyle w:val="BodyText"/>
            </w:pPr>
            <w:r>
              <w:t>Owners corporation</w:t>
            </w:r>
          </w:p>
          <w:p w14:paraId="24CF8B7F" w14:textId="77777777" w:rsidR="00EC2D14" w:rsidRDefault="00EC2D14">
            <w:pPr>
              <w:pStyle w:val="BodyText"/>
            </w:pPr>
            <w:r>
              <w:t>Application to amend or cancel a registered plan in accordance with an order of VCAT</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49274A6C" w14:textId="77777777" w:rsidR="00EC2D14" w:rsidRDefault="00EC2D14">
            <w:pPr>
              <w:pStyle w:val="BodyText"/>
            </w:pPr>
          </w:p>
          <w:p w14:paraId="035EEF6C" w14:textId="77777777" w:rsidR="00EC2D14" w:rsidRDefault="00EC2D14">
            <w:pPr>
              <w:pStyle w:val="BodyText"/>
            </w:pPr>
            <w:r>
              <w:t>203.40</w:t>
            </w:r>
          </w:p>
        </w:tc>
      </w:tr>
      <w:tr w:rsidR="00EC2D14" w14:paraId="647F2BA7"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4D092373" w14:textId="77777777" w:rsidR="00EC2D14" w:rsidRDefault="00EC2D14">
            <w:pPr>
              <w:pStyle w:val="BodyText"/>
            </w:pPr>
            <w:r>
              <w:t>35(1)</w:t>
            </w:r>
          </w:p>
        </w:tc>
        <w:tc>
          <w:tcPr>
            <w:tcW w:w="7794" w:type="dxa"/>
            <w:tcBorders>
              <w:top w:val="single" w:sz="8" w:space="0" w:color="B3272F" w:themeColor="text2"/>
              <w:left w:val="nil"/>
              <w:bottom w:val="single" w:sz="8" w:space="0" w:color="B3272F" w:themeColor="text2"/>
              <w:right w:val="nil"/>
            </w:tcBorders>
            <w:hideMark/>
          </w:tcPr>
          <w:p w14:paraId="72A1D6CE" w14:textId="77777777" w:rsidR="00EC2D14" w:rsidRDefault="00EC2D14">
            <w:pPr>
              <w:pStyle w:val="BodyText"/>
            </w:pPr>
            <w:r>
              <w:t>Application by an acquiring authority to register a plan</w:t>
            </w:r>
          </w:p>
          <w:p w14:paraId="45BA897B" w14:textId="77777777" w:rsidR="00EC2D14" w:rsidRDefault="00EC2D14">
            <w:pPr>
              <w:pStyle w:val="BodyText"/>
            </w:pPr>
            <w:r>
              <w:t>Plus for each parcel</w:t>
            </w:r>
          </w:p>
        </w:tc>
        <w:tc>
          <w:tcPr>
            <w:tcW w:w="1560" w:type="dxa"/>
            <w:tcBorders>
              <w:top w:val="single" w:sz="8" w:space="0" w:color="B3272F" w:themeColor="text2"/>
              <w:left w:val="nil"/>
              <w:bottom w:val="single" w:sz="8" w:space="0" w:color="B3272F" w:themeColor="text2"/>
              <w:right w:val="nil"/>
            </w:tcBorders>
            <w:shd w:val="clear" w:color="auto" w:fill="F7E9EA" w:themeFill="background2"/>
            <w:hideMark/>
          </w:tcPr>
          <w:p w14:paraId="20391C36" w14:textId="77777777" w:rsidR="00EC2D14" w:rsidRDefault="00EC2D14">
            <w:pPr>
              <w:pStyle w:val="BodyText"/>
            </w:pPr>
            <w:r>
              <w:t>640.30</w:t>
            </w:r>
          </w:p>
          <w:p w14:paraId="49FC0601" w14:textId="77777777" w:rsidR="00EC2D14" w:rsidRDefault="00EC2D14">
            <w:pPr>
              <w:pStyle w:val="BodyText"/>
            </w:pPr>
            <w:r>
              <w:t>198.00</w:t>
            </w:r>
          </w:p>
        </w:tc>
      </w:tr>
      <w:tr w:rsidR="00EC2D14" w14:paraId="39145217" w14:textId="77777777" w:rsidTr="00EC2D14">
        <w:tc>
          <w:tcPr>
            <w:tcW w:w="1701" w:type="dxa"/>
            <w:tcBorders>
              <w:top w:val="single" w:sz="8" w:space="0" w:color="B3272F" w:themeColor="text2"/>
              <w:left w:val="nil"/>
              <w:bottom w:val="nil"/>
              <w:right w:val="nil"/>
            </w:tcBorders>
            <w:shd w:val="clear" w:color="auto" w:fill="FFFFFF" w:themeFill="background1"/>
          </w:tcPr>
          <w:p w14:paraId="7DBA96F5" w14:textId="77777777" w:rsidR="00EC2D14" w:rsidRDefault="00EC2D14">
            <w:pPr>
              <w:pStyle w:val="BodyText"/>
            </w:pPr>
          </w:p>
        </w:tc>
        <w:tc>
          <w:tcPr>
            <w:tcW w:w="7794" w:type="dxa"/>
            <w:tcBorders>
              <w:top w:val="single" w:sz="8" w:space="0" w:color="B3272F" w:themeColor="text2"/>
              <w:left w:val="nil"/>
              <w:bottom w:val="nil"/>
              <w:right w:val="nil"/>
            </w:tcBorders>
          </w:tcPr>
          <w:p w14:paraId="7A3E276B" w14:textId="77777777" w:rsidR="00EC2D14" w:rsidRDefault="00EC2D14">
            <w:pPr>
              <w:pStyle w:val="BodyText"/>
            </w:pPr>
          </w:p>
          <w:p w14:paraId="3D7B1BCC" w14:textId="77777777" w:rsidR="00EC2D14" w:rsidRDefault="00EC2D14">
            <w:pPr>
              <w:pStyle w:val="BodyText"/>
            </w:pPr>
          </w:p>
        </w:tc>
        <w:tc>
          <w:tcPr>
            <w:tcW w:w="1560" w:type="dxa"/>
            <w:tcBorders>
              <w:top w:val="single" w:sz="8" w:space="0" w:color="B3272F" w:themeColor="text2"/>
              <w:left w:val="nil"/>
              <w:bottom w:val="nil"/>
              <w:right w:val="nil"/>
            </w:tcBorders>
          </w:tcPr>
          <w:p w14:paraId="36E6388D" w14:textId="77777777" w:rsidR="00EC2D14" w:rsidRDefault="00EC2D14">
            <w:pPr>
              <w:pStyle w:val="BodyText"/>
            </w:pPr>
          </w:p>
        </w:tc>
      </w:tr>
      <w:tr w:rsidR="00EC2D14" w14:paraId="167405AB" w14:textId="77777777" w:rsidTr="00EC2D14">
        <w:tc>
          <w:tcPr>
            <w:tcW w:w="1701" w:type="dxa"/>
            <w:tcBorders>
              <w:top w:val="nil"/>
              <w:left w:val="nil"/>
              <w:bottom w:val="single" w:sz="8" w:space="0" w:color="B3272F" w:themeColor="text2"/>
              <w:right w:val="nil"/>
            </w:tcBorders>
            <w:shd w:val="clear" w:color="auto" w:fill="FFFFFF" w:themeFill="background1"/>
          </w:tcPr>
          <w:p w14:paraId="5B9E002A" w14:textId="77777777" w:rsidR="00EC2D14" w:rsidRDefault="00EC2D14">
            <w:pPr>
              <w:pStyle w:val="BodyText"/>
            </w:pPr>
            <w:r>
              <w:t xml:space="preserve"> 38</w:t>
            </w:r>
          </w:p>
          <w:p w14:paraId="577933DB" w14:textId="77777777" w:rsidR="00EC2D14" w:rsidRDefault="00EC2D14">
            <w:pPr>
              <w:pStyle w:val="BodyText"/>
            </w:pPr>
          </w:p>
        </w:tc>
        <w:tc>
          <w:tcPr>
            <w:tcW w:w="7794" w:type="dxa"/>
            <w:tcBorders>
              <w:top w:val="nil"/>
              <w:left w:val="nil"/>
              <w:bottom w:val="single" w:sz="8" w:space="0" w:color="B3272F" w:themeColor="text2"/>
              <w:right w:val="nil"/>
            </w:tcBorders>
            <w:hideMark/>
          </w:tcPr>
          <w:p w14:paraId="5FC74846" w14:textId="77777777" w:rsidR="00EC2D14" w:rsidRDefault="00EC2D14">
            <w:pPr>
              <w:pStyle w:val="BodyText"/>
            </w:pPr>
            <w:r>
              <w:t>Accessory lot – removal</w:t>
            </w:r>
          </w:p>
          <w:p w14:paraId="7B2C9EF6" w14:textId="77777777" w:rsidR="00EC2D14" w:rsidRDefault="00EC2D14">
            <w:pPr>
              <w:pStyle w:val="BodyText"/>
            </w:pPr>
            <w:r>
              <w:t xml:space="preserve">Amendment of a plan to no longer show a lot as an accessory lot on a plan of strata subdivision or a plan of cluster subdivision – for each lot </w:t>
            </w:r>
          </w:p>
        </w:tc>
        <w:tc>
          <w:tcPr>
            <w:tcW w:w="1560" w:type="dxa"/>
            <w:tcBorders>
              <w:top w:val="nil"/>
              <w:left w:val="nil"/>
              <w:bottom w:val="single" w:sz="8" w:space="0" w:color="B3272F" w:themeColor="text2"/>
              <w:right w:val="nil"/>
            </w:tcBorders>
            <w:shd w:val="clear" w:color="auto" w:fill="F7E9EA" w:themeFill="background2"/>
          </w:tcPr>
          <w:p w14:paraId="79DB3508" w14:textId="77777777" w:rsidR="00EC2D14" w:rsidRDefault="00EC2D14">
            <w:pPr>
              <w:pStyle w:val="BodyText"/>
            </w:pPr>
          </w:p>
          <w:p w14:paraId="698E62DF" w14:textId="77777777" w:rsidR="00EC2D14" w:rsidRDefault="00EC2D14">
            <w:pPr>
              <w:pStyle w:val="BodyText"/>
            </w:pPr>
            <w:r>
              <w:t>50.80</w:t>
            </w:r>
          </w:p>
        </w:tc>
      </w:tr>
      <w:tr w:rsidR="00EC2D14" w14:paraId="10C00BC0"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7C0A1FDF" w14:textId="77777777" w:rsidR="00EC2D14" w:rsidRDefault="00EC2D14">
            <w:pPr>
              <w:pStyle w:val="BodyText"/>
            </w:pPr>
            <w:r>
              <w:t xml:space="preserve"> 38A</w:t>
            </w:r>
          </w:p>
        </w:tc>
        <w:tc>
          <w:tcPr>
            <w:tcW w:w="7794" w:type="dxa"/>
            <w:tcBorders>
              <w:top w:val="single" w:sz="8" w:space="0" w:color="B3272F" w:themeColor="text2"/>
              <w:left w:val="nil"/>
              <w:bottom w:val="single" w:sz="8" w:space="0" w:color="B3272F" w:themeColor="text2"/>
              <w:right w:val="nil"/>
            </w:tcBorders>
            <w:hideMark/>
          </w:tcPr>
          <w:p w14:paraId="2B75BB67" w14:textId="77777777" w:rsidR="00EC2D14" w:rsidRDefault="00EC2D14">
            <w:pPr>
              <w:pStyle w:val="BodyText"/>
            </w:pPr>
            <w:r>
              <w:t>Notice of restriction – removal</w:t>
            </w:r>
          </w:p>
          <w:p w14:paraId="5EA32EF7" w14:textId="77777777" w:rsidR="00EC2D14" w:rsidRDefault="00EC2D14">
            <w:pPr>
              <w:pStyle w:val="BodyText"/>
            </w:pPr>
            <w:r>
              <w:t xml:space="preserve">Application to amend a plan to remove a restriction on a plan of strata subdivision or a plan of cluster subdivision – for each lot </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354D9DB0" w14:textId="77777777" w:rsidR="00EC2D14" w:rsidRDefault="00EC2D14">
            <w:pPr>
              <w:pStyle w:val="BodyText"/>
            </w:pPr>
          </w:p>
          <w:p w14:paraId="7DA72840" w14:textId="77777777" w:rsidR="00EC2D14" w:rsidRDefault="00EC2D14">
            <w:pPr>
              <w:pStyle w:val="BodyText"/>
            </w:pPr>
            <w:r>
              <w:t>50.80</w:t>
            </w:r>
          </w:p>
        </w:tc>
      </w:tr>
      <w:tr w:rsidR="00EC2D14" w14:paraId="3D16F1F4" w14:textId="77777777" w:rsidTr="00EC2D14">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328F78D4" w14:textId="77777777" w:rsidR="00EC2D14" w:rsidRDefault="00EC2D14">
            <w:pPr>
              <w:pStyle w:val="BodyText"/>
            </w:pPr>
            <w:bookmarkStart w:id="0" w:name="_Hlk513189299"/>
            <w:r>
              <w:t xml:space="preserve"> 38B</w:t>
            </w:r>
          </w:p>
        </w:tc>
        <w:tc>
          <w:tcPr>
            <w:tcW w:w="7794" w:type="dxa"/>
            <w:tcBorders>
              <w:top w:val="single" w:sz="8" w:space="0" w:color="B3272F" w:themeColor="text2"/>
              <w:left w:val="nil"/>
              <w:bottom w:val="single" w:sz="8" w:space="0" w:color="B3272F" w:themeColor="text2"/>
              <w:right w:val="nil"/>
            </w:tcBorders>
            <w:hideMark/>
          </w:tcPr>
          <w:p w14:paraId="451B19B5" w14:textId="77777777" w:rsidR="00EC2D14" w:rsidRDefault="00EC2D14">
            <w:pPr>
              <w:pStyle w:val="BodyText"/>
            </w:pPr>
            <w:r>
              <w:t>Scheme of development</w:t>
            </w:r>
          </w:p>
          <w:p w14:paraId="3BB6138A" w14:textId="77777777" w:rsidR="00EC2D14" w:rsidRDefault="00EC2D14">
            <w:pPr>
              <w:pStyle w:val="BodyText"/>
            </w:pPr>
            <w:r>
              <w:t>Application to cancel or alter a scheme of development accompanying a plan of cluster subdivision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5318665B" w14:textId="77777777" w:rsidR="00EC2D14" w:rsidRDefault="00EC2D14">
            <w:pPr>
              <w:pStyle w:val="BodyText"/>
            </w:pPr>
          </w:p>
          <w:p w14:paraId="6A1B8700" w14:textId="77777777" w:rsidR="00EC2D14" w:rsidRDefault="00EC2D14">
            <w:pPr>
              <w:pStyle w:val="BodyText"/>
            </w:pPr>
            <w:r>
              <w:t>101.70</w:t>
            </w:r>
          </w:p>
        </w:tc>
        <w:bookmarkEnd w:id="0"/>
      </w:tr>
    </w:tbl>
    <w:p w14:paraId="1C0DA3ED" w14:textId="77777777" w:rsidR="00EC2D14" w:rsidRDefault="00EC2D14" w:rsidP="00EC2D14">
      <w:pPr>
        <w:pStyle w:val="Body"/>
      </w:pPr>
    </w:p>
    <w:tbl>
      <w:tblPr>
        <w:tblStyle w:val="TableGrid"/>
        <w:tblW w:w="11055" w:type="dxa"/>
        <w:tblInd w:w="-426" w:type="dxa"/>
        <w:tblLayout w:type="fixed"/>
        <w:tblLook w:val="04A0" w:firstRow="1" w:lastRow="0" w:firstColumn="1" w:lastColumn="0" w:noHBand="0" w:noVBand="1"/>
      </w:tblPr>
      <w:tblGrid>
        <w:gridCol w:w="1701"/>
        <w:gridCol w:w="7794"/>
        <w:gridCol w:w="1560"/>
      </w:tblGrid>
      <w:tr w:rsidR="00EC2D14" w14:paraId="0A5B8134" w14:textId="77777777" w:rsidTr="00F92DF8">
        <w:trPr>
          <w:cnfStyle w:val="100000000000" w:firstRow="1" w:lastRow="0" w:firstColumn="0" w:lastColumn="0" w:oddVBand="0" w:evenVBand="0" w:oddHBand="0" w:evenHBand="0" w:firstRowFirstColumn="0" w:firstRowLastColumn="0" w:lastRowFirstColumn="0" w:lastRowLastColumn="0"/>
          <w:trHeight w:val="681"/>
          <w:tblHeader/>
        </w:trPr>
        <w:tc>
          <w:tcPr>
            <w:cnfStyle w:val="000000000100" w:firstRow="0" w:lastRow="0" w:firstColumn="0" w:lastColumn="0" w:oddVBand="0" w:evenVBand="0" w:oddHBand="0" w:evenHBand="0" w:firstRowFirstColumn="1" w:firstRowLastColumn="0" w:lastRowFirstColumn="0" w:lastRowLastColumn="0"/>
            <w:tcW w:w="9495" w:type="dxa"/>
            <w:gridSpan w:val="2"/>
            <w:tcBorders>
              <w:top w:val="single" w:sz="8" w:space="0" w:color="B3272F" w:themeColor="text2"/>
              <w:left w:val="nil"/>
              <w:bottom w:val="single" w:sz="8" w:space="0" w:color="B3272F" w:themeColor="text2"/>
              <w:right w:val="nil"/>
            </w:tcBorders>
            <w:hideMark/>
          </w:tcPr>
          <w:p w14:paraId="5256741E" w14:textId="35D98807" w:rsidR="00EC2D14" w:rsidRDefault="00EC2D14" w:rsidP="00D02845">
            <w:pPr>
              <w:pStyle w:val="Heading2"/>
              <w:outlineLvl w:val="1"/>
              <w:rPr>
                <w:color w:val="FFFFFF" w:themeColor="background1"/>
              </w:rPr>
            </w:pPr>
            <w:r>
              <w:rPr>
                <w:color w:val="FFFFFF" w:themeColor="background1"/>
              </w:rPr>
              <w:t xml:space="preserve"> Miscellaneous fees</w:t>
            </w:r>
          </w:p>
        </w:tc>
        <w:tc>
          <w:tcPr>
            <w:tcW w:w="1560" w:type="dxa"/>
            <w:tcBorders>
              <w:top w:val="single" w:sz="8" w:space="0" w:color="B3272F" w:themeColor="text2"/>
              <w:left w:val="nil"/>
              <w:bottom w:val="single" w:sz="8" w:space="0" w:color="B3272F" w:themeColor="text2"/>
              <w:right w:val="nil"/>
            </w:tcBorders>
          </w:tcPr>
          <w:p w14:paraId="59B18581" w14:textId="77777777" w:rsidR="00EC2D14" w:rsidRDefault="00EC2D14">
            <w:pPr>
              <w:pStyle w:val="Heading2"/>
              <w:spacing w:beforeAutospacing="1" w:afterAutospacing="1"/>
              <w:outlineLvl w:val="1"/>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EC2D14" w14:paraId="1A7CAFFB" w14:textId="77777777" w:rsidTr="00F92DF8">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701" w:type="dxa"/>
            <w:tcBorders>
              <w:top w:val="single" w:sz="8" w:space="0" w:color="B3272F" w:themeColor="text2"/>
              <w:left w:val="nil"/>
              <w:bottom w:val="single" w:sz="8" w:space="0" w:color="B3272F" w:themeColor="text2"/>
              <w:right w:val="nil"/>
            </w:tcBorders>
            <w:shd w:val="clear" w:color="auto" w:fill="F7E9EA" w:themeFill="background2"/>
            <w:hideMark/>
          </w:tcPr>
          <w:p w14:paraId="73786B79" w14:textId="77777777" w:rsidR="00EC2D14" w:rsidRDefault="00EC2D14" w:rsidP="00D02845">
            <w:pPr>
              <w:pStyle w:val="Heading3"/>
              <w:outlineLvl w:val="2"/>
            </w:pPr>
            <w:r>
              <w:t>Section of Act</w:t>
            </w:r>
          </w:p>
        </w:tc>
        <w:tc>
          <w:tcPr>
            <w:tcW w:w="7794" w:type="dxa"/>
            <w:tcBorders>
              <w:top w:val="single" w:sz="8" w:space="0" w:color="B3272F" w:themeColor="text2"/>
              <w:left w:val="nil"/>
              <w:bottom w:val="single" w:sz="8" w:space="0" w:color="B3272F" w:themeColor="text2"/>
              <w:right w:val="nil"/>
            </w:tcBorders>
            <w:shd w:val="clear" w:color="auto" w:fill="F7E9EA" w:themeFill="background2"/>
            <w:hideMark/>
          </w:tcPr>
          <w:p w14:paraId="6DBFFB03" w14:textId="77777777" w:rsidR="00EC2D14" w:rsidRDefault="00EC2D14" w:rsidP="00D02845">
            <w:pPr>
              <w:pStyle w:val="Heading3"/>
              <w:ind w:left="146"/>
              <w:outlineLvl w:val="2"/>
              <w:cnfStyle w:val="100000000000" w:firstRow="1" w:lastRow="0" w:firstColumn="0" w:lastColumn="0" w:oddVBand="0" w:evenVBand="0" w:oddHBand="0" w:evenHBand="0" w:firstRowFirstColumn="0" w:firstRowLastColumn="0" w:lastRowFirstColumn="0" w:lastRowLastColumn="0"/>
            </w:pPr>
            <w:r>
              <w:t>Description</w:t>
            </w:r>
          </w:p>
        </w:tc>
        <w:tc>
          <w:tcPr>
            <w:tcW w:w="1560" w:type="dxa"/>
            <w:tcBorders>
              <w:top w:val="single" w:sz="8" w:space="0" w:color="B3272F" w:themeColor="text2"/>
              <w:left w:val="nil"/>
              <w:bottom w:val="single" w:sz="8" w:space="0" w:color="B3272F" w:themeColor="text2"/>
              <w:right w:val="nil"/>
            </w:tcBorders>
            <w:shd w:val="clear" w:color="auto" w:fill="F7E9EA" w:themeFill="background2"/>
            <w:hideMark/>
          </w:tcPr>
          <w:p w14:paraId="790D9E3E" w14:textId="77777777" w:rsidR="00EC2D14" w:rsidRDefault="00EC2D14" w:rsidP="00D02845">
            <w:pPr>
              <w:pStyle w:val="Heading3"/>
              <w:ind w:left="138"/>
              <w:outlineLvl w:val="2"/>
              <w:cnfStyle w:val="100000000000" w:firstRow="1" w:lastRow="0" w:firstColumn="0" w:lastColumn="0" w:oddVBand="0" w:evenVBand="0" w:oddHBand="0" w:evenHBand="0" w:firstRowFirstColumn="0" w:firstRowLastColumn="0" w:lastRowFirstColumn="0" w:lastRowLastColumn="0"/>
            </w:pPr>
            <w:r>
              <w:t>Fee $</w:t>
            </w:r>
          </w:p>
        </w:tc>
      </w:tr>
      <w:tr w:rsidR="00EC2D14" w14:paraId="13D5EB84" w14:textId="77777777" w:rsidTr="00F92DF8">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3C77E29C" w14:textId="77777777" w:rsidR="00EC2D14" w:rsidRDefault="00EC2D14">
            <w:pPr>
              <w:pStyle w:val="BodyText"/>
            </w:pPr>
            <w:r>
              <w:t xml:space="preserve">120(2) of TLA </w:t>
            </w:r>
          </w:p>
        </w:tc>
        <w:tc>
          <w:tcPr>
            <w:tcW w:w="7794" w:type="dxa"/>
            <w:tcBorders>
              <w:top w:val="single" w:sz="8" w:space="0" w:color="B3272F" w:themeColor="text2"/>
              <w:left w:val="nil"/>
              <w:bottom w:val="single" w:sz="8" w:space="0" w:color="B3272F" w:themeColor="text2"/>
              <w:right w:val="nil"/>
            </w:tcBorders>
            <w:hideMark/>
          </w:tcPr>
          <w:p w14:paraId="5E3D5DE0" w14:textId="77777777" w:rsidR="00EC2D14" w:rsidRDefault="00EC2D14">
            <w:pPr>
              <w:pStyle w:val="BodyText"/>
            </w:pPr>
            <w:r>
              <w:t>Where no fee is prescribed</w:t>
            </w:r>
          </w:p>
          <w:p w14:paraId="73474718" w14:textId="77777777" w:rsidR="00EC2D14" w:rsidRDefault="00EC2D14">
            <w:pPr>
              <w:pStyle w:val="BodyText"/>
            </w:pPr>
            <w:r>
              <w:t xml:space="preserve">Any other instrument, application or document for which a fee is not specified in these regulations or under the </w:t>
            </w:r>
            <w:r>
              <w:rPr>
                <w:i/>
              </w:rPr>
              <w:t>Transfer of Land Act 1958</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107F5311" w14:textId="77777777" w:rsidR="00EC2D14" w:rsidRDefault="00EC2D14">
            <w:pPr>
              <w:pStyle w:val="BodyText"/>
            </w:pPr>
          </w:p>
          <w:p w14:paraId="7FA263A7" w14:textId="77777777" w:rsidR="00EC2D14" w:rsidRDefault="00EC2D14">
            <w:pPr>
              <w:pStyle w:val="BodyText"/>
            </w:pPr>
            <w:r>
              <w:t>101.70</w:t>
            </w:r>
          </w:p>
        </w:tc>
      </w:tr>
      <w:tr w:rsidR="00EC2D14" w14:paraId="50DD671D" w14:textId="77777777" w:rsidTr="00F92DF8">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10B8E585" w14:textId="77777777" w:rsidR="00EC2D14" w:rsidRDefault="00EC2D14">
            <w:pPr>
              <w:pStyle w:val="BodyText"/>
            </w:pPr>
            <w:r>
              <w:t xml:space="preserve">108(10) of TLA </w:t>
            </w:r>
          </w:p>
        </w:tc>
        <w:tc>
          <w:tcPr>
            <w:tcW w:w="7794" w:type="dxa"/>
            <w:tcBorders>
              <w:top w:val="single" w:sz="8" w:space="0" w:color="B3272F" w:themeColor="text2"/>
              <w:left w:val="nil"/>
              <w:bottom w:val="single" w:sz="8" w:space="0" w:color="B3272F" w:themeColor="text2"/>
              <w:right w:val="nil"/>
            </w:tcBorders>
            <w:hideMark/>
          </w:tcPr>
          <w:p w14:paraId="2049EC7F" w14:textId="77777777" w:rsidR="00EC2D14" w:rsidRDefault="00EC2D14">
            <w:pPr>
              <w:pStyle w:val="BodyText"/>
            </w:pPr>
            <w:r>
              <w:t>Re-lodgement</w:t>
            </w:r>
          </w:p>
          <w:p w14:paraId="4F027B0F" w14:textId="77777777" w:rsidR="00EC2D14" w:rsidRDefault="00EC2D14">
            <w:pPr>
              <w:pStyle w:val="BodyText"/>
            </w:pPr>
            <w:r>
              <w:t>For re-lodgement of a transaction that has previously been withdrawn or rejected (where there is no material change to the transaction document)</w:t>
            </w:r>
          </w:p>
        </w:tc>
        <w:tc>
          <w:tcPr>
            <w:tcW w:w="1560" w:type="dxa"/>
            <w:tcBorders>
              <w:top w:val="single" w:sz="8" w:space="0" w:color="B3272F" w:themeColor="text2"/>
              <w:left w:val="nil"/>
              <w:bottom w:val="single" w:sz="8" w:space="0" w:color="B3272F" w:themeColor="text2"/>
              <w:right w:val="nil"/>
            </w:tcBorders>
            <w:shd w:val="clear" w:color="auto" w:fill="F7E9EA" w:themeFill="background2"/>
            <w:hideMark/>
          </w:tcPr>
          <w:p w14:paraId="2D37CDC2" w14:textId="77777777" w:rsidR="00EC2D14" w:rsidRDefault="00EC2D14">
            <w:pPr>
              <w:pStyle w:val="BodyText"/>
            </w:pPr>
            <w:r>
              <w:t xml:space="preserve">Half the current fee at the time of re-lodgement </w:t>
            </w:r>
          </w:p>
        </w:tc>
      </w:tr>
      <w:tr w:rsidR="00EC2D14" w14:paraId="2CCDA0BC" w14:textId="77777777" w:rsidTr="00F92DF8">
        <w:tc>
          <w:tcPr>
            <w:tcW w:w="1701" w:type="dxa"/>
            <w:tcBorders>
              <w:top w:val="single" w:sz="8" w:space="0" w:color="B3272F" w:themeColor="text2"/>
              <w:left w:val="nil"/>
              <w:bottom w:val="single" w:sz="8" w:space="0" w:color="B3272F" w:themeColor="text2"/>
              <w:right w:val="nil"/>
            </w:tcBorders>
            <w:shd w:val="clear" w:color="auto" w:fill="FFFFFF" w:themeFill="background1"/>
            <w:hideMark/>
          </w:tcPr>
          <w:p w14:paraId="58C9A2FE" w14:textId="77777777" w:rsidR="00EC2D14" w:rsidRDefault="00EC2D14">
            <w:pPr>
              <w:pStyle w:val="BodyText"/>
            </w:pPr>
            <w:r>
              <w:t>142 of OC Act</w:t>
            </w:r>
          </w:p>
        </w:tc>
        <w:tc>
          <w:tcPr>
            <w:tcW w:w="7794" w:type="dxa"/>
            <w:tcBorders>
              <w:top w:val="single" w:sz="8" w:space="0" w:color="B3272F" w:themeColor="text2"/>
              <w:left w:val="nil"/>
              <w:bottom w:val="single" w:sz="8" w:space="0" w:color="B3272F" w:themeColor="text2"/>
              <w:right w:val="nil"/>
            </w:tcBorders>
            <w:hideMark/>
          </w:tcPr>
          <w:p w14:paraId="4A7ED3D9" w14:textId="77777777" w:rsidR="00EC2D14" w:rsidRDefault="00EC2D14">
            <w:pPr>
              <w:pStyle w:val="BodyText"/>
            </w:pPr>
            <w:r>
              <w:t>Owners corporation rules</w:t>
            </w:r>
          </w:p>
          <w:p w14:paraId="7E92030C" w14:textId="77777777" w:rsidR="00EC2D14" w:rsidRDefault="00EC2D14">
            <w:pPr>
              <w:pStyle w:val="BodyText"/>
              <w:rPr>
                <w:strike/>
                <w:color w:val="FF0000"/>
              </w:rPr>
            </w:pPr>
            <w:r>
              <w:t xml:space="preserve">To make or amend rules under Section 142 of the </w:t>
            </w:r>
            <w:r>
              <w:rPr>
                <w:i/>
              </w:rPr>
              <w:t>Owners Corporation Act 2006</w:t>
            </w:r>
          </w:p>
        </w:tc>
        <w:tc>
          <w:tcPr>
            <w:tcW w:w="1560" w:type="dxa"/>
            <w:tcBorders>
              <w:top w:val="single" w:sz="8" w:space="0" w:color="B3272F" w:themeColor="text2"/>
              <w:left w:val="nil"/>
              <w:bottom w:val="single" w:sz="8" w:space="0" w:color="B3272F" w:themeColor="text2"/>
              <w:right w:val="nil"/>
            </w:tcBorders>
            <w:shd w:val="clear" w:color="auto" w:fill="F7E9EA" w:themeFill="background2"/>
          </w:tcPr>
          <w:p w14:paraId="428BCDAF" w14:textId="77777777" w:rsidR="00EC2D14" w:rsidRDefault="00EC2D14">
            <w:pPr>
              <w:pStyle w:val="BodyText"/>
            </w:pPr>
          </w:p>
          <w:p w14:paraId="085E82D3" w14:textId="77777777" w:rsidR="00EC2D14" w:rsidRDefault="00EC2D14">
            <w:pPr>
              <w:pStyle w:val="BodyText"/>
            </w:pPr>
            <w:r>
              <w:t>50.80</w:t>
            </w:r>
          </w:p>
        </w:tc>
      </w:tr>
    </w:tbl>
    <w:p w14:paraId="7B769FD2" w14:textId="41BF29DB" w:rsidR="00F92DF8" w:rsidRDefault="00F92DF8" w:rsidP="00F92DF8">
      <w:pPr>
        <w:pStyle w:val="BodyText"/>
        <w:rPr>
          <w:rStyle w:val="Hyperlink"/>
          <w:lang w:eastAsia="en-AU"/>
        </w:rPr>
      </w:pPr>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F92DF8" w:rsidRPr="00DF367F" w14:paraId="170B5924" w14:textId="77777777" w:rsidTr="00D02845">
        <w:trPr>
          <w:trHeight w:val="2608"/>
        </w:trPr>
        <w:tc>
          <w:tcPr>
            <w:tcW w:w="5216" w:type="dxa"/>
            <w:shd w:val="clear" w:color="auto" w:fill="auto"/>
          </w:tcPr>
          <w:p w14:paraId="5E7F19C0" w14:textId="46877609" w:rsidR="00F92DF8" w:rsidRPr="00DF367F" w:rsidRDefault="00F92DF8" w:rsidP="00D02845">
            <w:pPr>
              <w:pStyle w:val="SmallBodyText"/>
            </w:pPr>
            <w:r w:rsidRPr="00DF367F">
              <w:t xml:space="preserve">© The State of Victoria Department of Environment, Land, Water and Planning </w:t>
            </w:r>
            <w:r w:rsidRPr="00DF367F">
              <w:fldChar w:fldCharType="begin"/>
            </w:r>
            <w:r w:rsidRPr="00DF367F">
              <w:instrText xml:space="preserve"> DATE  \@ "yyyy" \* MERGEFORMAT </w:instrText>
            </w:r>
            <w:r w:rsidRPr="00DF367F">
              <w:fldChar w:fldCharType="separate"/>
            </w:r>
            <w:r w:rsidR="007E7110">
              <w:rPr>
                <w:noProof/>
              </w:rPr>
              <w:t>2022</w:t>
            </w:r>
            <w:r w:rsidRPr="00DF367F">
              <w:fldChar w:fldCharType="end"/>
            </w:r>
          </w:p>
          <w:p w14:paraId="4D0BC346" w14:textId="77777777" w:rsidR="00F92DF8" w:rsidRPr="00DF367F" w:rsidRDefault="00F92DF8" w:rsidP="00D02845">
            <w:pPr>
              <w:pStyle w:val="SmallBodyText"/>
            </w:pPr>
            <w:r w:rsidRPr="00DF367F">
              <w:rPr>
                <w:noProof/>
              </w:rPr>
              <w:drawing>
                <wp:anchor distT="0" distB="0" distL="114300" distR="36195" simplePos="0" relativeHeight="251660288" behindDoc="0" locked="1" layoutInCell="1" allowOverlap="1" wp14:anchorId="15029463" wp14:editId="1F035F47">
                  <wp:simplePos x="0" y="0"/>
                  <wp:positionH relativeFrom="column">
                    <wp:posOffset>0</wp:posOffset>
                  </wp:positionH>
                  <wp:positionV relativeFrom="paragraph">
                    <wp:posOffset>28575</wp:posOffset>
                  </wp:positionV>
                  <wp:extent cx="658800" cy="237600"/>
                  <wp:effectExtent l="0" t="0" r="8255" b="0"/>
                  <wp:wrapSquare wrapText="bothSides"/>
                  <wp:docPr id="10" name="Picture 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DF367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74F3D2E" w14:textId="77777777" w:rsidR="00F92DF8" w:rsidRPr="00DF367F" w:rsidRDefault="00F92DF8" w:rsidP="00D02845">
            <w:pPr>
              <w:pStyle w:val="SmallHeading"/>
            </w:pPr>
            <w:r w:rsidRPr="00DF367F">
              <w:t>Disclaimer</w:t>
            </w:r>
          </w:p>
          <w:p w14:paraId="15EAE501" w14:textId="77777777" w:rsidR="00F92DF8" w:rsidRPr="00DF367F" w:rsidRDefault="00F92DF8" w:rsidP="00D02845">
            <w:pPr>
              <w:pStyle w:val="SmallBodyText"/>
            </w:pPr>
            <w:r w:rsidRPr="00DF36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6F60224A" w14:textId="77777777" w:rsidR="00F92DF8" w:rsidRPr="00DF367F" w:rsidRDefault="00F92DF8" w:rsidP="00D02845">
            <w:pPr>
              <w:pStyle w:val="xAccessibilityHeading"/>
            </w:pPr>
            <w:r w:rsidRPr="00DF367F">
              <w:t>Accessibility</w:t>
            </w:r>
          </w:p>
          <w:p w14:paraId="5610634C" w14:textId="77777777" w:rsidR="00F92DF8" w:rsidRPr="00DF367F" w:rsidRDefault="00F92DF8" w:rsidP="00D02845">
            <w:pPr>
              <w:pStyle w:val="xAccessibilityText"/>
            </w:pPr>
            <w:r w:rsidRPr="00DF367F">
              <w:t>If you would like to receive this publication in an alternative format, please telephone the DELWP Customer Service Centre on 136186, email </w:t>
            </w:r>
            <w:hyperlink r:id="rId11" w:history="1">
              <w:r w:rsidRPr="00DF367F">
                <w:t>customer.service@delwp.vic.gov.au</w:t>
              </w:r>
            </w:hyperlink>
            <w:r w:rsidRPr="00DF367F">
              <w:t xml:space="preserve">, or via the National Relay Service on 133 677 </w:t>
            </w:r>
            <w:hyperlink r:id="rId12" w:history="1">
              <w:r w:rsidRPr="00DF367F">
                <w:t>www.relayservice.com.au</w:t>
              </w:r>
            </w:hyperlink>
            <w:r w:rsidRPr="00DF367F">
              <w:t xml:space="preserve">. This document is also available on the internet at </w:t>
            </w:r>
            <w:hyperlink r:id="rId13" w:history="1">
              <w:r w:rsidRPr="00DF367F">
                <w:t>www.delwp.vic.gov.au</w:t>
              </w:r>
            </w:hyperlink>
            <w:r w:rsidRPr="00DF367F">
              <w:t xml:space="preserve">. </w:t>
            </w:r>
          </w:p>
          <w:p w14:paraId="4DBE4289" w14:textId="77777777" w:rsidR="00F92DF8" w:rsidRPr="00DF367F" w:rsidRDefault="00F92DF8" w:rsidP="00D02845">
            <w:pPr>
              <w:pStyle w:val="SmallBodyText"/>
            </w:pPr>
          </w:p>
        </w:tc>
      </w:tr>
    </w:tbl>
    <w:p w14:paraId="05D57B1A" w14:textId="77777777" w:rsidR="00F92DF8" w:rsidRDefault="00F92DF8" w:rsidP="00F92DF8">
      <w:pPr>
        <w:pStyle w:val="Heading2"/>
        <w:numPr>
          <w:ilvl w:val="0"/>
          <w:numId w:val="0"/>
        </w:numPr>
      </w:pPr>
      <w:r>
        <w:t>Contact us</w:t>
      </w:r>
    </w:p>
    <w:p w14:paraId="0431B48C" w14:textId="77777777" w:rsidR="00B72BF7" w:rsidRDefault="00F92DF8" w:rsidP="00F92DF8">
      <w:pPr>
        <w:pStyle w:val="BodyText"/>
        <w:rPr>
          <w:rFonts w:ascii="Arial" w:hAnsi="Arial" w:cs="Arial"/>
          <w:bdr w:val="none" w:sz="0" w:space="0" w:color="auto" w:frame="1"/>
        </w:rPr>
      </w:pPr>
      <w:r>
        <w:t xml:space="preserve">Land Use Victoria location and contact details are available at </w:t>
      </w:r>
      <w:hyperlink r:id="rId14" w:history="1">
        <w:r w:rsidR="00BC62C4" w:rsidRPr="00F44E42">
          <w:rPr>
            <w:rStyle w:val="Hyperlink"/>
            <w:rFonts w:ascii="Arial" w:hAnsi="Arial" w:cs="Arial"/>
            <w:bdr w:val="none" w:sz="0" w:space="0" w:color="auto" w:frame="1"/>
          </w:rPr>
          <w:t>www.land.vic.gov.au/contact-us</w:t>
        </w:r>
      </w:hyperlink>
    </w:p>
    <w:p w14:paraId="69E059D4" w14:textId="5AE0FC08" w:rsidR="00F92DF8" w:rsidRDefault="00B72BF7" w:rsidP="00F92DF8">
      <w:pPr>
        <w:pStyle w:val="BodyText"/>
      </w:pPr>
      <w:r>
        <w:rPr>
          <w:rFonts w:ascii="Arial" w:hAnsi="Arial" w:cs="Arial"/>
          <w:bdr w:val="none" w:sz="0" w:space="0" w:color="auto" w:frame="1"/>
        </w:rPr>
        <w:t xml:space="preserve"> </w:t>
      </w:r>
    </w:p>
    <w:p w14:paraId="78EDA8D7" w14:textId="77777777" w:rsidR="004334B0" w:rsidRPr="00C46A59" w:rsidRDefault="004334B0" w:rsidP="00EA592C"/>
    <w:sectPr w:rsidR="004334B0" w:rsidRPr="00C46A59" w:rsidSect="00EA592C">
      <w:headerReference w:type="even" r:id="rId15"/>
      <w:headerReference w:type="default" r:id="rId16"/>
      <w:footerReference w:type="even" r:id="rId17"/>
      <w:footerReference w:type="default" r:id="rId18"/>
      <w:headerReference w:type="first" r:id="rId19"/>
      <w:footerReference w:type="first" r:id="rId20"/>
      <w:pgSz w:w="11907" w:h="16840" w:code="9"/>
      <w:pgMar w:top="2211" w:right="737"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EBF0" w14:textId="77777777" w:rsidR="00EA592C" w:rsidRDefault="00EA592C">
      <w:r>
        <w:separator/>
      </w:r>
    </w:p>
    <w:p w14:paraId="63C02768" w14:textId="77777777" w:rsidR="00EA592C" w:rsidRDefault="00EA592C"/>
    <w:p w14:paraId="5DB4BD16" w14:textId="77777777" w:rsidR="00EA592C" w:rsidRDefault="00EA592C"/>
  </w:endnote>
  <w:endnote w:type="continuationSeparator" w:id="0">
    <w:p w14:paraId="5CF09C6B" w14:textId="77777777" w:rsidR="00EA592C" w:rsidRDefault="00EA592C">
      <w:r>
        <w:continuationSeparator/>
      </w:r>
    </w:p>
    <w:p w14:paraId="15AD960E" w14:textId="77777777" w:rsidR="00EA592C" w:rsidRDefault="00EA592C"/>
    <w:p w14:paraId="3F62611E" w14:textId="77777777" w:rsidR="00EA592C" w:rsidRDefault="00EA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149BE5C7" w14:textId="77777777" w:rsidTr="00F66894">
      <w:trPr>
        <w:trHeight w:val="397"/>
      </w:trPr>
      <w:tc>
        <w:tcPr>
          <w:tcW w:w="340" w:type="dxa"/>
        </w:tcPr>
        <w:p w14:paraId="6EC1BB0A" w14:textId="6534A9E8" w:rsidR="00DE028D" w:rsidRPr="00D55628" w:rsidRDefault="00EA592C" w:rsidP="00DE028D">
          <w:pPr>
            <w:pStyle w:val="FooterEvenPageNumber"/>
            <w:framePr w:wrap="auto" w:vAnchor="margin" w:hAnchor="text" w:yAlign="inline"/>
          </w:pPr>
          <w:r>
            <w:rPr>
              <w:noProof/>
            </w:rPr>
            <mc:AlternateContent>
              <mc:Choice Requires="wps">
                <w:drawing>
                  <wp:anchor distT="0" distB="0" distL="114300" distR="114300" simplePos="0" relativeHeight="251683840" behindDoc="0" locked="0" layoutInCell="0" allowOverlap="1" wp14:anchorId="3067127B" wp14:editId="6AD7CF51">
                    <wp:simplePos x="0" y="0"/>
                    <wp:positionH relativeFrom="page">
                      <wp:posOffset>0</wp:posOffset>
                    </wp:positionH>
                    <wp:positionV relativeFrom="page">
                      <wp:posOffset>10229215</wp:posOffset>
                    </wp:positionV>
                    <wp:extent cx="7560945" cy="273050"/>
                    <wp:effectExtent l="0" t="0" r="0" b="12700"/>
                    <wp:wrapNone/>
                    <wp:docPr id="9" name="MSIPCM15e246e88901e5096d46d825"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0D321" w14:textId="426A2DC0"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67127B" id="_x0000_t202" coordsize="21600,21600" o:spt="202" path="m,l,21600r21600,l21600,xe">
                    <v:stroke joinstyle="miter"/>
                    <v:path gradientshapeok="t" o:connecttype="rect"/>
                  </v:shapetype>
                  <v:shape id="MSIPCM15e246e88901e5096d46d825"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" o:allowincell="f" filled="f" stroked="f" strokeweight=".5pt">
                    <v:fill o:detectmouseclick="t"/>
                    <v:textbox inset=",0,,0">
                      <w:txbxContent>
                        <w:p w14:paraId="2040D321" w14:textId="426A2DC0"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19315523" w14:textId="77777777" w:rsidR="00DE028D" w:rsidRPr="00D55628" w:rsidRDefault="00DE028D" w:rsidP="00DE028D">
          <w:pPr>
            <w:pStyle w:val="FooterEven"/>
          </w:pPr>
        </w:p>
      </w:tc>
    </w:tr>
  </w:tbl>
  <w:p w14:paraId="3BCAB066" w14:textId="77777777" w:rsidR="00DE028D" w:rsidRDefault="00DE028D">
    <w:pPr>
      <w:pStyle w:val="Footer"/>
    </w:pPr>
  </w:p>
  <w:p w14:paraId="446985A3" w14:textId="77777777" w:rsidR="00E52D60" w:rsidRDefault="00E52D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0015462B" w14:textId="77777777" w:rsidTr="00F66894">
      <w:trPr>
        <w:trHeight w:val="397"/>
      </w:trPr>
      <w:tc>
        <w:tcPr>
          <w:tcW w:w="9071" w:type="dxa"/>
        </w:tcPr>
        <w:p w14:paraId="098755D9" w14:textId="39E66FE6" w:rsidR="00DE028D" w:rsidRPr="00CB1FB7" w:rsidRDefault="00EA592C" w:rsidP="00DE028D">
          <w:pPr>
            <w:pStyle w:val="FooterOdd"/>
            <w:rPr>
              <w:b/>
            </w:rPr>
          </w:pPr>
          <w:r>
            <w:rPr>
              <w:b/>
              <w:noProof/>
            </w:rPr>
            <mc:AlternateContent>
              <mc:Choice Requires="wps">
                <w:drawing>
                  <wp:anchor distT="0" distB="0" distL="114300" distR="114300" simplePos="0" relativeHeight="251681792" behindDoc="0" locked="0" layoutInCell="0" allowOverlap="1" wp14:anchorId="585F92EF" wp14:editId="569F4F32">
                    <wp:simplePos x="0" y="0"/>
                    <wp:positionH relativeFrom="page">
                      <wp:posOffset>0</wp:posOffset>
                    </wp:positionH>
                    <wp:positionV relativeFrom="page">
                      <wp:posOffset>10229215</wp:posOffset>
                    </wp:positionV>
                    <wp:extent cx="7560945" cy="273050"/>
                    <wp:effectExtent l="0" t="0" r="0" b="12700"/>
                    <wp:wrapNone/>
                    <wp:docPr id="4" name="MSIPCMdcf94bf6b971d0bdcd957be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478BE" w14:textId="45AAAB83"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5F92EF" id="_x0000_t202" coordsize="21600,21600" o:spt="202" path="m,l,21600r21600,l21600,xe">
                    <v:stroke joinstyle="miter"/>
                    <v:path gradientshapeok="t" o:connecttype="rect"/>
                  </v:shapetype>
                  <v:shape id="MSIPCMdcf94bf6b971d0bdcd957be9"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H2oCrgIAAEcFAAAOAAAA&#10;AAAAAAAAAAAAAC4CAABkcnMvZTJvRG9jLnhtbFBLAQItABQABgAIAAAAIQARcqd+3wAAAAsBAAAP&#10;AAAAAAAAAAAAAAAAAAgFAABkcnMvZG93bnJldi54bWxQSwUGAAAAAAQABADzAAAAFAYAAAAA&#10;" o:allowincell="f" filled="f" stroked="f" strokeweight=".5pt">
                    <v:fill o:detectmouseclick="t"/>
                    <v:textbox inset=",0,,0">
                      <w:txbxContent>
                        <w:p w14:paraId="434478BE" w14:textId="45AAAB83"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v:textbox>
                    <w10:wrap anchorx="page" anchory="page"/>
                  </v:shape>
                </w:pict>
              </mc:Fallback>
            </mc:AlternateContent>
          </w:r>
        </w:p>
      </w:tc>
      <w:tc>
        <w:tcPr>
          <w:tcW w:w="340" w:type="dxa"/>
        </w:tcPr>
        <w:p w14:paraId="27F51437"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4B319E56" w14:textId="77777777" w:rsidR="00DE028D" w:rsidRDefault="00DE028D" w:rsidP="00DE028D">
    <w:pPr>
      <w:pStyle w:val="Footer"/>
    </w:pPr>
  </w:p>
  <w:p w14:paraId="4994245B" w14:textId="77777777" w:rsidR="00DE028D" w:rsidRPr="00DE028D" w:rsidRDefault="00DE028D" w:rsidP="00DE028D">
    <w:pPr>
      <w:pStyle w:val="Footer"/>
    </w:pPr>
  </w:p>
  <w:p w14:paraId="468878FF" w14:textId="77777777" w:rsidR="00E52D60" w:rsidRDefault="00E52D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B804" w14:textId="21248976" w:rsidR="00E962AA" w:rsidRDefault="00EA592C" w:rsidP="00BF3066">
    <w:pPr>
      <w:pStyle w:val="Footer"/>
      <w:spacing w:before="1600"/>
    </w:pPr>
    <w:r>
      <w:rPr>
        <w:noProof/>
      </w:rPr>
      <mc:AlternateContent>
        <mc:Choice Requires="wps">
          <w:drawing>
            <wp:anchor distT="0" distB="0" distL="114300" distR="114300" simplePos="0" relativeHeight="251682816" behindDoc="0" locked="0" layoutInCell="0" allowOverlap="1" wp14:anchorId="11BA4A6A" wp14:editId="0FC7091B">
              <wp:simplePos x="0" y="0"/>
              <wp:positionH relativeFrom="page">
                <wp:posOffset>0</wp:posOffset>
              </wp:positionH>
              <wp:positionV relativeFrom="page">
                <wp:posOffset>10229215</wp:posOffset>
              </wp:positionV>
              <wp:extent cx="7560945" cy="273050"/>
              <wp:effectExtent l="0" t="0" r="0" b="12700"/>
              <wp:wrapNone/>
              <wp:docPr id="8" name="MSIPCMa8484397bb682b6c21f5438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EAD1E" w14:textId="52A2EBB5"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BA4A6A" id="_x0000_t202" coordsize="21600,21600" o:spt="202" path="m,l,21600r21600,l21600,xe">
              <v:stroke joinstyle="miter"/>
              <v:path gradientshapeok="t" o:connecttype="rect"/>
            </v:shapetype>
            <v:shape id="MSIPCMa8484397bb682b6c21f5438a"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We2WBtAIAAFAF&#10;AAAOAAAAAAAAAAAAAAAAAC4CAABkcnMvZTJvRG9jLnhtbFBLAQItABQABgAIAAAAIQARcqd+3wAA&#10;AAsBAAAPAAAAAAAAAAAAAAAAAA4FAABkcnMvZG93bnJldi54bWxQSwUGAAAAAAQABADzAAAAGgYA&#10;AAAA&#10;" o:allowincell="f" filled="f" stroked="f" strokeweight=".5pt">
              <v:fill o:detectmouseclick="t"/>
              <v:textbox inset=",0,,0">
                <w:txbxContent>
                  <w:p w14:paraId="5C1EAD1E" w14:textId="52A2EBB5"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1910A26B" wp14:editId="2E33A722">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0E9F890A" wp14:editId="1958F54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04C5E0C3" wp14:editId="364C4F04">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980A0"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E0C3" id="WebAddress" o:spid="_x0000_s1029"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487980A0"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28800C72" wp14:editId="536A2989">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F991" w14:textId="77777777" w:rsidR="00EA592C" w:rsidRPr="008F5280" w:rsidRDefault="00EA592C" w:rsidP="008F5280">
      <w:pPr>
        <w:pStyle w:val="FootnoteSeparator"/>
      </w:pPr>
    </w:p>
    <w:p w14:paraId="78CF265C" w14:textId="77777777" w:rsidR="00EA592C" w:rsidRDefault="00EA592C"/>
  </w:footnote>
  <w:footnote w:type="continuationSeparator" w:id="0">
    <w:p w14:paraId="0FCAB97F" w14:textId="77777777" w:rsidR="00EA592C" w:rsidRDefault="00EA592C" w:rsidP="008F5280">
      <w:pPr>
        <w:pStyle w:val="FootnoteSeparator"/>
      </w:pPr>
    </w:p>
    <w:p w14:paraId="6F3B091D" w14:textId="77777777" w:rsidR="00EA592C" w:rsidRDefault="00EA592C"/>
    <w:p w14:paraId="46D97E6B" w14:textId="77777777" w:rsidR="00EA592C" w:rsidRDefault="00EA592C"/>
  </w:footnote>
  <w:footnote w:type="continuationNotice" w:id="1">
    <w:p w14:paraId="7232E8D7" w14:textId="77777777" w:rsidR="00EA592C" w:rsidRDefault="00EA592C" w:rsidP="00D55628"/>
    <w:p w14:paraId="261B6D6E" w14:textId="77777777" w:rsidR="00EA592C" w:rsidRDefault="00EA592C"/>
    <w:p w14:paraId="0541C90A" w14:textId="77777777" w:rsidR="00EA592C" w:rsidRDefault="00EA5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48991D7" w14:textId="77777777" w:rsidTr="00F66894">
      <w:trPr>
        <w:trHeight w:hRule="exact" w:val="1418"/>
      </w:trPr>
      <w:tc>
        <w:tcPr>
          <w:tcW w:w="7761" w:type="dxa"/>
          <w:vAlign w:val="center"/>
        </w:tcPr>
        <w:p w14:paraId="5421ECE3" w14:textId="016A52B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287EF5">
            <w:rPr>
              <w:noProof/>
            </w:rPr>
            <w:t>Effective 1 July 2022</w:t>
          </w:r>
          <w:r>
            <w:rPr>
              <w:noProof/>
            </w:rPr>
            <w:fldChar w:fldCharType="end"/>
          </w:r>
        </w:p>
      </w:tc>
    </w:tr>
  </w:tbl>
  <w:p w14:paraId="1CACA2A0"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17B282D4" wp14:editId="3651CF6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EC07D"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7B8EEB86" wp14:editId="34EE619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18107"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38231668" wp14:editId="351F55DE">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F758DA"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5E78C79" w14:textId="77777777" w:rsidR="00E962AA" w:rsidRPr="00DE028D" w:rsidRDefault="00E962AA" w:rsidP="00DE028D">
    <w:pPr>
      <w:pStyle w:val="Header"/>
    </w:pPr>
  </w:p>
  <w:p w14:paraId="0DDDF52F" w14:textId="77777777" w:rsidR="00E52D60" w:rsidRDefault="00E52D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47F18ECA" w14:textId="77777777" w:rsidTr="00F66894">
      <w:trPr>
        <w:trHeight w:hRule="exact" w:val="1418"/>
      </w:trPr>
      <w:tc>
        <w:tcPr>
          <w:tcW w:w="7761" w:type="dxa"/>
          <w:vAlign w:val="center"/>
        </w:tcPr>
        <w:p w14:paraId="358199AF" w14:textId="56DD71A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287EF5">
            <w:rPr>
              <w:noProof/>
            </w:rPr>
            <w:t>Effective 1 July 2022</w:t>
          </w:r>
          <w:r>
            <w:rPr>
              <w:noProof/>
            </w:rPr>
            <w:fldChar w:fldCharType="end"/>
          </w:r>
        </w:p>
      </w:tc>
    </w:tr>
  </w:tbl>
  <w:p w14:paraId="18FFA869"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0E2E076F" wp14:editId="16DFE260">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21F4D"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25FC476E" wp14:editId="5A4D168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3F9C0"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5A665BDC" wp14:editId="23DEFBD0">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BD6114"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2EC937F" w14:textId="77777777" w:rsidR="00DE028D" w:rsidRPr="00DE028D" w:rsidRDefault="00DE028D" w:rsidP="00DE028D">
    <w:pPr>
      <w:pStyle w:val="Header"/>
    </w:pPr>
  </w:p>
  <w:p w14:paraId="1007D217" w14:textId="77777777" w:rsidR="00E52D60" w:rsidRDefault="00E52D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C9F7"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3C6F1BD3" wp14:editId="0D8B4F8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3476109C" wp14:editId="3067F71B">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1F7F96C2" wp14:editId="7CC7630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95442"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082FA3A5" wp14:editId="26A5B427">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8FC11"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3DFD1363" wp14:editId="30DD80E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BA96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CA7D445" wp14:editId="0D87428C">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589F99"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57C22A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4036AB9"/>
    <w:multiLevelType w:val="hybridMultilevel"/>
    <w:tmpl w:val="0F9C1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2"/>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EA592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4FF"/>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87EF5"/>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4B0"/>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EF4"/>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89B"/>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110"/>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BF7"/>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2D60"/>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92C"/>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D14"/>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2DF8"/>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16D37158"/>
  <w15:docId w15:val="{FDA98512-BD4F-4C3C-85F2-8C9D614C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A592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A592C"/>
    <w:pPr>
      <w:spacing w:after="113"/>
    </w:pPr>
    <w:rPr>
      <w:rFonts w:ascii="Calibri" w:hAnsi="Calibri"/>
      <w:color w:val="auto"/>
      <w:sz w:val="22"/>
      <w:szCs w:val="24"/>
      <w:lang w:eastAsia="en-US"/>
    </w:rPr>
  </w:style>
  <w:style w:type="character" w:customStyle="1" w:styleId="normaltextrun">
    <w:name w:val="normaltextrun"/>
    <w:basedOn w:val="DefaultParagraphFont"/>
    <w:rsid w:val="00EC2D14"/>
  </w:style>
  <w:style w:type="character" w:styleId="UnresolvedMention">
    <w:name w:val="Unresolved Mention"/>
    <w:basedOn w:val="DefaultParagraphFont"/>
    <w:uiPriority w:val="99"/>
    <w:semiHidden/>
    <w:unhideWhenUsed/>
    <w:rsid w:val="0050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1844">
      <w:bodyDiv w:val="1"/>
      <w:marLeft w:val="0"/>
      <w:marRight w:val="0"/>
      <w:marTop w:val="0"/>
      <w:marBottom w:val="0"/>
      <w:divBdr>
        <w:top w:val="none" w:sz="0" w:space="0" w:color="auto"/>
        <w:left w:val="none" w:sz="0" w:space="0" w:color="auto"/>
        <w:bottom w:val="none" w:sz="0" w:space="0" w:color="auto"/>
        <w:right w:val="none" w:sz="0" w:space="0" w:color="auto"/>
      </w:divBdr>
    </w:div>
    <w:div w:id="160702359">
      <w:bodyDiv w:val="1"/>
      <w:marLeft w:val="0"/>
      <w:marRight w:val="0"/>
      <w:marTop w:val="0"/>
      <w:marBottom w:val="0"/>
      <w:divBdr>
        <w:top w:val="none" w:sz="0" w:space="0" w:color="auto"/>
        <w:left w:val="none" w:sz="0" w:space="0" w:color="auto"/>
        <w:bottom w:val="none" w:sz="0" w:space="0" w:color="auto"/>
        <w:right w:val="none" w:sz="0" w:space="0" w:color="auto"/>
      </w:divBdr>
    </w:div>
    <w:div w:id="16895230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96325453">
      <w:bodyDiv w:val="1"/>
      <w:marLeft w:val="0"/>
      <w:marRight w:val="0"/>
      <w:marTop w:val="0"/>
      <w:marBottom w:val="0"/>
      <w:divBdr>
        <w:top w:val="none" w:sz="0" w:space="0" w:color="auto"/>
        <w:left w:val="none" w:sz="0" w:space="0" w:color="auto"/>
        <w:bottom w:val="none" w:sz="0" w:space="0" w:color="auto"/>
        <w:right w:val="none" w:sz="0" w:space="0" w:color="auto"/>
      </w:divBdr>
    </w:div>
    <w:div w:id="670908921">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8808375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75201382">
      <w:bodyDiv w:val="1"/>
      <w:marLeft w:val="0"/>
      <w:marRight w:val="0"/>
      <w:marTop w:val="0"/>
      <w:marBottom w:val="0"/>
      <w:divBdr>
        <w:top w:val="none" w:sz="0" w:space="0" w:color="auto"/>
        <w:left w:val="none" w:sz="0" w:space="0" w:color="auto"/>
        <w:bottom w:val="none" w:sz="0" w:space="0" w:color="auto"/>
        <w:right w:val="none" w:sz="0" w:space="0" w:color="auto"/>
      </w:divBdr>
    </w:div>
    <w:div w:id="1090615899">
      <w:bodyDiv w:val="1"/>
      <w:marLeft w:val="0"/>
      <w:marRight w:val="0"/>
      <w:marTop w:val="0"/>
      <w:marBottom w:val="0"/>
      <w:divBdr>
        <w:top w:val="none" w:sz="0" w:space="0" w:color="auto"/>
        <w:left w:val="none" w:sz="0" w:space="0" w:color="auto"/>
        <w:bottom w:val="none" w:sz="0" w:space="0" w:color="auto"/>
        <w:right w:val="none" w:sz="0" w:space="0" w:color="auto"/>
      </w:divBdr>
    </w:div>
    <w:div w:id="1109281939">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4834897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3959279">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vic.gov.au/land-registration/fees-guides-and-forms" TargetMode="External"/><Relationship Id="rId13" Type="http://schemas.openxmlformats.org/officeDocument/2006/relationships/hyperlink" Target="http://www.delwp.vic.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layservice.com.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delwp.vic.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and.vic.gov.au/land-registration/fees-guides-and-forms" TargetMode="External"/><Relationship Id="rId14" Type="http://schemas.openxmlformats.org/officeDocument/2006/relationships/hyperlink" Target="http://www.land.vic.gov.au/contact-u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17</TotalTime>
  <Pages>5</Pages>
  <Words>1081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Mark D Spence (DELWP)</dc:creator>
  <cp:keywords/>
  <dc:description/>
  <cp:lastModifiedBy>Mark D Spence (DELWP)</cp:lastModifiedBy>
  <cp:revision>10</cp:revision>
  <cp:lastPrinted>2016-09-08T07:20:00Z</cp:lastPrinted>
  <dcterms:created xsi:type="dcterms:W3CDTF">2022-06-10T04:41:00Z</dcterms:created>
  <dcterms:modified xsi:type="dcterms:W3CDTF">2022-06-10T06:24:00Z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2022-06-10T06:24:14Z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c931068c-34b6-49dd-809d-45e3b3c22516</vt:lpwstr>
  </property>
  <property fmtid="{D5CDD505-2E9C-101B-9397-08002B2CF9AE}" pid="24" name="MSIP_Label_4257e2ab-f512-40e2-9c9a-c64247360765_ContentBits">
    <vt:lpwstr>2</vt:lpwstr>
  </property>
</Properties>
</file>